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ACD90" w14:textId="77777777" w:rsidR="00760187" w:rsidRPr="00555DA2" w:rsidRDefault="00760187" w:rsidP="00555DA2">
      <w:pPr>
        <w:widowControl w:val="0"/>
        <w:pBdr>
          <w:top w:val="nil"/>
          <w:left w:val="nil"/>
          <w:bottom w:val="nil"/>
          <w:right w:val="nil"/>
          <w:between w:val="nil"/>
        </w:pBdr>
        <w:spacing w:line="276" w:lineRule="auto"/>
        <w:ind w:right="-28"/>
        <w:rPr>
          <w:rFonts w:ascii="Palatino Linotype" w:hAnsi="Palatino Linotype"/>
        </w:rPr>
      </w:pPr>
    </w:p>
    <w:p w14:paraId="06ECDF5D" w14:textId="77777777" w:rsidR="00760187" w:rsidRPr="008063BE" w:rsidRDefault="007751D1" w:rsidP="00555DA2">
      <w:pPr>
        <w:spacing w:before="240" w:after="240" w:line="360" w:lineRule="auto"/>
        <w:ind w:right="-28"/>
        <w:jc w:val="both"/>
        <w:rPr>
          <w:rFonts w:ascii="Palatino Linotype" w:hAnsi="Palatino Linotype"/>
        </w:rPr>
      </w:pPr>
      <w:r w:rsidRPr="008063B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B5DA6" w:rsidRPr="008063BE">
        <w:rPr>
          <w:rFonts w:ascii="Palatino Linotype" w:eastAsia="Palatino Linotype" w:hAnsi="Palatino Linotype" w:cs="Palatino Linotype"/>
        </w:rPr>
        <w:t>treinta (30</w:t>
      </w:r>
      <w:r w:rsidRPr="008063BE">
        <w:rPr>
          <w:rFonts w:ascii="Palatino Linotype" w:eastAsia="Palatino Linotype" w:hAnsi="Palatino Linotype" w:cs="Palatino Linotype"/>
        </w:rPr>
        <w:t xml:space="preserve">) de </w:t>
      </w:r>
      <w:r w:rsidR="00AB5DA6" w:rsidRPr="008063BE">
        <w:rPr>
          <w:rFonts w:ascii="Palatino Linotype" w:eastAsia="Palatino Linotype" w:hAnsi="Palatino Linotype" w:cs="Palatino Linotype"/>
        </w:rPr>
        <w:t>abril de dos mil veinticinco</w:t>
      </w:r>
      <w:r w:rsidRPr="008063BE">
        <w:rPr>
          <w:rFonts w:ascii="Palatino Linotype" w:eastAsia="Palatino Linotype" w:hAnsi="Palatino Linotype" w:cs="Palatino Linotype"/>
        </w:rPr>
        <w:t>.</w:t>
      </w:r>
    </w:p>
    <w:p w14:paraId="4841A24A" w14:textId="260260E6" w:rsidR="00760187" w:rsidRPr="008063BE" w:rsidRDefault="007751D1" w:rsidP="00555DA2">
      <w:pPr>
        <w:spacing w:before="240" w:after="360" w:line="360" w:lineRule="auto"/>
        <w:ind w:right="-28"/>
        <w:jc w:val="both"/>
        <w:rPr>
          <w:rFonts w:ascii="Palatino Linotype" w:eastAsia="Palatino Linotype" w:hAnsi="Palatino Linotype" w:cs="Palatino Linotype"/>
          <w:b/>
        </w:rPr>
      </w:pPr>
      <w:r w:rsidRPr="008063BE">
        <w:rPr>
          <w:rFonts w:ascii="Palatino Linotype" w:eastAsia="Palatino Linotype" w:hAnsi="Palatino Linotype" w:cs="Palatino Linotype"/>
          <w:b/>
        </w:rPr>
        <w:t>VISTO</w:t>
      </w:r>
      <w:r w:rsidRPr="008063BE">
        <w:rPr>
          <w:rFonts w:ascii="Palatino Linotype" w:eastAsia="Palatino Linotype" w:hAnsi="Palatino Linotype" w:cs="Palatino Linotype"/>
        </w:rPr>
        <w:t xml:space="preserve"> el expediente electrónico formado con motivo del recurso de revisión </w:t>
      </w:r>
      <w:r w:rsidR="00AB5DA6" w:rsidRPr="008063BE">
        <w:rPr>
          <w:rFonts w:ascii="Palatino Linotype" w:eastAsia="Palatino Linotype" w:hAnsi="Palatino Linotype" w:cs="Palatino Linotype"/>
          <w:b/>
        </w:rPr>
        <w:t>043</w:t>
      </w:r>
      <w:r w:rsidR="00FD1183" w:rsidRPr="008063BE">
        <w:rPr>
          <w:rFonts w:ascii="Palatino Linotype" w:eastAsia="Palatino Linotype" w:hAnsi="Palatino Linotype" w:cs="Palatino Linotype"/>
          <w:b/>
        </w:rPr>
        <w:t>73/INFOEM/R</w:t>
      </w:r>
      <w:r w:rsidR="00AB5DA6" w:rsidRPr="008063BE">
        <w:rPr>
          <w:rFonts w:ascii="Palatino Linotype" w:eastAsia="Palatino Linotype" w:hAnsi="Palatino Linotype" w:cs="Palatino Linotype"/>
          <w:b/>
        </w:rPr>
        <w:t>D/RR/2025</w:t>
      </w:r>
      <w:r w:rsidRPr="008063BE">
        <w:rPr>
          <w:rFonts w:ascii="Palatino Linotype" w:eastAsia="Palatino Linotype" w:hAnsi="Palatino Linotype" w:cs="Palatino Linotype"/>
          <w:b/>
        </w:rPr>
        <w:t xml:space="preserve">, </w:t>
      </w:r>
      <w:r w:rsidRPr="008063BE">
        <w:rPr>
          <w:rFonts w:ascii="Palatino Linotype" w:eastAsia="Palatino Linotype" w:hAnsi="Palatino Linotype" w:cs="Palatino Linotype"/>
        </w:rPr>
        <w:t>promovido por</w:t>
      </w:r>
      <w:r w:rsidRPr="008063BE">
        <w:rPr>
          <w:rFonts w:ascii="Palatino Linotype" w:eastAsia="Palatino Linotype" w:hAnsi="Palatino Linotype" w:cs="Palatino Linotype"/>
          <w:b/>
        </w:rPr>
        <w:t xml:space="preserve"> </w:t>
      </w:r>
      <w:r w:rsidR="00F73F43">
        <w:rPr>
          <w:rFonts w:ascii="Palatino Linotype" w:eastAsia="Palatino Linotype" w:hAnsi="Palatino Linotype" w:cs="Palatino Linotype"/>
          <w:b/>
        </w:rPr>
        <w:t>XXXX</w:t>
      </w:r>
      <w:r w:rsidRPr="008063BE">
        <w:rPr>
          <w:rFonts w:ascii="Palatino Linotype" w:eastAsia="Palatino Linotype" w:hAnsi="Palatino Linotype" w:cs="Palatino Linotype"/>
          <w:b/>
        </w:rPr>
        <w:t xml:space="preserve">, </w:t>
      </w:r>
      <w:r w:rsidRPr="008063BE">
        <w:rPr>
          <w:rFonts w:ascii="Palatino Linotype" w:eastAsia="Palatino Linotype" w:hAnsi="Palatino Linotype" w:cs="Palatino Linotype"/>
        </w:rPr>
        <w:t xml:space="preserve">en su calidad de </w:t>
      </w:r>
      <w:r w:rsidRPr="008063BE">
        <w:rPr>
          <w:rFonts w:ascii="Palatino Linotype" w:eastAsia="Palatino Linotype" w:hAnsi="Palatino Linotype" w:cs="Palatino Linotype"/>
          <w:b/>
        </w:rPr>
        <w:t>RECURRENTE</w:t>
      </w:r>
      <w:r w:rsidRPr="008063BE">
        <w:rPr>
          <w:rFonts w:ascii="Palatino Linotype" w:eastAsia="Palatino Linotype" w:hAnsi="Palatino Linotype" w:cs="Palatino Linotype"/>
        </w:rPr>
        <w:t xml:space="preserve">, en contra de la respuesta del </w:t>
      </w:r>
      <w:r w:rsidRPr="008063BE">
        <w:rPr>
          <w:rFonts w:ascii="Palatino Linotype" w:eastAsia="Palatino Linotype" w:hAnsi="Palatino Linotype" w:cs="Palatino Linotype"/>
          <w:b/>
        </w:rPr>
        <w:t xml:space="preserve">Instituto de Seguridad Social del Estado de México y Municipios, </w:t>
      </w:r>
      <w:r w:rsidRPr="008063BE">
        <w:rPr>
          <w:rFonts w:ascii="Palatino Linotype" w:eastAsia="Palatino Linotype" w:hAnsi="Palatino Linotype" w:cs="Palatino Linotype"/>
        </w:rPr>
        <w:t>en adelante el</w:t>
      </w:r>
      <w:r w:rsidRPr="008063BE">
        <w:rPr>
          <w:rFonts w:ascii="Palatino Linotype" w:eastAsia="Palatino Linotype" w:hAnsi="Palatino Linotype" w:cs="Palatino Linotype"/>
          <w:b/>
        </w:rPr>
        <w:t xml:space="preserve"> SUJETO OBLIGADO, </w:t>
      </w:r>
      <w:r w:rsidRPr="008063BE">
        <w:rPr>
          <w:rFonts w:ascii="Palatino Linotype" w:eastAsia="Palatino Linotype" w:hAnsi="Palatino Linotype" w:cs="Palatino Linotype"/>
        </w:rPr>
        <w:t>se procede a dictar la presente resolución, con base en los siguientes:</w:t>
      </w:r>
    </w:p>
    <w:p w14:paraId="18FBD0DE" w14:textId="77777777" w:rsidR="00760187" w:rsidRPr="008063BE" w:rsidRDefault="007751D1" w:rsidP="00555DA2">
      <w:pPr>
        <w:pStyle w:val="Ttulo1"/>
        <w:spacing w:line="360" w:lineRule="auto"/>
        <w:ind w:right="-28"/>
        <w:jc w:val="center"/>
        <w:rPr>
          <w:rFonts w:ascii="Palatino Linotype" w:eastAsia="Palatino Linotype" w:hAnsi="Palatino Linotype" w:cs="Palatino Linotype"/>
          <w:b/>
          <w:color w:val="000000"/>
          <w:sz w:val="24"/>
          <w:szCs w:val="24"/>
        </w:rPr>
      </w:pPr>
      <w:bookmarkStart w:id="0" w:name="_heading=h.gjdgxs" w:colFirst="0" w:colLast="0"/>
      <w:bookmarkEnd w:id="0"/>
      <w:r w:rsidRPr="008063BE">
        <w:rPr>
          <w:rFonts w:ascii="Palatino Linotype" w:eastAsia="Palatino Linotype" w:hAnsi="Palatino Linotype" w:cs="Palatino Linotype"/>
          <w:b/>
          <w:color w:val="000000"/>
          <w:sz w:val="24"/>
          <w:szCs w:val="24"/>
        </w:rPr>
        <w:t>A N T E C E D E N T E S</w:t>
      </w:r>
    </w:p>
    <w:p w14:paraId="0F88A247" w14:textId="77777777" w:rsidR="00760187" w:rsidRPr="008063BE" w:rsidRDefault="00760187" w:rsidP="00555DA2">
      <w:pPr>
        <w:ind w:right="-28"/>
        <w:rPr>
          <w:rFonts w:ascii="Palatino Linotype" w:hAnsi="Palatino Linotype"/>
        </w:rPr>
      </w:pPr>
    </w:p>
    <w:p w14:paraId="07C6382A" w14:textId="16513F75"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 xml:space="preserve">El </w:t>
      </w:r>
      <w:r w:rsidR="00555DA2" w:rsidRPr="008063BE">
        <w:rPr>
          <w:rFonts w:ascii="Palatino Linotype" w:eastAsia="Palatino Linotype" w:hAnsi="Palatino Linotype" w:cs="Palatino Linotype"/>
        </w:rPr>
        <w:t>dieciséis</w:t>
      </w:r>
      <w:r w:rsidR="00AB5DA6" w:rsidRPr="008063BE">
        <w:rPr>
          <w:rFonts w:ascii="Palatino Linotype" w:eastAsia="Palatino Linotype" w:hAnsi="Palatino Linotype" w:cs="Palatino Linotype"/>
        </w:rPr>
        <w:t xml:space="preserve"> de marzo </w:t>
      </w:r>
      <w:r w:rsidRPr="008063BE">
        <w:rPr>
          <w:rFonts w:ascii="Palatino Linotype" w:eastAsia="Palatino Linotype" w:hAnsi="Palatino Linotype" w:cs="Palatino Linotype"/>
        </w:rPr>
        <w:t xml:space="preserve">de dos </w:t>
      </w:r>
      <w:r w:rsidR="00AB5DA6" w:rsidRPr="008063BE">
        <w:rPr>
          <w:rFonts w:ascii="Palatino Linotype" w:eastAsia="Palatino Linotype" w:hAnsi="Palatino Linotype" w:cs="Palatino Linotype"/>
        </w:rPr>
        <w:t>mil veinticinc</w:t>
      </w:r>
      <w:r w:rsidRPr="008063BE">
        <w:rPr>
          <w:rFonts w:ascii="Palatino Linotype" w:eastAsia="Palatino Linotype" w:hAnsi="Palatino Linotype" w:cs="Palatino Linotype"/>
        </w:rPr>
        <w:t xml:space="preserve">o, EL RECURRENTE, ante el SUJETO OBLIGADO vía Sistema de Acceso, Rectificación, Cancelación y Oposición de Datos Personales del Estado de México (SARCOEM), presentó la solicitud de acceso a datos personales registrada </w:t>
      </w:r>
      <w:r w:rsidR="00AB5DA6" w:rsidRPr="008063BE">
        <w:rPr>
          <w:rFonts w:ascii="Palatino Linotype" w:eastAsia="Palatino Linotype" w:hAnsi="Palatino Linotype" w:cs="Palatino Linotype"/>
        </w:rPr>
        <w:t xml:space="preserve">al día hábil siguiente en fecha dieciocho de marzo de dos mil veinticinco </w:t>
      </w:r>
      <w:r w:rsidRPr="008063BE">
        <w:rPr>
          <w:rFonts w:ascii="Palatino Linotype" w:eastAsia="Palatino Linotype" w:hAnsi="Palatino Linotype" w:cs="Palatino Linotype"/>
        </w:rPr>
        <w:t xml:space="preserve">con el número  </w:t>
      </w:r>
      <w:r w:rsidR="00AB5DA6" w:rsidRPr="008063BE">
        <w:rPr>
          <w:rFonts w:ascii="Palatino Linotype" w:eastAsia="Palatino Linotype" w:hAnsi="Palatino Linotype" w:cs="Palatino Linotype"/>
          <w:b/>
        </w:rPr>
        <w:t>00003</w:t>
      </w:r>
      <w:r w:rsidRPr="008063BE">
        <w:rPr>
          <w:rFonts w:ascii="Palatino Linotype" w:eastAsia="Palatino Linotype" w:hAnsi="Palatino Linotype" w:cs="Palatino Linotype"/>
          <w:b/>
        </w:rPr>
        <w:t>/IS</w:t>
      </w:r>
      <w:r w:rsidR="00BB3F5D" w:rsidRPr="008063BE">
        <w:rPr>
          <w:rFonts w:ascii="Palatino Linotype" w:eastAsia="Palatino Linotype" w:hAnsi="Palatino Linotype" w:cs="Palatino Linotype"/>
          <w:b/>
        </w:rPr>
        <w:t>SEMYM/R</w:t>
      </w:r>
      <w:r w:rsidR="00AB5DA6" w:rsidRPr="008063BE">
        <w:rPr>
          <w:rFonts w:ascii="Palatino Linotype" w:eastAsia="Palatino Linotype" w:hAnsi="Palatino Linotype" w:cs="Palatino Linotype"/>
          <w:b/>
        </w:rPr>
        <w:t>D/2025</w:t>
      </w:r>
      <w:r w:rsidRPr="008063BE">
        <w:rPr>
          <w:rFonts w:ascii="Palatino Linotype" w:eastAsia="Palatino Linotype" w:hAnsi="Palatino Linotype" w:cs="Palatino Linotype"/>
        </w:rPr>
        <w:t>, en la que solicitó:</w:t>
      </w:r>
    </w:p>
    <w:p w14:paraId="5A6569D7" w14:textId="77777777" w:rsidR="00760187" w:rsidRPr="008063BE" w:rsidRDefault="00760187" w:rsidP="00555DA2">
      <w:pPr>
        <w:spacing w:line="360" w:lineRule="auto"/>
        <w:ind w:right="-28"/>
        <w:jc w:val="both"/>
        <w:rPr>
          <w:rFonts w:ascii="Palatino Linotype" w:eastAsia="Palatino Linotype" w:hAnsi="Palatino Linotype" w:cs="Palatino Linotype"/>
          <w:i/>
        </w:rPr>
      </w:pPr>
    </w:p>
    <w:p w14:paraId="7F9A3AFD" w14:textId="4942330E" w:rsidR="00760187" w:rsidRPr="008063BE" w:rsidRDefault="007751D1" w:rsidP="00555DA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rPr>
      </w:pPr>
      <w:r w:rsidRPr="008063BE">
        <w:rPr>
          <w:rFonts w:ascii="Palatino Linotype" w:eastAsia="Palatino Linotype" w:hAnsi="Palatino Linotype" w:cs="Palatino Linotype"/>
          <w:i/>
          <w:color w:val="000000"/>
        </w:rPr>
        <w:t>“</w:t>
      </w:r>
      <w:r w:rsidR="00AB5DA6" w:rsidRPr="008063BE">
        <w:rPr>
          <w:rFonts w:ascii="Palatino Linotype" w:hAnsi="Palatino Linotype"/>
          <w:i/>
          <w:color w:val="000000"/>
        </w:rPr>
        <w:t xml:space="preserve">En el movimiento de alta del Issemyn, omitieron poner un nombre establecen como nombre </w:t>
      </w:r>
      <w:r w:rsidR="00F73F43">
        <w:rPr>
          <w:rFonts w:ascii="Palatino Linotype" w:hAnsi="Palatino Linotype"/>
          <w:i/>
          <w:color w:val="000000"/>
        </w:rPr>
        <w:t>XXXX</w:t>
      </w:r>
      <w:r w:rsidRPr="008063BE">
        <w:rPr>
          <w:rFonts w:ascii="Palatino Linotype" w:eastAsia="Palatino Linotype" w:hAnsi="Palatino Linotype" w:cs="Palatino Linotype"/>
          <w:i/>
          <w:color w:val="000000"/>
        </w:rPr>
        <w:t>”</w:t>
      </w:r>
      <w:r w:rsidRPr="008063BE">
        <w:rPr>
          <w:rFonts w:ascii="Palatino Linotype" w:eastAsia="Palatino Linotype" w:hAnsi="Palatino Linotype" w:cs="Palatino Linotype"/>
          <w:color w:val="000000"/>
        </w:rPr>
        <w:t xml:space="preserve"> (sic)</w:t>
      </w:r>
    </w:p>
    <w:p w14:paraId="5AD5EC9A" w14:textId="77777777" w:rsidR="002D167F" w:rsidRPr="008063BE" w:rsidRDefault="002D167F" w:rsidP="00555DA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rPr>
      </w:pPr>
    </w:p>
    <w:p w14:paraId="5BE2B0FA" w14:textId="53E18572" w:rsidR="002D167F" w:rsidRPr="008063BE" w:rsidRDefault="002D167F" w:rsidP="00555DA2">
      <w:pPr>
        <w:pBdr>
          <w:top w:val="nil"/>
          <w:left w:val="nil"/>
          <w:bottom w:val="nil"/>
          <w:right w:val="nil"/>
          <w:between w:val="nil"/>
        </w:pBdr>
        <w:spacing w:line="276" w:lineRule="auto"/>
        <w:ind w:right="-28"/>
        <w:jc w:val="both"/>
        <w:rPr>
          <w:rFonts w:ascii="Palatino Linotype" w:eastAsia="Palatino Linotype" w:hAnsi="Palatino Linotype" w:cs="Palatino Linotype"/>
          <w:i/>
          <w:color w:val="000000"/>
        </w:rPr>
      </w:pPr>
      <w:r w:rsidRPr="008063BE">
        <w:rPr>
          <w:rFonts w:ascii="Palatino Linotype" w:hAnsi="Palatino Linotype"/>
          <w:i/>
          <w:color w:val="000000"/>
        </w:rPr>
        <w:t>“</w:t>
      </w:r>
      <w:proofErr w:type="spellStart"/>
      <w:r w:rsidRPr="008063BE">
        <w:rPr>
          <w:rFonts w:ascii="Palatino Linotype" w:hAnsi="Palatino Linotype"/>
          <w:i/>
          <w:color w:val="000000"/>
        </w:rPr>
        <w:t>Debiendomelos</w:t>
      </w:r>
      <w:proofErr w:type="spellEnd"/>
      <w:r w:rsidRPr="008063BE">
        <w:rPr>
          <w:rFonts w:ascii="Palatino Linotype" w:hAnsi="Palatino Linotype"/>
          <w:i/>
          <w:color w:val="000000"/>
        </w:rPr>
        <w:t xml:space="preserve"> ser </w:t>
      </w:r>
      <w:r w:rsidR="00F73F43">
        <w:rPr>
          <w:rFonts w:ascii="Palatino Linotype" w:hAnsi="Palatino Linotype"/>
          <w:i/>
          <w:color w:val="000000"/>
        </w:rPr>
        <w:t>XXXX</w:t>
      </w:r>
      <w:proofErr w:type="gramStart"/>
      <w:r w:rsidRPr="008063BE">
        <w:rPr>
          <w:rFonts w:ascii="Palatino Linotype" w:hAnsi="Palatino Linotype"/>
          <w:i/>
          <w:color w:val="000000"/>
        </w:rPr>
        <w:t>”(</w:t>
      </w:r>
      <w:proofErr w:type="gramEnd"/>
      <w:r w:rsidRPr="008063BE">
        <w:rPr>
          <w:rFonts w:ascii="Palatino Linotype" w:hAnsi="Palatino Linotype"/>
          <w:i/>
          <w:color w:val="000000"/>
        </w:rPr>
        <w:t>Sic)</w:t>
      </w:r>
    </w:p>
    <w:p w14:paraId="22AC4947" w14:textId="77777777" w:rsidR="00760187" w:rsidRPr="008063BE" w:rsidRDefault="00760187" w:rsidP="00555DA2">
      <w:pPr>
        <w:pBdr>
          <w:top w:val="nil"/>
          <w:left w:val="nil"/>
          <w:bottom w:val="nil"/>
          <w:right w:val="nil"/>
          <w:between w:val="nil"/>
        </w:pBdr>
        <w:spacing w:line="276" w:lineRule="auto"/>
        <w:ind w:right="-28"/>
        <w:jc w:val="both"/>
        <w:rPr>
          <w:rFonts w:ascii="Palatino Linotype" w:eastAsia="Palatino Linotype" w:hAnsi="Palatino Linotype" w:cs="Palatino Linotype"/>
          <w:color w:val="000000"/>
        </w:rPr>
      </w:pPr>
    </w:p>
    <w:p w14:paraId="4683F632" w14:textId="77777777" w:rsidR="00760187" w:rsidRPr="008063BE" w:rsidRDefault="00760187" w:rsidP="00555DA2">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rPr>
      </w:pPr>
    </w:p>
    <w:p w14:paraId="4F88A7FE" w14:textId="75656788" w:rsidR="00760187" w:rsidRPr="008063BE" w:rsidRDefault="007751D1" w:rsidP="00555DA2">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rPr>
      </w:pPr>
      <w:r w:rsidRPr="008063BE">
        <w:rPr>
          <w:rFonts w:ascii="Palatino Linotype" w:eastAsia="Palatino Linotype" w:hAnsi="Palatino Linotype" w:cs="Palatino Linotype"/>
          <w:color w:val="000000"/>
        </w:rPr>
        <w:lastRenderedPageBreak/>
        <w:t xml:space="preserve">Se señaló como </w:t>
      </w:r>
      <w:r w:rsidR="002D167F" w:rsidRPr="008063BE">
        <w:rPr>
          <w:rFonts w:ascii="Palatino Linotype" w:eastAsia="Palatino Linotype" w:hAnsi="Palatino Linotype" w:cs="Palatino Linotype"/>
          <w:color w:val="000000"/>
        </w:rPr>
        <w:t xml:space="preserve">medio de </w:t>
      </w:r>
      <w:r w:rsidR="00555DA2" w:rsidRPr="008063BE">
        <w:rPr>
          <w:rFonts w:ascii="Palatino Linotype" w:eastAsia="Palatino Linotype" w:hAnsi="Palatino Linotype" w:cs="Palatino Linotype"/>
          <w:color w:val="000000"/>
        </w:rPr>
        <w:t>oír</w:t>
      </w:r>
      <w:r w:rsidR="002D167F" w:rsidRPr="008063BE">
        <w:rPr>
          <w:rFonts w:ascii="Palatino Linotype" w:eastAsia="Palatino Linotype" w:hAnsi="Palatino Linotype" w:cs="Palatino Linotype"/>
          <w:color w:val="000000"/>
        </w:rPr>
        <w:t xml:space="preserve"> y recibir notificaciones </w:t>
      </w:r>
      <w:r w:rsidR="002D167F" w:rsidRPr="008063BE">
        <w:rPr>
          <w:rFonts w:ascii="Palatino Linotype" w:eastAsia="Palatino Linotype" w:hAnsi="Palatino Linotype" w:cs="Palatino Linotype"/>
          <w:b/>
          <w:color w:val="000000"/>
        </w:rPr>
        <w:t>correo electrónico</w:t>
      </w:r>
      <w:r w:rsidR="002D167F" w:rsidRPr="008063BE">
        <w:rPr>
          <w:rFonts w:ascii="Palatino Linotype" w:eastAsia="Palatino Linotype" w:hAnsi="Palatino Linotype" w:cs="Palatino Linotype"/>
          <w:color w:val="000000"/>
        </w:rPr>
        <w:t>.</w:t>
      </w:r>
    </w:p>
    <w:p w14:paraId="48A18E38" w14:textId="77777777" w:rsidR="00760187" w:rsidRPr="008063BE" w:rsidRDefault="00760187" w:rsidP="00555DA2">
      <w:pPr>
        <w:pBdr>
          <w:top w:val="nil"/>
          <w:left w:val="nil"/>
          <w:bottom w:val="nil"/>
          <w:right w:val="nil"/>
          <w:between w:val="nil"/>
        </w:pBdr>
        <w:tabs>
          <w:tab w:val="left" w:pos="284"/>
        </w:tabs>
        <w:spacing w:after="240" w:line="360" w:lineRule="auto"/>
        <w:ind w:right="-28"/>
        <w:jc w:val="both"/>
        <w:rPr>
          <w:rFonts w:ascii="Palatino Linotype" w:eastAsia="Palatino Linotype" w:hAnsi="Palatino Linotype" w:cs="Palatino Linotype"/>
          <w:color w:val="000000"/>
        </w:rPr>
      </w:pPr>
    </w:p>
    <w:p w14:paraId="78D9D71A" w14:textId="77777777" w:rsidR="00760187" w:rsidRPr="008063BE" w:rsidRDefault="007751D1" w:rsidP="00555DA2">
      <w:pPr>
        <w:numPr>
          <w:ilvl w:val="0"/>
          <w:numId w:val="2"/>
        </w:numPr>
        <w:spacing w:line="360" w:lineRule="auto"/>
        <w:ind w:left="0" w:right="-28" w:firstLine="0"/>
        <w:jc w:val="both"/>
        <w:rPr>
          <w:rFonts w:ascii="Palatino Linotype" w:eastAsia="Palatino Linotype" w:hAnsi="Palatino Linotype" w:cs="Palatino Linotype"/>
          <w:b/>
        </w:rPr>
      </w:pPr>
      <w:r w:rsidRPr="008063BE">
        <w:rPr>
          <w:rFonts w:ascii="Palatino Linotype" w:eastAsia="Palatino Linotype" w:hAnsi="Palatino Linotype" w:cs="Palatino Linotype"/>
        </w:rPr>
        <w:t xml:space="preserve">El </w:t>
      </w:r>
      <w:r w:rsidR="002D167F" w:rsidRPr="008063BE">
        <w:rPr>
          <w:rFonts w:ascii="Palatino Linotype" w:eastAsia="Palatino Linotype" w:hAnsi="Palatino Linotype" w:cs="Palatino Linotype"/>
          <w:b/>
        </w:rPr>
        <w:t>once de abril de dos mil veinticinco</w:t>
      </w:r>
      <w:r w:rsidRPr="008063BE">
        <w:rPr>
          <w:rFonts w:ascii="Palatino Linotype" w:eastAsia="Palatino Linotype" w:hAnsi="Palatino Linotype" w:cs="Palatino Linotype"/>
          <w:b/>
        </w:rPr>
        <w:t xml:space="preserve"> el SUJETO OBLIGADO</w:t>
      </w:r>
      <w:r w:rsidRPr="008063BE">
        <w:rPr>
          <w:rFonts w:ascii="Palatino Linotype" w:eastAsia="Palatino Linotype" w:hAnsi="Palatino Linotype" w:cs="Palatino Linotype"/>
        </w:rPr>
        <w:t xml:space="preserve">, dio respuesta a través de dos archivos electrónico </w:t>
      </w:r>
      <w:hyperlink r:id="rId8">
        <w:r w:rsidR="002D167F" w:rsidRPr="008063BE">
          <w:rPr>
            <w:rFonts w:ascii="Palatino Linotype" w:eastAsia="Palatino Linotype" w:hAnsi="Palatino Linotype" w:cs="Palatino Linotype"/>
          </w:rPr>
          <w:t>RESPUESTA 003.R</w:t>
        </w:r>
        <w:r w:rsidRPr="008063BE">
          <w:rPr>
            <w:rFonts w:ascii="Palatino Linotype" w:eastAsia="Palatino Linotype" w:hAnsi="Palatino Linotype" w:cs="Palatino Linotype"/>
          </w:rPr>
          <w:t>D.pdf</w:t>
        </w:r>
      </w:hyperlink>
      <w:r w:rsidRPr="008063BE">
        <w:rPr>
          <w:rFonts w:ascii="Palatino Linotype" w:eastAsia="Palatino Linotype" w:hAnsi="Palatino Linotype" w:cs="Palatino Linotype"/>
        </w:rPr>
        <w:t>, del que se desprende oficio en donde se advierte lo siguiente:</w:t>
      </w:r>
    </w:p>
    <w:p w14:paraId="581DFBB4" w14:textId="77777777" w:rsidR="002D167F" w:rsidRPr="008063BE" w:rsidRDefault="002D167F" w:rsidP="00555DA2">
      <w:pPr>
        <w:ind w:right="-28"/>
        <w:jc w:val="both"/>
        <w:rPr>
          <w:rFonts w:ascii="Palatino Linotype" w:eastAsia="Palatino Linotype" w:hAnsi="Palatino Linotype" w:cs="Palatino Linotype"/>
          <w:i/>
        </w:rPr>
      </w:pPr>
      <w:r w:rsidRPr="008063BE">
        <w:rPr>
          <w:rFonts w:ascii="Palatino Linotype" w:eastAsia="Palatino Linotype" w:hAnsi="Palatino Linotype" w:cs="Palatino Linotype"/>
          <w:i/>
        </w:rPr>
        <w:t>De acuerdo con el comunicado por la Enjcargada del Departamento de Vigencia de Derechos, adscrita a la Servidora Pública Habilitada de la Coordinación de Prestaciones y seguridad Social, informó:</w:t>
      </w:r>
    </w:p>
    <w:p w14:paraId="114DFA97" w14:textId="7CF5500C" w:rsidR="00760187" w:rsidRPr="008063BE" w:rsidRDefault="00F73F43" w:rsidP="00555DA2">
      <w:pPr>
        <w:ind w:right="-28"/>
        <w:jc w:val="both"/>
        <w:rPr>
          <w:rFonts w:ascii="Palatino Linotype" w:eastAsia="Palatino Linotype" w:hAnsi="Palatino Linotype" w:cs="Palatino Linotype"/>
          <w:i/>
        </w:rPr>
      </w:pPr>
      <w:r w:rsidRPr="00F73F43">
        <w:rPr>
          <w:rFonts w:ascii="Palatino Linotype" w:eastAsia="Palatino Linotype" w:hAnsi="Palatino Linotype" w:cs="Palatino Linotype"/>
          <w:i/>
        </w:rPr>
        <w:drawing>
          <wp:inline distT="0" distB="0" distL="0" distR="0" wp14:anchorId="6A0CE061" wp14:editId="0B08EB8B">
            <wp:extent cx="5744377" cy="132416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377" cy="1324160"/>
                    </a:xfrm>
                    <a:prstGeom prst="rect">
                      <a:avLst/>
                    </a:prstGeom>
                  </pic:spPr>
                </pic:pic>
              </a:graphicData>
            </a:graphic>
          </wp:inline>
        </w:drawing>
      </w:r>
    </w:p>
    <w:p w14:paraId="7793304B" w14:textId="59413E27" w:rsidR="00760187" w:rsidRPr="008063BE" w:rsidRDefault="002D167F" w:rsidP="00555DA2">
      <w:pPr>
        <w:spacing w:line="360" w:lineRule="auto"/>
        <w:ind w:right="-28"/>
        <w:jc w:val="both"/>
        <w:rPr>
          <w:rFonts w:ascii="Palatino Linotype" w:eastAsia="Palatino Linotype" w:hAnsi="Palatino Linotype" w:cs="Palatino Linotype"/>
          <w:i/>
        </w:rPr>
      </w:pPr>
      <w:r w:rsidRPr="008063BE">
        <w:rPr>
          <w:rFonts w:ascii="Palatino Linotype" w:eastAsia="Palatino Linotype" w:hAnsi="Palatino Linotype" w:cs="Palatino Linotype"/>
          <w:i/>
        </w:rPr>
        <w:t>Por lo que no existe impedimento legal para que se le brinde acceso a dicha información.</w:t>
      </w:r>
    </w:p>
    <w:p w14:paraId="64B0AB59"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 xml:space="preserve">El </w:t>
      </w:r>
      <w:r w:rsidRPr="008063BE">
        <w:rPr>
          <w:rFonts w:ascii="Palatino Linotype" w:eastAsia="Palatino Linotype" w:hAnsi="Palatino Linotype" w:cs="Palatino Linotype"/>
          <w:b/>
        </w:rPr>
        <w:t>o</w:t>
      </w:r>
      <w:r w:rsidR="002D167F" w:rsidRPr="008063BE">
        <w:rPr>
          <w:rFonts w:ascii="Palatino Linotype" w:eastAsia="Palatino Linotype" w:hAnsi="Palatino Linotype" w:cs="Palatino Linotype"/>
          <w:b/>
        </w:rPr>
        <w:t>nce de abril de dos mil  veinticinco</w:t>
      </w:r>
      <w:r w:rsidRPr="008063BE">
        <w:rPr>
          <w:rFonts w:ascii="Palatino Linotype" w:eastAsia="Palatino Linotype" w:hAnsi="Palatino Linotype" w:cs="Palatino Linotype"/>
        </w:rPr>
        <w:t>, el particular interpuso  recurso de revisión en contra de la respuesta, manifestando las siguientes razones o motivos de inconformidad:</w:t>
      </w:r>
    </w:p>
    <w:p w14:paraId="68AA6A25" w14:textId="77777777" w:rsidR="00760187" w:rsidRPr="008063BE" w:rsidRDefault="00760187" w:rsidP="00555DA2">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rPr>
      </w:pPr>
    </w:p>
    <w:p w14:paraId="6CB6EE19" w14:textId="5490CE2E" w:rsidR="002D167F" w:rsidRPr="008063BE" w:rsidRDefault="002D167F" w:rsidP="00555DA2">
      <w:pPr>
        <w:ind w:right="-28"/>
        <w:jc w:val="both"/>
        <w:rPr>
          <w:rFonts w:ascii="Palatino Linotype" w:hAnsi="Palatino Linotype"/>
          <w:i/>
        </w:rPr>
      </w:pPr>
      <w:r w:rsidRPr="008063BE">
        <w:rPr>
          <w:rFonts w:ascii="Palatino Linotype" w:hAnsi="Palatino Linotype"/>
          <w:i/>
        </w:rPr>
        <w:t xml:space="preserve">Al pretender visualizar la respuesta el sujeto obligado bajo la respuesta motivo por lo cual, materialmente no realizó la rectificación de mi nombre sin tener razón para ello; pues como se señaló y con la aportación de pruebas ofrecidas se desprende de manera clara y precisa que el nombre que se tiene registrado en el Issemyn es incorrecto a pesar de que se demostró, con la documentación que se adjuntó se establece desprende manera clara y precisa un error en mi nombre. Vulnerando mis derechos arco, donde se establece que es un derecho constitucional que cuando se aporten pruebas o medios de convicción se debe rectificar mi nombre, motivo por lo cual reitero que en toda la documencion exhibida se desprende que mi nombre correcto es </w:t>
      </w:r>
      <w:r w:rsidR="00F73F43">
        <w:rPr>
          <w:rFonts w:ascii="Palatino Linotype" w:hAnsi="Palatino Linotype"/>
          <w:i/>
        </w:rPr>
        <w:t xml:space="preserve">XXXX </w:t>
      </w:r>
      <w:r w:rsidRPr="008063BE">
        <w:rPr>
          <w:rFonts w:ascii="Palatino Linotype" w:hAnsi="Palatino Linotype"/>
          <w:i/>
        </w:rPr>
        <w:t>y no así como lo tiene establecido el Issemyn y por ese solo hecho debe realizarse la corrección</w:t>
      </w:r>
    </w:p>
    <w:p w14:paraId="40D91B0F" w14:textId="77777777" w:rsidR="00760187" w:rsidRPr="008063BE" w:rsidRDefault="00760187" w:rsidP="00555DA2">
      <w:pPr>
        <w:spacing w:line="276" w:lineRule="auto"/>
        <w:ind w:right="-28"/>
        <w:jc w:val="both"/>
        <w:rPr>
          <w:rFonts w:ascii="Palatino Linotype" w:eastAsia="Palatino Linotype" w:hAnsi="Palatino Linotype" w:cs="Palatino Linotype"/>
          <w:b/>
          <w:i/>
          <w:color w:val="000000"/>
        </w:rPr>
      </w:pPr>
    </w:p>
    <w:p w14:paraId="63EFF087"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w:t>
      </w:r>
      <w:r w:rsidRPr="008063BE">
        <w:rPr>
          <w:rFonts w:ascii="Palatino Linotype" w:eastAsia="Palatino Linotype" w:hAnsi="Palatino Linotype" w:cs="Palatino Linotype"/>
          <w:b/>
        </w:rPr>
        <w:t>Ley de Transparencia y Acceso a la Información Pública del Estado de México y Municipios</w:t>
      </w:r>
      <w:r w:rsidRPr="008063BE">
        <w:rPr>
          <w:rFonts w:ascii="Palatino Linotype" w:eastAsia="Palatino Linotype" w:hAnsi="Palatino Linotype" w:cs="Palatino Linotype"/>
        </w:rPr>
        <w:t>, se turna a la Comisionada María del Rosario Mejía Ayala, para su análisis.</w:t>
      </w:r>
    </w:p>
    <w:p w14:paraId="06EB6255" w14:textId="77777777" w:rsidR="00760187" w:rsidRPr="008063BE" w:rsidRDefault="00760187" w:rsidP="00555DA2">
      <w:pPr>
        <w:spacing w:line="360" w:lineRule="auto"/>
        <w:ind w:right="-28"/>
        <w:jc w:val="both"/>
        <w:rPr>
          <w:rFonts w:ascii="Palatino Linotype" w:eastAsia="Palatino Linotype" w:hAnsi="Palatino Linotype" w:cs="Palatino Linotype"/>
        </w:rPr>
      </w:pPr>
    </w:p>
    <w:p w14:paraId="0F2810F4"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notificado el </w:t>
      </w:r>
      <w:r w:rsidR="002D167F" w:rsidRPr="008063BE">
        <w:rPr>
          <w:rFonts w:ascii="Palatino Linotype" w:eastAsia="Palatino Linotype" w:hAnsi="Palatino Linotype" w:cs="Palatino Linotype"/>
          <w:b/>
        </w:rPr>
        <w:t>veintitrés de abril de dos mil veinticinco</w:t>
      </w:r>
      <w:r w:rsidRPr="008063BE">
        <w:rPr>
          <w:rFonts w:ascii="Palatino Linotype" w:eastAsia="Palatino Linotype" w:hAnsi="Palatino Linotype" w:cs="Palatino Linotype"/>
          <w:b/>
        </w:rPr>
        <w:t>,</w:t>
      </w:r>
      <w:r w:rsidRPr="008063BE">
        <w:rPr>
          <w:rFonts w:ascii="Palatino Linotype" w:eastAsia="Palatino Linotype" w:hAnsi="Palatino Linotype" w:cs="Palatino Linotype"/>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SUJETO OBLIGADO presentará el Informe Justificado procedente.</w:t>
      </w:r>
    </w:p>
    <w:p w14:paraId="0F1F0B5A" w14:textId="77777777" w:rsidR="00760187" w:rsidRPr="008063BE" w:rsidRDefault="00760187" w:rsidP="00555DA2">
      <w:pPr>
        <w:spacing w:line="360" w:lineRule="auto"/>
        <w:ind w:right="-28"/>
        <w:jc w:val="both"/>
        <w:rPr>
          <w:rFonts w:ascii="Palatino Linotype" w:eastAsia="Palatino Linotype" w:hAnsi="Palatino Linotype" w:cs="Palatino Linotype"/>
        </w:rPr>
      </w:pPr>
    </w:p>
    <w:p w14:paraId="350343B4"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 xml:space="preserve">El </w:t>
      </w:r>
      <w:r w:rsidR="002D167F" w:rsidRPr="008063BE">
        <w:rPr>
          <w:rFonts w:ascii="Palatino Linotype" w:eastAsia="Palatino Linotype" w:hAnsi="Palatino Linotype" w:cs="Palatino Linotype"/>
          <w:b/>
        </w:rPr>
        <w:t>veinticuatro de abril de dos mil veinticinco</w:t>
      </w:r>
      <w:r w:rsidRPr="008063BE">
        <w:rPr>
          <w:rFonts w:ascii="Palatino Linotype" w:eastAsia="Palatino Linotype" w:hAnsi="Palatino Linotype" w:cs="Palatino Linotype"/>
        </w:rPr>
        <w:t xml:space="preserve">, el Recurrente desistió del recurso de revisión, tal y como se muestra en la siguiente captura de pantalla. </w:t>
      </w:r>
    </w:p>
    <w:p w14:paraId="59491938" w14:textId="781E4FE7" w:rsidR="00760187" w:rsidRPr="008063BE" w:rsidRDefault="007751D1" w:rsidP="00555DA2">
      <w:pPr>
        <w:spacing w:line="360" w:lineRule="auto"/>
        <w:ind w:right="-28"/>
        <w:jc w:val="both"/>
        <w:rPr>
          <w:rFonts w:ascii="Palatino Linotype" w:hAnsi="Palatino Linotype"/>
        </w:rPr>
      </w:pPr>
      <w:bookmarkStart w:id="1" w:name="_heading=h.30j0zll" w:colFirst="0" w:colLast="0"/>
      <w:bookmarkEnd w:id="1"/>
      <w:r w:rsidRPr="008063BE">
        <w:rPr>
          <w:rFonts w:ascii="Palatino Linotype" w:hAnsi="Palatino Linotype"/>
        </w:rPr>
        <w:t xml:space="preserve"> </w:t>
      </w:r>
      <w:r w:rsidR="00714257" w:rsidRPr="00714257">
        <w:rPr>
          <w:rFonts w:ascii="Palatino Linotype" w:hAnsi="Palatino Linotype"/>
        </w:rPr>
        <w:drawing>
          <wp:inline distT="0" distB="0" distL="0" distR="0" wp14:anchorId="3DEC38D8" wp14:editId="2A4D8DE9">
            <wp:extent cx="5734850" cy="253400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850" cy="2534004"/>
                    </a:xfrm>
                    <a:prstGeom prst="rect">
                      <a:avLst/>
                    </a:prstGeom>
                  </pic:spPr>
                </pic:pic>
              </a:graphicData>
            </a:graphic>
          </wp:inline>
        </w:drawing>
      </w:r>
    </w:p>
    <w:p w14:paraId="64596876" w14:textId="77777777" w:rsidR="00760187" w:rsidRPr="008063BE" w:rsidRDefault="00760187" w:rsidP="00555DA2">
      <w:pPr>
        <w:spacing w:line="360" w:lineRule="auto"/>
        <w:ind w:right="-28"/>
        <w:jc w:val="both"/>
        <w:rPr>
          <w:rFonts w:ascii="Palatino Linotype" w:hAnsi="Palatino Linotype"/>
        </w:rPr>
      </w:pPr>
    </w:p>
    <w:p w14:paraId="55095F04" w14:textId="77777777" w:rsidR="00760187" w:rsidRPr="008063BE" w:rsidRDefault="007751D1" w:rsidP="00555DA2">
      <w:pPr>
        <w:spacing w:line="360" w:lineRule="auto"/>
        <w:ind w:right="-28"/>
        <w:jc w:val="both"/>
        <w:rPr>
          <w:rFonts w:ascii="Palatino Linotype" w:hAnsi="Palatino Linotype"/>
        </w:rPr>
      </w:pPr>
      <w:r w:rsidRPr="008063BE">
        <w:rPr>
          <w:rFonts w:ascii="Palatino Linotype" w:hAnsi="Palatino Linotype"/>
        </w:rPr>
        <w:t>Del Recurso de Revisión Desistido se desprende lo siguiente:</w:t>
      </w:r>
    </w:p>
    <w:p w14:paraId="638F08B9" w14:textId="77777777" w:rsidR="00760187" w:rsidRPr="008063BE" w:rsidRDefault="00760187" w:rsidP="00555DA2">
      <w:pPr>
        <w:spacing w:line="360" w:lineRule="auto"/>
        <w:ind w:right="-28"/>
        <w:jc w:val="both"/>
        <w:rPr>
          <w:rFonts w:ascii="Palatino Linotype" w:hAnsi="Palatino Linotype"/>
        </w:rPr>
      </w:pPr>
    </w:p>
    <w:tbl>
      <w:tblPr>
        <w:tblStyle w:val="a"/>
        <w:tblW w:w="10500" w:type="dxa"/>
        <w:jc w:val="center"/>
        <w:tblInd w:w="0" w:type="dxa"/>
        <w:tblLayout w:type="fixed"/>
        <w:tblLook w:val="0400" w:firstRow="0" w:lastRow="0" w:firstColumn="0" w:lastColumn="0" w:noHBand="0" w:noVBand="1"/>
      </w:tblPr>
      <w:tblGrid>
        <w:gridCol w:w="10500"/>
      </w:tblGrid>
      <w:tr w:rsidR="00FD1183" w:rsidRPr="008063BE" w14:paraId="3D880DDD" w14:textId="77777777">
        <w:trPr>
          <w:trHeight w:val="300"/>
          <w:jc w:val="center"/>
        </w:trPr>
        <w:tc>
          <w:tcPr>
            <w:tcW w:w="10500" w:type="dxa"/>
            <w:vAlign w:val="center"/>
          </w:tcPr>
          <w:p w14:paraId="014E8D1C" w14:textId="77777777" w:rsidR="00FD1183" w:rsidRPr="008063BE" w:rsidRDefault="00FD1183" w:rsidP="00555DA2">
            <w:pPr>
              <w:ind w:right="-28"/>
              <w:jc w:val="right"/>
              <w:rPr>
                <w:rFonts w:ascii="Palatino Linotype" w:hAnsi="Palatino Linotype"/>
                <w:i/>
              </w:rPr>
            </w:pPr>
            <w:r w:rsidRPr="008063BE">
              <w:rPr>
                <w:rFonts w:ascii="Palatino Linotype" w:hAnsi="Palatino Linotype"/>
                <w:i/>
              </w:rPr>
              <w:t>Metepec, México a 24 de Abril de 2025</w:t>
            </w:r>
          </w:p>
        </w:tc>
      </w:tr>
      <w:tr w:rsidR="00FD1183" w:rsidRPr="008063BE" w14:paraId="42928F2A" w14:textId="77777777">
        <w:trPr>
          <w:trHeight w:val="300"/>
          <w:jc w:val="center"/>
        </w:trPr>
        <w:tc>
          <w:tcPr>
            <w:tcW w:w="10500" w:type="dxa"/>
            <w:vAlign w:val="center"/>
          </w:tcPr>
          <w:p w14:paraId="2788B4F3" w14:textId="76416CAA" w:rsidR="00FD1183" w:rsidRPr="008063BE" w:rsidRDefault="00FD1183" w:rsidP="00F73F43">
            <w:pPr>
              <w:ind w:right="-28"/>
              <w:jc w:val="right"/>
              <w:rPr>
                <w:rFonts w:ascii="Palatino Linotype" w:hAnsi="Palatino Linotype"/>
                <w:i/>
              </w:rPr>
            </w:pPr>
            <w:r w:rsidRPr="008063BE">
              <w:rPr>
                <w:rFonts w:ascii="Palatino Linotype" w:hAnsi="Palatino Linotype"/>
                <w:i/>
              </w:rPr>
              <w:t xml:space="preserve">Nombre del solicitante: </w:t>
            </w:r>
            <w:r w:rsidR="00F73F43">
              <w:rPr>
                <w:rFonts w:ascii="Palatino Linotype" w:hAnsi="Palatino Linotype"/>
                <w:i/>
              </w:rPr>
              <w:t>XXXX</w:t>
            </w:r>
          </w:p>
        </w:tc>
      </w:tr>
      <w:tr w:rsidR="00FD1183" w:rsidRPr="008063BE" w14:paraId="73E2F4D6" w14:textId="77777777">
        <w:trPr>
          <w:trHeight w:val="300"/>
          <w:jc w:val="center"/>
        </w:trPr>
        <w:tc>
          <w:tcPr>
            <w:tcW w:w="10500" w:type="dxa"/>
            <w:vAlign w:val="center"/>
          </w:tcPr>
          <w:p w14:paraId="0B8B23A4" w14:textId="77777777" w:rsidR="00FD1183" w:rsidRPr="008063BE" w:rsidRDefault="00FD1183" w:rsidP="00555DA2">
            <w:pPr>
              <w:ind w:right="-28"/>
              <w:jc w:val="right"/>
              <w:rPr>
                <w:rFonts w:ascii="Palatino Linotype" w:hAnsi="Palatino Linotype"/>
                <w:i/>
              </w:rPr>
            </w:pPr>
            <w:r w:rsidRPr="008063BE">
              <w:rPr>
                <w:rFonts w:ascii="Palatino Linotype" w:hAnsi="Palatino Linotype"/>
                <w:i/>
              </w:rPr>
              <w:t>Folio de la solicitud: 00003/ISSEMYM/RD/2025</w:t>
            </w:r>
          </w:p>
        </w:tc>
      </w:tr>
      <w:tr w:rsidR="00FD1183" w:rsidRPr="008063BE" w14:paraId="3F3B7B64" w14:textId="77777777">
        <w:trPr>
          <w:trHeight w:val="450"/>
          <w:jc w:val="center"/>
        </w:trPr>
        <w:tc>
          <w:tcPr>
            <w:tcW w:w="10500" w:type="dxa"/>
            <w:vAlign w:val="center"/>
          </w:tcPr>
          <w:p w14:paraId="64D7A0AA" w14:textId="77777777" w:rsidR="00FD1183" w:rsidRPr="008063BE" w:rsidRDefault="00FD1183" w:rsidP="00555DA2">
            <w:pPr>
              <w:ind w:right="-28"/>
              <w:jc w:val="right"/>
              <w:rPr>
                <w:rFonts w:ascii="Palatino Linotype" w:hAnsi="Palatino Linotype"/>
                <w:i/>
              </w:rPr>
            </w:pPr>
          </w:p>
        </w:tc>
      </w:tr>
      <w:tr w:rsidR="00FD1183" w:rsidRPr="008063BE" w14:paraId="689C49A1" w14:textId="77777777">
        <w:trPr>
          <w:trHeight w:val="150"/>
          <w:jc w:val="center"/>
        </w:trPr>
        <w:tc>
          <w:tcPr>
            <w:tcW w:w="10500" w:type="dxa"/>
            <w:vAlign w:val="center"/>
          </w:tcPr>
          <w:p w14:paraId="67F978CD" w14:textId="77777777" w:rsidR="00FD1183" w:rsidRPr="008063BE" w:rsidRDefault="00FD1183" w:rsidP="00555DA2">
            <w:pPr>
              <w:ind w:right="-28"/>
              <w:jc w:val="center"/>
              <w:rPr>
                <w:rFonts w:ascii="Palatino Linotype" w:hAnsi="Palatino Linotype"/>
                <w:i/>
              </w:rPr>
            </w:pPr>
          </w:p>
        </w:tc>
      </w:tr>
      <w:tr w:rsidR="00FD1183" w:rsidRPr="008063BE" w14:paraId="7457BBFB" w14:textId="77777777">
        <w:trPr>
          <w:trHeight w:val="375"/>
          <w:jc w:val="center"/>
        </w:trPr>
        <w:tc>
          <w:tcPr>
            <w:tcW w:w="10500" w:type="dxa"/>
            <w:vAlign w:val="center"/>
          </w:tcPr>
          <w:p w14:paraId="4EC19AAD" w14:textId="77777777" w:rsidR="00FD1183" w:rsidRPr="008063BE" w:rsidRDefault="00FD1183" w:rsidP="00555DA2">
            <w:pPr>
              <w:ind w:right="-28"/>
              <w:rPr>
                <w:rFonts w:ascii="Palatino Linotype" w:hAnsi="Palatino Linotype"/>
                <w:i/>
              </w:rPr>
            </w:pPr>
          </w:p>
        </w:tc>
      </w:tr>
      <w:tr w:rsidR="00FD1183" w:rsidRPr="008063BE" w14:paraId="2178B267" w14:textId="77777777">
        <w:trPr>
          <w:trHeight w:val="150"/>
          <w:jc w:val="center"/>
        </w:trPr>
        <w:tc>
          <w:tcPr>
            <w:tcW w:w="10500" w:type="dxa"/>
            <w:vAlign w:val="center"/>
          </w:tcPr>
          <w:p w14:paraId="64D383EB" w14:textId="77777777" w:rsidR="00FD1183" w:rsidRPr="008063BE" w:rsidRDefault="00FD1183" w:rsidP="00555DA2">
            <w:pPr>
              <w:ind w:right="-28"/>
              <w:rPr>
                <w:rFonts w:ascii="Palatino Linotype" w:hAnsi="Palatino Linotype"/>
                <w:i/>
              </w:rPr>
            </w:pPr>
            <w:r w:rsidRPr="008063BE">
              <w:rPr>
                <w:rFonts w:ascii="Palatino Linotype" w:hAnsi="Palatino Linotype"/>
                <w:i/>
              </w:rPr>
              <w:t>El ISSSEMYN, resolvió de manera favorable mi corrección de datos</w:t>
            </w:r>
          </w:p>
        </w:tc>
      </w:tr>
      <w:tr w:rsidR="00760187" w:rsidRPr="008063BE" w14:paraId="5572BE67" w14:textId="77777777">
        <w:trPr>
          <w:jc w:val="center"/>
        </w:trPr>
        <w:tc>
          <w:tcPr>
            <w:tcW w:w="10500" w:type="dxa"/>
            <w:vAlign w:val="center"/>
          </w:tcPr>
          <w:p w14:paraId="2E60DFB4" w14:textId="77777777" w:rsidR="00760187" w:rsidRPr="008063BE" w:rsidRDefault="00760187" w:rsidP="00555DA2">
            <w:pPr>
              <w:ind w:right="-28"/>
              <w:rPr>
                <w:rFonts w:ascii="Palatino Linotype" w:hAnsi="Palatino Linotype"/>
              </w:rPr>
            </w:pPr>
          </w:p>
        </w:tc>
      </w:tr>
    </w:tbl>
    <w:p w14:paraId="2DFF503C" w14:textId="77777777" w:rsidR="00760187" w:rsidRPr="008063BE" w:rsidRDefault="00760187" w:rsidP="00555DA2">
      <w:pPr>
        <w:spacing w:line="360" w:lineRule="auto"/>
        <w:ind w:right="-28"/>
        <w:jc w:val="both"/>
        <w:rPr>
          <w:rFonts w:ascii="Palatino Linotype" w:eastAsia="Palatino Linotype" w:hAnsi="Palatino Linotype" w:cs="Palatino Linotype"/>
        </w:rPr>
      </w:pPr>
    </w:p>
    <w:p w14:paraId="36B5C6F8"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La Comisionada Ponente, notificó el acuerdo de cier</w:t>
      </w:r>
      <w:r w:rsidR="00AE365E" w:rsidRPr="008063BE">
        <w:rPr>
          <w:rFonts w:ascii="Palatino Linotype" w:eastAsia="Palatino Linotype" w:hAnsi="Palatino Linotype" w:cs="Palatino Linotype"/>
        </w:rPr>
        <w:t xml:space="preserve">re de instrucción en fecha </w:t>
      </w:r>
      <w:r w:rsidR="00FD1183" w:rsidRPr="008063BE">
        <w:rPr>
          <w:rFonts w:ascii="Palatino Linotype" w:eastAsia="Palatino Linotype" w:hAnsi="Palatino Linotype" w:cs="Palatino Linotype"/>
        </w:rPr>
        <w:t>veinticuatro de abril de dos mil veinticinco</w:t>
      </w:r>
      <w:r w:rsidRPr="008063BE">
        <w:rPr>
          <w:rFonts w:ascii="Palatino Linotype" w:eastAsia="Palatino Linotype" w:hAnsi="Palatino Linotype" w:cs="Palatino Linotype"/>
        </w:rPr>
        <w:t xml:space="preserve">.   </w:t>
      </w:r>
    </w:p>
    <w:p w14:paraId="769EE245" w14:textId="77777777" w:rsidR="00760187" w:rsidRPr="008063BE" w:rsidRDefault="007751D1" w:rsidP="00555DA2">
      <w:pPr>
        <w:pStyle w:val="Ttulo2"/>
        <w:ind w:right="-28"/>
        <w:jc w:val="center"/>
        <w:rPr>
          <w:rFonts w:ascii="Palatino Linotype" w:eastAsia="Palatino Linotype" w:hAnsi="Palatino Linotype" w:cs="Palatino Linotype"/>
          <w:b/>
          <w:color w:val="000000"/>
          <w:sz w:val="24"/>
          <w:szCs w:val="24"/>
        </w:rPr>
      </w:pPr>
      <w:bookmarkStart w:id="2" w:name="_heading=h.1fob9te" w:colFirst="0" w:colLast="0"/>
      <w:bookmarkEnd w:id="2"/>
      <w:r w:rsidRPr="008063BE">
        <w:rPr>
          <w:rFonts w:ascii="Palatino Linotype" w:eastAsia="Palatino Linotype" w:hAnsi="Palatino Linotype" w:cs="Palatino Linotype"/>
          <w:b/>
          <w:color w:val="000000"/>
          <w:sz w:val="24"/>
          <w:szCs w:val="24"/>
        </w:rPr>
        <w:t>C O N S I D E R A N D O</w:t>
      </w:r>
    </w:p>
    <w:p w14:paraId="485B6A86" w14:textId="77777777" w:rsidR="00760187" w:rsidRPr="008063BE" w:rsidRDefault="00760187" w:rsidP="00555DA2">
      <w:pPr>
        <w:ind w:right="-28"/>
        <w:rPr>
          <w:rFonts w:ascii="Palatino Linotype" w:hAnsi="Palatino Linotype"/>
        </w:rPr>
      </w:pPr>
    </w:p>
    <w:p w14:paraId="76128173" w14:textId="77777777" w:rsidR="00760187" w:rsidRPr="008063BE" w:rsidRDefault="007751D1" w:rsidP="00555DA2">
      <w:pPr>
        <w:pStyle w:val="Ttulo2"/>
        <w:spacing w:line="360" w:lineRule="auto"/>
        <w:ind w:right="-28"/>
        <w:rPr>
          <w:rFonts w:ascii="Palatino Linotype" w:eastAsia="Palatino Linotype" w:hAnsi="Palatino Linotype" w:cs="Palatino Linotype"/>
          <w:b/>
          <w:color w:val="000000"/>
          <w:sz w:val="24"/>
          <w:szCs w:val="24"/>
        </w:rPr>
      </w:pPr>
      <w:bookmarkStart w:id="3" w:name="_heading=h.3znysh7" w:colFirst="0" w:colLast="0"/>
      <w:bookmarkEnd w:id="3"/>
      <w:r w:rsidRPr="008063BE">
        <w:rPr>
          <w:rFonts w:ascii="Palatino Linotype" w:eastAsia="Palatino Linotype" w:hAnsi="Palatino Linotype" w:cs="Palatino Linotype"/>
          <w:b/>
          <w:color w:val="000000"/>
          <w:sz w:val="24"/>
          <w:szCs w:val="24"/>
        </w:rPr>
        <w:t>PRIMERO. De la competencia</w:t>
      </w:r>
    </w:p>
    <w:p w14:paraId="3EFD12C3"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w:t>
      </w:r>
      <w:r w:rsidRPr="008063BE">
        <w:rPr>
          <w:rFonts w:ascii="Palatino Linotype" w:eastAsia="Palatino Linotype" w:hAnsi="Palatino Linotype" w:cs="Palatino Linotype"/>
        </w:rPr>
        <w:lastRenderedPageBreak/>
        <w:t>del Instituto de Transparencia, Acceso a la Información Pública y Protección de Datos Personales del Estado de México y Municipios.</w:t>
      </w:r>
    </w:p>
    <w:p w14:paraId="0DC59198" w14:textId="77777777" w:rsidR="00760187" w:rsidRPr="008063BE" w:rsidRDefault="00760187" w:rsidP="00555DA2">
      <w:pPr>
        <w:pBdr>
          <w:top w:val="nil"/>
          <w:left w:val="nil"/>
          <w:bottom w:val="nil"/>
          <w:right w:val="nil"/>
          <w:between w:val="nil"/>
        </w:pBdr>
        <w:tabs>
          <w:tab w:val="left" w:pos="284"/>
          <w:tab w:val="left" w:pos="426"/>
        </w:tabs>
        <w:spacing w:line="360" w:lineRule="auto"/>
        <w:ind w:right="-28"/>
        <w:jc w:val="both"/>
        <w:rPr>
          <w:rFonts w:ascii="Palatino Linotype" w:eastAsia="Palatino Linotype" w:hAnsi="Palatino Linotype" w:cs="Palatino Linotype"/>
          <w:b/>
          <w:color w:val="000000"/>
        </w:rPr>
      </w:pPr>
    </w:p>
    <w:p w14:paraId="6F6F2405" w14:textId="77777777" w:rsidR="00760187" w:rsidRPr="008063BE" w:rsidRDefault="007751D1" w:rsidP="00555DA2">
      <w:pPr>
        <w:pStyle w:val="Ttulo2"/>
        <w:tabs>
          <w:tab w:val="left" w:pos="284"/>
          <w:tab w:val="left" w:pos="426"/>
        </w:tabs>
        <w:spacing w:line="360" w:lineRule="auto"/>
        <w:ind w:right="-28"/>
        <w:rPr>
          <w:rFonts w:ascii="Palatino Linotype" w:eastAsia="Palatino Linotype" w:hAnsi="Palatino Linotype" w:cs="Palatino Linotype"/>
          <w:b/>
          <w:color w:val="000000"/>
          <w:sz w:val="24"/>
          <w:szCs w:val="24"/>
        </w:rPr>
      </w:pPr>
      <w:bookmarkStart w:id="4" w:name="_heading=h.2et92p0" w:colFirst="0" w:colLast="0"/>
      <w:bookmarkEnd w:id="4"/>
      <w:r w:rsidRPr="008063BE">
        <w:rPr>
          <w:rFonts w:ascii="Palatino Linotype" w:eastAsia="Palatino Linotype" w:hAnsi="Palatino Linotype" w:cs="Palatino Linotype"/>
          <w:b/>
          <w:color w:val="000000"/>
          <w:sz w:val="24"/>
          <w:szCs w:val="24"/>
        </w:rPr>
        <w:t>SEGUNDO. De la oportunidad y procedencia.</w:t>
      </w:r>
    </w:p>
    <w:p w14:paraId="15C5CFAD"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bookmarkStart w:id="5" w:name="_heading=h.tyjcwt" w:colFirst="0" w:colLast="0"/>
      <w:bookmarkEnd w:id="5"/>
      <w:r w:rsidRPr="008063BE">
        <w:rPr>
          <w:rFonts w:ascii="Palatino Linotype" w:eastAsia="Palatino Linotype" w:hAnsi="Palatino Linotype" w:cs="Palatino Linotype"/>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BCDD10" w14:textId="77777777" w:rsidR="00760187" w:rsidRPr="008063BE" w:rsidRDefault="00760187" w:rsidP="00555DA2">
      <w:pPr>
        <w:spacing w:line="360" w:lineRule="auto"/>
        <w:ind w:right="-28"/>
        <w:jc w:val="both"/>
        <w:rPr>
          <w:rFonts w:ascii="Palatino Linotype" w:eastAsia="Palatino Linotype" w:hAnsi="Palatino Linotype" w:cs="Palatino Linotype"/>
        </w:rPr>
      </w:pPr>
    </w:p>
    <w:p w14:paraId="48799803"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7BC985D3" w14:textId="77777777" w:rsidR="00760187" w:rsidRPr="008063BE" w:rsidRDefault="00760187" w:rsidP="00555DA2">
      <w:pPr>
        <w:spacing w:line="360" w:lineRule="auto"/>
        <w:ind w:right="-28"/>
        <w:jc w:val="both"/>
        <w:rPr>
          <w:rFonts w:ascii="Palatino Linotype" w:eastAsia="Palatino Linotype" w:hAnsi="Palatino Linotype" w:cs="Palatino Linotype"/>
        </w:rPr>
      </w:pPr>
    </w:p>
    <w:p w14:paraId="7D1FEE94"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lastRenderedPageBreak/>
        <w:t>Asimismo, se considera por lo que hace a la fracción III, del artículo 191, de la Ley de la materia, toda vez, que ya ha sido admitido el Recurso de Revisión, se realizará el análisis correspondiente en el Considerando Tercero.</w:t>
      </w:r>
    </w:p>
    <w:p w14:paraId="4D109894" w14:textId="77777777" w:rsidR="00760187" w:rsidRPr="008063BE" w:rsidRDefault="007751D1" w:rsidP="00555DA2">
      <w:pPr>
        <w:pStyle w:val="Ttulo1"/>
        <w:tabs>
          <w:tab w:val="left" w:pos="284"/>
          <w:tab w:val="left" w:pos="426"/>
        </w:tabs>
        <w:spacing w:line="360" w:lineRule="auto"/>
        <w:ind w:right="-28"/>
        <w:rPr>
          <w:rFonts w:ascii="Palatino Linotype" w:eastAsia="Palatino Linotype" w:hAnsi="Palatino Linotype" w:cs="Palatino Linotype"/>
          <w:b/>
          <w:color w:val="000000"/>
          <w:sz w:val="24"/>
          <w:szCs w:val="24"/>
        </w:rPr>
      </w:pPr>
      <w:r w:rsidRPr="008063BE">
        <w:rPr>
          <w:rFonts w:ascii="Palatino Linotype" w:eastAsia="Palatino Linotype" w:hAnsi="Palatino Linotype" w:cs="Palatino Linotype"/>
          <w:b/>
          <w:color w:val="000000"/>
          <w:sz w:val="24"/>
          <w:szCs w:val="24"/>
        </w:rPr>
        <w:t>TERCERO. De las causales del sobreseimiento.</w:t>
      </w:r>
    </w:p>
    <w:p w14:paraId="10BA4680"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bookmarkStart w:id="6" w:name="_heading=h.3dy6vkm" w:colFirst="0" w:colLast="0"/>
      <w:bookmarkEnd w:id="6"/>
      <w:r w:rsidRPr="008063BE">
        <w:rPr>
          <w:rFonts w:ascii="Palatino Linotype" w:eastAsia="Palatino Linotype" w:hAnsi="Palatino Linotype" w:cs="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8063BE">
        <w:rPr>
          <w:rFonts w:ascii="Palatino Linotype" w:eastAsia="Palatino Linotype" w:hAnsi="Palatino Linotype" w:cs="Palatino Linotype"/>
          <w:b/>
          <w:u w:val="single"/>
        </w:rPr>
        <w:t>o sobreseimiento</w:t>
      </w:r>
      <w:r w:rsidRPr="008063BE">
        <w:rPr>
          <w:rFonts w:ascii="Palatino Linotype" w:eastAsia="Palatino Linotype" w:hAnsi="Palatino Linotype" w:cs="Palatino Linotype"/>
        </w:rPr>
        <w:t xml:space="preserve">; y, en su caso, ordenar la entrega de la información respecto a la falta de respuesta por parte del </w:t>
      </w:r>
      <w:r w:rsidRPr="008063BE">
        <w:rPr>
          <w:rFonts w:ascii="Palatino Linotype" w:eastAsia="Palatino Linotype" w:hAnsi="Palatino Linotype" w:cs="Palatino Linotype"/>
          <w:b/>
        </w:rPr>
        <w:t>SUJETO OBLIGADO.</w:t>
      </w:r>
    </w:p>
    <w:p w14:paraId="552F6315" w14:textId="77777777" w:rsidR="00AE365E" w:rsidRPr="008063BE" w:rsidRDefault="00AE365E" w:rsidP="00555DA2">
      <w:pPr>
        <w:spacing w:line="360" w:lineRule="auto"/>
        <w:ind w:right="-28"/>
        <w:jc w:val="both"/>
        <w:rPr>
          <w:rFonts w:ascii="Palatino Linotype" w:hAnsi="Palatino Linotype"/>
        </w:rPr>
      </w:pPr>
    </w:p>
    <w:p w14:paraId="15F8FA84" w14:textId="77777777" w:rsidR="00760187" w:rsidRPr="008063BE" w:rsidRDefault="007751D1" w:rsidP="00555DA2">
      <w:pPr>
        <w:numPr>
          <w:ilvl w:val="0"/>
          <w:numId w:val="2"/>
        </w:numPr>
        <w:spacing w:line="360" w:lineRule="auto"/>
        <w:ind w:left="0" w:right="-28" w:firstLine="0"/>
        <w:jc w:val="both"/>
        <w:rPr>
          <w:rFonts w:ascii="Palatino Linotype" w:hAnsi="Palatino Linotype"/>
        </w:rPr>
      </w:pPr>
      <w:r w:rsidRPr="008063BE">
        <w:rPr>
          <w:rFonts w:ascii="Palatino Linotype" w:eastAsia="Palatino Linotype" w:hAnsi="Palatino Linotype" w:cs="Palatino Linotype"/>
        </w:rPr>
        <w:t xml:space="preserve">Asimismo, es de señalar que para actualizar el sobreseimiento de un recurso de revisión, el </w:t>
      </w:r>
      <w:r w:rsidRPr="008063BE">
        <w:rPr>
          <w:rFonts w:ascii="Palatino Linotype" w:eastAsia="Palatino Linotype" w:hAnsi="Palatino Linotype" w:cs="Palatino Linotype"/>
          <w:b/>
        </w:rPr>
        <w:t>SUJETO OBLIGADO</w:t>
      </w:r>
      <w:r w:rsidRPr="008063BE">
        <w:rPr>
          <w:rFonts w:ascii="Palatino Linotype" w:eastAsia="Palatino Linotype" w:hAnsi="Palatino Linotype" w:cs="Palatino Linotype"/>
        </w:rPr>
        <w:t xml:space="preserve"> puede entregar o completar la información al momento de rendir su informe justificado o, dentro de los siete días previstos para manifestar lo que a su derecho convenga, ofrecer pruebas y alegatos; como se refiriera en párrafos anteriores.</w:t>
      </w:r>
    </w:p>
    <w:p w14:paraId="0BAF6449" w14:textId="77777777" w:rsidR="00760187" w:rsidRPr="008063BE" w:rsidRDefault="00760187" w:rsidP="00555DA2">
      <w:pPr>
        <w:pBdr>
          <w:top w:val="nil"/>
          <w:left w:val="nil"/>
          <w:bottom w:val="nil"/>
          <w:right w:val="nil"/>
          <w:between w:val="nil"/>
        </w:pBdr>
        <w:tabs>
          <w:tab w:val="left" w:pos="284"/>
          <w:tab w:val="left" w:pos="426"/>
        </w:tabs>
        <w:ind w:right="-28"/>
        <w:rPr>
          <w:rFonts w:ascii="Palatino Linotype" w:eastAsia="Palatino Linotype" w:hAnsi="Palatino Linotype" w:cs="Palatino Linotype"/>
          <w:color w:val="000000"/>
        </w:rPr>
      </w:pPr>
    </w:p>
    <w:p w14:paraId="62A6FF30" w14:textId="3D53CBE7" w:rsidR="00760187" w:rsidRPr="008063BE" w:rsidRDefault="007751D1" w:rsidP="00555DA2">
      <w:pPr>
        <w:numPr>
          <w:ilvl w:val="0"/>
          <w:numId w:val="2"/>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rPr>
      </w:pPr>
      <w:bookmarkStart w:id="7" w:name="_heading=h.1t3h5sf" w:colFirst="0" w:colLast="0"/>
      <w:bookmarkEnd w:id="7"/>
      <w:r w:rsidRPr="008063BE">
        <w:rPr>
          <w:rFonts w:ascii="Palatino Linotype" w:eastAsia="Palatino Linotype" w:hAnsi="Palatino Linotype" w:cs="Palatino Linotype"/>
          <w:color w:val="000000"/>
        </w:rPr>
        <w:t xml:space="preserve">Cabe destacar que el motivo de inconformidad del </w:t>
      </w:r>
      <w:r w:rsidRPr="008063BE">
        <w:rPr>
          <w:rFonts w:ascii="Palatino Linotype" w:eastAsia="Palatino Linotype" w:hAnsi="Palatino Linotype" w:cs="Palatino Linotype"/>
          <w:b/>
          <w:color w:val="000000"/>
        </w:rPr>
        <w:t xml:space="preserve">RECURRENTE </w:t>
      </w:r>
      <w:r w:rsidRPr="008063BE">
        <w:rPr>
          <w:rFonts w:ascii="Palatino Linotype" w:eastAsia="Palatino Linotype" w:hAnsi="Palatino Linotype" w:cs="Palatino Linotype"/>
          <w:color w:val="000000"/>
        </w:rPr>
        <w:t>versa sobre la negativa de la información de lo solicitado, en ese sentido, se actualiza la causal de improcedencia contenida en la fracción I</w:t>
      </w:r>
      <w:r w:rsidR="006D3CD6" w:rsidRPr="008063BE">
        <w:rPr>
          <w:rFonts w:ascii="Palatino Linotype" w:eastAsia="Palatino Linotype" w:hAnsi="Palatino Linotype" w:cs="Palatino Linotype"/>
          <w:color w:val="000000"/>
        </w:rPr>
        <w:t>V</w:t>
      </w:r>
      <w:r w:rsidRPr="008063BE">
        <w:rPr>
          <w:rFonts w:ascii="Palatino Linotype" w:eastAsia="Palatino Linotype" w:hAnsi="Palatino Linotype" w:cs="Palatino Linotype"/>
          <w:color w:val="000000"/>
        </w:rPr>
        <w:t xml:space="preserve"> del artículo </w:t>
      </w:r>
      <w:r w:rsidR="006D3CD6" w:rsidRPr="008063BE">
        <w:rPr>
          <w:rFonts w:ascii="Palatino Linotype" w:eastAsia="Palatino Linotype" w:hAnsi="Palatino Linotype" w:cs="Palatino Linotype"/>
          <w:color w:val="000000"/>
        </w:rPr>
        <w:t>138</w:t>
      </w:r>
      <w:r w:rsidRPr="008063BE">
        <w:rPr>
          <w:rFonts w:ascii="Palatino Linotype" w:eastAsia="Palatino Linotype" w:hAnsi="Palatino Linotype" w:cs="Palatino Linotype"/>
          <w:color w:val="000000"/>
        </w:rPr>
        <w:t xml:space="preserve"> de la </w:t>
      </w:r>
      <w:r w:rsidR="006D3CD6" w:rsidRPr="008063BE">
        <w:rPr>
          <w:rFonts w:ascii="Palatino Linotype" w:eastAsia="Palatino Linotype" w:hAnsi="Palatino Linotype" w:cs="Palatino Linotype"/>
        </w:rPr>
        <w:t>Ley de Protección de Datos Personales en Posesión de Sujetos Obligados del Estado de México y Municipios</w:t>
      </w:r>
      <w:r w:rsidRPr="008063BE">
        <w:rPr>
          <w:rFonts w:ascii="Palatino Linotype" w:eastAsia="Palatino Linotype" w:hAnsi="Palatino Linotype" w:cs="Palatino Linotype"/>
          <w:color w:val="000000"/>
        </w:rPr>
        <w:t>, por lo que este Órgano Garante estaría en la posibilidad de analizar  e</w:t>
      </w:r>
      <w:r w:rsidR="00AE365E" w:rsidRPr="008063BE">
        <w:rPr>
          <w:rFonts w:ascii="Palatino Linotype" w:eastAsia="Palatino Linotype" w:hAnsi="Palatino Linotype" w:cs="Palatino Linotype"/>
          <w:color w:val="000000"/>
        </w:rPr>
        <w:t>l presente asunto; sin embargo</w:t>
      </w:r>
      <w:r w:rsidRPr="008063BE">
        <w:rPr>
          <w:rFonts w:ascii="Palatino Linotype" w:eastAsia="Palatino Linotype" w:hAnsi="Palatino Linotype" w:cs="Palatino Linotype"/>
          <w:color w:val="000000"/>
        </w:rPr>
        <w:t xml:space="preserve">, </w:t>
      </w:r>
      <w:r w:rsidR="00AE365E" w:rsidRPr="008063BE">
        <w:rPr>
          <w:rFonts w:ascii="Palatino Linotype" w:eastAsia="Palatino Linotype" w:hAnsi="Palatino Linotype" w:cs="Palatino Linotype"/>
          <w:b/>
          <w:color w:val="000000"/>
        </w:rPr>
        <w:t>EL PARTICULAR</w:t>
      </w:r>
      <w:r w:rsidRPr="008063BE">
        <w:rPr>
          <w:rFonts w:ascii="Palatino Linotype" w:eastAsia="Palatino Linotype" w:hAnsi="Palatino Linotype" w:cs="Palatino Linotype"/>
          <w:color w:val="000000"/>
        </w:rPr>
        <w:t xml:space="preserve">, por propio derecho, </w:t>
      </w:r>
      <w:r w:rsidRPr="008063BE">
        <w:rPr>
          <w:rFonts w:ascii="Palatino Linotype" w:eastAsia="Palatino Linotype" w:hAnsi="Palatino Linotype" w:cs="Palatino Linotype"/>
          <w:b/>
          <w:color w:val="000000"/>
        </w:rPr>
        <w:t>se desistió del recurso de revisión</w:t>
      </w:r>
      <w:r w:rsidRPr="008063BE">
        <w:rPr>
          <w:rFonts w:ascii="Palatino Linotype" w:eastAsia="Palatino Linotype" w:hAnsi="Palatino Linotype" w:cs="Palatino Linotype"/>
          <w:color w:val="000000"/>
        </w:rPr>
        <w:t xml:space="preserve"> que nos ocupa, </w:t>
      </w:r>
      <w:r w:rsidRPr="008063BE">
        <w:rPr>
          <w:rFonts w:ascii="Palatino Linotype" w:eastAsia="Palatino Linotype" w:hAnsi="Palatino Linotype" w:cs="Palatino Linotype"/>
          <w:color w:val="000000"/>
        </w:rPr>
        <w:lastRenderedPageBreak/>
        <w:t xml:space="preserve">vía SAIMEX, el </w:t>
      </w:r>
      <w:r w:rsidR="00FD1183" w:rsidRPr="008063BE">
        <w:rPr>
          <w:rFonts w:ascii="Palatino Linotype" w:eastAsia="Palatino Linotype" w:hAnsi="Palatino Linotype" w:cs="Palatino Linotype"/>
          <w:color w:val="000000"/>
        </w:rPr>
        <w:t>veinticuatro de abril de dos mil veinticinco</w:t>
      </w:r>
      <w:r w:rsidRPr="008063BE">
        <w:rPr>
          <w:rFonts w:ascii="Palatino Linotype" w:eastAsia="Palatino Linotype" w:hAnsi="Palatino Linotype" w:cs="Palatino Linotype"/>
          <w:color w:val="000000"/>
        </w:rPr>
        <w:t>,</w:t>
      </w:r>
      <w:r w:rsidR="00AE365E" w:rsidRPr="008063BE">
        <w:rPr>
          <w:rFonts w:ascii="Palatino Linotype" w:eastAsia="Palatino Linotype" w:hAnsi="Palatino Linotype" w:cs="Palatino Linotype"/>
          <w:color w:val="000000"/>
        </w:rPr>
        <w:t xml:space="preserve"> como a continuación se muestra, razón por la cual no se entrara al estudio de los argumentos de inconformidad hechos valer</w:t>
      </w:r>
    </w:p>
    <w:p w14:paraId="3B98B6E5" w14:textId="36D827F9" w:rsidR="00760187" w:rsidRPr="008063BE" w:rsidRDefault="00714257" w:rsidP="00555DA2">
      <w:pPr>
        <w:spacing w:before="240" w:after="240" w:line="360" w:lineRule="auto"/>
        <w:ind w:right="-28"/>
        <w:jc w:val="center"/>
        <w:rPr>
          <w:rFonts w:ascii="Palatino Linotype" w:hAnsi="Palatino Linotype"/>
        </w:rPr>
      </w:pPr>
      <w:r w:rsidRPr="00714257">
        <w:rPr>
          <w:rFonts w:ascii="Palatino Linotype" w:hAnsi="Palatino Linotype"/>
        </w:rPr>
        <w:drawing>
          <wp:inline distT="0" distB="0" distL="0" distR="0" wp14:anchorId="1D824F01" wp14:editId="2B1DA125">
            <wp:extent cx="5811061" cy="34294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342948"/>
                    </a:xfrm>
                    <a:prstGeom prst="rect">
                      <a:avLst/>
                    </a:prstGeom>
                  </pic:spPr>
                </pic:pic>
              </a:graphicData>
            </a:graphic>
          </wp:inline>
        </w:drawing>
      </w:r>
      <w:r w:rsidR="007751D1" w:rsidRPr="008063BE">
        <w:rPr>
          <w:rFonts w:ascii="Palatino Linotype" w:hAnsi="Palatino Linotype"/>
        </w:rPr>
        <w:t xml:space="preserve"> </w:t>
      </w:r>
    </w:p>
    <w:p w14:paraId="6CAD3C97" w14:textId="77777777" w:rsidR="00760187" w:rsidRPr="008063BE" w:rsidRDefault="007751D1" w:rsidP="00555DA2">
      <w:pPr>
        <w:numPr>
          <w:ilvl w:val="0"/>
          <w:numId w:val="2"/>
        </w:numPr>
        <w:pBdr>
          <w:top w:val="nil"/>
          <w:left w:val="nil"/>
          <w:bottom w:val="nil"/>
          <w:right w:val="nil"/>
          <w:between w:val="nil"/>
        </w:pBdr>
        <w:tabs>
          <w:tab w:val="left" w:pos="0"/>
          <w:tab w:val="left" w:pos="284"/>
        </w:tabs>
        <w:spacing w:before="240" w:line="360" w:lineRule="auto"/>
        <w:ind w:left="0" w:right="-28" w:firstLine="0"/>
        <w:jc w:val="both"/>
        <w:rPr>
          <w:rFonts w:ascii="Palatino Linotype" w:eastAsia="Palatino Linotype" w:hAnsi="Palatino Linotype" w:cs="Palatino Linotype"/>
          <w:b/>
          <w:color w:val="000000"/>
        </w:rPr>
      </w:pPr>
      <w:r w:rsidRPr="008063BE">
        <w:rPr>
          <w:rFonts w:ascii="Palatino Linotype" w:eastAsia="Palatino Linotype" w:hAnsi="Palatino Linotype" w:cs="Palatino Linotype"/>
          <w:color w:val="000000"/>
        </w:rPr>
        <w:t xml:space="preserve">De las </w:t>
      </w:r>
      <w:r w:rsidR="00AE365E" w:rsidRPr="008063BE">
        <w:rPr>
          <w:rFonts w:ascii="Palatino Linotype" w:eastAsia="Palatino Linotype" w:hAnsi="Palatino Linotype" w:cs="Palatino Linotype"/>
          <w:color w:val="000000"/>
        </w:rPr>
        <w:t>imagen</w:t>
      </w:r>
      <w:r w:rsidRPr="008063BE">
        <w:rPr>
          <w:rFonts w:ascii="Palatino Linotype" w:eastAsia="Palatino Linotype" w:hAnsi="Palatino Linotype" w:cs="Palatino Linotype"/>
          <w:color w:val="000000"/>
        </w:rPr>
        <w:t>, se adv</w:t>
      </w:r>
      <w:bookmarkStart w:id="8" w:name="_GoBack"/>
      <w:bookmarkEnd w:id="8"/>
      <w:r w:rsidRPr="008063BE">
        <w:rPr>
          <w:rFonts w:ascii="Palatino Linotype" w:eastAsia="Palatino Linotype" w:hAnsi="Palatino Linotype" w:cs="Palatino Linotype"/>
          <w:color w:val="000000"/>
        </w:rPr>
        <w:t xml:space="preserve">ierte que efectivamente el particular hizo uso de la opción </w:t>
      </w:r>
      <w:r w:rsidRPr="008063BE">
        <w:rPr>
          <w:rFonts w:ascii="Palatino Linotype" w:eastAsia="Palatino Linotype" w:hAnsi="Palatino Linotype" w:cs="Palatino Linotype"/>
          <w:b/>
          <w:color w:val="000000"/>
        </w:rPr>
        <w:t>“Desistir”</w:t>
      </w:r>
      <w:r w:rsidRPr="008063BE">
        <w:rPr>
          <w:rFonts w:ascii="Palatino Linotype" w:eastAsia="Palatino Linotype" w:hAnsi="Palatino Linotype" w:cs="Palatino Linotype"/>
          <w:color w:val="000000"/>
        </w:rPr>
        <w:t xml:space="preserve"> al recurso de revisión en el propio SAIMEX, opción que </w:t>
      </w:r>
      <w:r w:rsidRPr="008063BE">
        <w:rPr>
          <w:rFonts w:ascii="Palatino Linotype" w:eastAsia="Palatino Linotype" w:hAnsi="Palatino Linotype" w:cs="Palatino Linotype"/>
          <w:b/>
          <w:i/>
          <w:color w:val="000000"/>
          <w:u w:val="single"/>
        </w:rPr>
        <w:t>ÚNICAMENTE</w:t>
      </w:r>
      <w:r w:rsidRPr="008063BE">
        <w:rPr>
          <w:rFonts w:ascii="Palatino Linotype" w:eastAsia="Palatino Linotype" w:hAnsi="Palatino Linotype" w:cs="Palatino Linotype"/>
          <w:color w:val="000000"/>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8063BE">
        <w:rPr>
          <w:rFonts w:ascii="Palatino Linotype" w:eastAsia="Palatino Linotype" w:hAnsi="Palatino Linotype" w:cs="Palatino Linotype"/>
          <w:b/>
          <w:color w:val="000000"/>
        </w:rPr>
        <w:t>luego entonces no es acertado suponer que fue por error involuntario, lo que se constituye como un desistimiento expreso.</w:t>
      </w:r>
    </w:p>
    <w:p w14:paraId="4CFA5F0C" w14:textId="77777777" w:rsidR="00760187" w:rsidRPr="008063BE" w:rsidRDefault="00760187" w:rsidP="00555DA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rPr>
      </w:pPr>
    </w:p>
    <w:p w14:paraId="3C1D224E" w14:textId="531A4BFA" w:rsidR="00760187" w:rsidRPr="008063BE" w:rsidRDefault="007751D1" w:rsidP="00555DA2">
      <w:pPr>
        <w:numPr>
          <w:ilvl w:val="0"/>
          <w:numId w:val="2"/>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rPr>
      </w:pPr>
      <w:r w:rsidRPr="008063BE">
        <w:rPr>
          <w:rFonts w:ascii="Palatino Linotype" w:eastAsia="Palatino Linotype" w:hAnsi="Palatino Linotype" w:cs="Palatino Linotype"/>
          <w:color w:val="000000"/>
        </w:rPr>
        <w:t xml:space="preserve">En ese orden de ideas el </w:t>
      </w:r>
      <w:r w:rsidRPr="008063BE">
        <w:rPr>
          <w:rFonts w:ascii="Palatino Linotype" w:eastAsia="Palatino Linotype" w:hAnsi="Palatino Linotype" w:cs="Palatino Linotype"/>
        </w:rPr>
        <w:t>artículo</w:t>
      </w:r>
      <w:r w:rsidRPr="008063BE">
        <w:rPr>
          <w:rFonts w:ascii="Palatino Linotype" w:eastAsia="Palatino Linotype" w:hAnsi="Palatino Linotype" w:cs="Palatino Linotype"/>
          <w:color w:val="000000"/>
        </w:rPr>
        <w:t xml:space="preserve"> </w:t>
      </w:r>
      <w:r w:rsidR="006D3CD6" w:rsidRPr="008063BE">
        <w:rPr>
          <w:rFonts w:ascii="Palatino Linotype" w:eastAsia="Palatino Linotype" w:hAnsi="Palatino Linotype" w:cs="Palatino Linotype"/>
          <w:color w:val="000000"/>
        </w:rPr>
        <w:t>139, fracción I de la  Ley de Protección de Datos Personales en Posesión de Sujetos Obligados del Estado de México y Municipios</w:t>
      </w:r>
      <w:r w:rsidRPr="008063BE">
        <w:rPr>
          <w:rFonts w:ascii="Palatino Linotype" w:eastAsia="Palatino Linotype" w:hAnsi="Palatino Linotype" w:cs="Palatino Linotype"/>
          <w:color w:val="000000"/>
        </w:rPr>
        <w:t>, establece lo siguiente:</w:t>
      </w:r>
    </w:p>
    <w:p w14:paraId="44B9E719" w14:textId="77777777" w:rsidR="00760187" w:rsidRPr="008063BE" w:rsidRDefault="00760187" w:rsidP="00555DA2">
      <w:pPr>
        <w:pBdr>
          <w:top w:val="nil"/>
          <w:left w:val="nil"/>
          <w:bottom w:val="nil"/>
          <w:right w:val="nil"/>
          <w:between w:val="nil"/>
        </w:pBdr>
        <w:ind w:right="-28"/>
        <w:rPr>
          <w:rFonts w:ascii="Palatino Linotype" w:eastAsia="Palatino Linotype" w:hAnsi="Palatino Linotype" w:cs="Palatino Linotype"/>
          <w:color w:val="000000"/>
        </w:rPr>
      </w:pPr>
    </w:p>
    <w:p w14:paraId="02FFEBF0" w14:textId="77777777" w:rsidR="006D3CD6" w:rsidRPr="008063BE" w:rsidRDefault="007751D1" w:rsidP="00555DA2">
      <w:pPr>
        <w:pBdr>
          <w:top w:val="nil"/>
          <w:left w:val="nil"/>
          <w:bottom w:val="nil"/>
          <w:right w:val="nil"/>
          <w:between w:val="nil"/>
        </w:pBdr>
        <w:spacing w:line="360" w:lineRule="auto"/>
        <w:ind w:right="-28"/>
        <w:jc w:val="both"/>
        <w:rPr>
          <w:rFonts w:ascii="Palatino Linotype" w:hAnsi="Palatino Linotype"/>
          <w:i/>
          <w:iCs/>
        </w:rPr>
      </w:pPr>
      <w:r w:rsidRPr="008063BE">
        <w:rPr>
          <w:rFonts w:ascii="Palatino Linotype" w:eastAsia="Palatino Linotype" w:hAnsi="Palatino Linotype" w:cs="Palatino Linotype"/>
          <w:i/>
          <w:color w:val="000000"/>
        </w:rPr>
        <w:t>“</w:t>
      </w:r>
      <w:r w:rsidR="006D3CD6" w:rsidRPr="008063BE">
        <w:rPr>
          <w:rFonts w:ascii="Palatino Linotype" w:hAnsi="Palatino Linotype"/>
          <w:i/>
          <w:iCs/>
        </w:rPr>
        <w:t xml:space="preserve">Artículo 139. El recurso de revisión sólo podrá ser sobreseído cuando: </w:t>
      </w:r>
    </w:p>
    <w:p w14:paraId="748B0EF0" w14:textId="384D27E2" w:rsidR="00760187" w:rsidRPr="008063BE" w:rsidRDefault="006D3CD6" w:rsidP="00555DA2">
      <w:pPr>
        <w:pBdr>
          <w:top w:val="nil"/>
          <w:left w:val="nil"/>
          <w:bottom w:val="nil"/>
          <w:right w:val="nil"/>
          <w:between w:val="nil"/>
        </w:pBdr>
        <w:spacing w:line="360" w:lineRule="auto"/>
        <w:ind w:right="-28"/>
        <w:jc w:val="both"/>
        <w:rPr>
          <w:rFonts w:ascii="Palatino Linotype" w:eastAsia="Palatino Linotype" w:hAnsi="Palatino Linotype" w:cs="Palatino Linotype"/>
          <w:i/>
          <w:iCs/>
          <w:color w:val="000000"/>
        </w:rPr>
      </w:pPr>
      <w:r w:rsidRPr="008063BE">
        <w:rPr>
          <w:rFonts w:ascii="Palatino Linotype" w:hAnsi="Palatino Linotype"/>
          <w:i/>
          <w:iCs/>
        </w:rPr>
        <w:t>I. El recurrente se desista expresamente.</w:t>
      </w:r>
      <w:r w:rsidR="007751D1" w:rsidRPr="008063BE">
        <w:rPr>
          <w:rFonts w:ascii="Palatino Linotype" w:eastAsia="Palatino Linotype" w:hAnsi="Palatino Linotype" w:cs="Palatino Linotype"/>
          <w:i/>
          <w:iCs/>
          <w:color w:val="000000"/>
        </w:rPr>
        <w:t>;</w:t>
      </w:r>
    </w:p>
    <w:p w14:paraId="15C91064" w14:textId="77777777" w:rsidR="00760187" w:rsidRPr="008063BE" w:rsidRDefault="007751D1" w:rsidP="00555DA2">
      <w:pPr>
        <w:pBdr>
          <w:top w:val="nil"/>
          <w:left w:val="nil"/>
          <w:bottom w:val="nil"/>
          <w:right w:val="nil"/>
          <w:between w:val="nil"/>
        </w:pBdr>
        <w:spacing w:line="360" w:lineRule="auto"/>
        <w:ind w:right="-28"/>
        <w:jc w:val="both"/>
        <w:rPr>
          <w:rFonts w:ascii="Palatino Linotype" w:eastAsia="Palatino Linotype" w:hAnsi="Palatino Linotype" w:cs="Palatino Linotype"/>
          <w:i/>
          <w:iCs/>
          <w:color w:val="000000"/>
        </w:rPr>
      </w:pPr>
      <w:r w:rsidRPr="008063BE">
        <w:rPr>
          <w:rFonts w:ascii="Palatino Linotype" w:eastAsia="Palatino Linotype" w:hAnsi="Palatino Linotype" w:cs="Palatino Linotype"/>
          <w:i/>
          <w:iCs/>
          <w:color w:val="000000"/>
        </w:rPr>
        <w:t>(…)”</w:t>
      </w:r>
    </w:p>
    <w:p w14:paraId="5D8681E6" w14:textId="77777777" w:rsidR="00760187" w:rsidRPr="008063BE" w:rsidRDefault="00760187" w:rsidP="00555DA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0C324FE4" w14:textId="77777777" w:rsidR="00760187" w:rsidRPr="008063BE" w:rsidRDefault="007751D1" w:rsidP="00555DA2">
      <w:pPr>
        <w:numPr>
          <w:ilvl w:val="0"/>
          <w:numId w:val="2"/>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rPr>
      </w:pPr>
      <w:r w:rsidRPr="008063BE">
        <w:rPr>
          <w:rFonts w:ascii="Palatino Linotype" w:eastAsia="Palatino Linotype" w:hAnsi="Palatino Linotype" w:cs="Palatino Linotype"/>
          <w:color w:val="000000"/>
        </w:rPr>
        <w:t>Robustece lo anterior la tesis aislada I.15o.T.2 K (10a.), del Décimo Quinto Tribunal Colegiado en Materia de Trabajo del Primer Circuito, misma que se anexa a continuación:</w:t>
      </w:r>
    </w:p>
    <w:p w14:paraId="012F908F" w14:textId="77777777" w:rsidR="00760187" w:rsidRPr="008063BE" w:rsidRDefault="007751D1" w:rsidP="00555DA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r w:rsidRPr="008063BE">
        <w:rPr>
          <w:rFonts w:ascii="Palatino Linotype" w:eastAsia="Palatino Linotype" w:hAnsi="Palatino Linotype" w:cs="Palatino Linotype"/>
          <w:b/>
          <w:i/>
          <w:color w:val="000000"/>
        </w:rPr>
        <w:lastRenderedPageBreak/>
        <w:t>DESISTIMIENTO DEL RECURSO DE REVISIÓN EN AMPARO INDIRECTO. ES INNECESARIO QUE SE RATIFIQUE EL ESCRITO CORRESPONDIENTE, CUANDO SU REQUERIMIENTO SE NOTIFICÓ PERSONALMENTE.</w:t>
      </w:r>
      <w:r w:rsidRPr="008063BE">
        <w:rPr>
          <w:rFonts w:ascii="Palatino Linotype" w:eastAsia="Palatino Linotype" w:hAnsi="Palatino Linotype" w:cs="Palatino Linotype"/>
          <w:i/>
          <w:color w:val="000000"/>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8C9704E" w14:textId="77777777" w:rsidR="00760187" w:rsidRPr="008063BE" w:rsidRDefault="00760187" w:rsidP="00555DA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rPr>
      </w:pPr>
    </w:p>
    <w:p w14:paraId="02E61637" w14:textId="77777777" w:rsidR="00760187" w:rsidRPr="008063BE" w:rsidRDefault="007751D1" w:rsidP="00555DA2">
      <w:pPr>
        <w:numPr>
          <w:ilvl w:val="0"/>
          <w:numId w:val="2"/>
        </w:numPr>
        <w:pBdr>
          <w:top w:val="nil"/>
          <w:left w:val="nil"/>
          <w:bottom w:val="nil"/>
          <w:right w:val="nil"/>
          <w:between w:val="nil"/>
        </w:pBdr>
        <w:tabs>
          <w:tab w:val="left" w:pos="0"/>
          <w:tab w:val="left" w:pos="284"/>
        </w:tabs>
        <w:spacing w:before="240" w:line="360" w:lineRule="auto"/>
        <w:ind w:left="0" w:right="-28" w:firstLine="0"/>
        <w:jc w:val="both"/>
        <w:rPr>
          <w:rFonts w:ascii="Palatino Linotype" w:hAnsi="Palatino Linotype"/>
          <w:color w:val="000000"/>
        </w:rPr>
      </w:pPr>
      <w:r w:rsidRPr="008063BE">
        <w:rPr>
          <w:rFonts w:ascii="Palatino Linotype" w:eastAsia="Palatino Linotype" w:hAnsi="Palatino Linotype" w:cs="Palatino Linotype"/>
          <w:color w:val="000000"/>
        </w:rPr>
        <w:t xml:space="preserve">Por consiguiente, al existir un </w:t>
      </w:r>
      <w:r w:rsidRPr="008063BE">
        <w:rPr>
          <w:rFonts w:ascii="Palatino Linotype" w:eastAsia="Palatino Linotype" w:hAnsi="Palatino Linotype" w:cs="Palatino Linotype"/>
          <w:b/>
          <w:i/>
          <w:color w:val="000000"/>
          <w:u w:val="single"/>
        </w:rPr>
        <w:t>desistimiento</w:t>
      </w:r>
      <w:r w:rsidRPr="008063BE">
        <w:rPr>
          <w:rFonts w:ascii="Palatino Linotype" w:eastAsia="Palatino Linotype" w:hAnsi="Palatino Linotype" w:cs="Palatino Linotype"/>
          <w:color w:val="000000"/>
        </w:rPr>
        <w:t xml:space="preserve"> expreso por parte del </w:t>
      </w:r>
      <w:r w:rsidRPr="008063BE">
        <w:rPr>
          <w:rFonts w:ascii="Palatino Linotype" w:eastAsia="Palatino Linotype" w:hAnsi="Palatino Linotype" w:cs="Palatino Linotype"/>
          <w:b/>
          <w:color w:val="000000"/>
        </w:rPr>
        <w:t>RECURRENTE</w:t>
      </w:r>
      <w:r w:rsidRPr="008063BE">
        <w:rPr>
          <w:rFonts w:ascii="Palatino Linotype" w:eastAsia="Palatino Linotype" w:hAnsi="Palatino Linotype" w:cs="Palatino Linotype"/>
          <w:color w:val="000000"/>
        </w:rPr>
        <w:t xml:space="preserve">, este Pleno determina el </w:t>
      </w:r>
      <w:r w:rsidRPr="008063BE">
        <w:rPr>
          <w:rFonts w:ascii="Palatino Linotype" w:eastAsia="Palatino Linotype" w:hAnsi="Palatino Linotype" w:cs="Palatino Linotype"/>
          <w:b/>
          <w:color w:val="000000"/>
        </w:rPr>
        <w:t>SOBRESEIMIENTO</w:t>
      </w:r>
      <w:r w:rsidRPr="008063BE">
        <w:rPr>
          <w:rFonts w:ascii="Palatino Linotype" w:eastAsia="Palatino Linotype" w:hAnsi="Palatino Linotype" w:cs="Palatino Linotype"/>
          <w:color w:val="000000"/>
        </w:rPr>
        <w:t xml:space="preserve"> del recurso de revisión.</w:t>
      </w:r>
    </w:p>
    <w:p w14:paraId="4FEEEB99" w14:textId="77777777" w:rsidR="00760187" w:rsidRPr="008063BE" w:rsidRDefault="00760187" w:rsidP="00555DA2">
      <w:pPr>
        <w:pBdr>
          <w:top w:val="nil"/>
          <w:left w:val="nil"/>
          <w:bottom w:val="nil"/>
          <w:right w:val="nil"/>
          <w:between w:val="nil"/>
        </w:pBdr>
        <w:tabs>
          <w:tab w:val="left" w:pos="0"/>
          <w:tab w:val="left" w:pos="284"/>
        </w:tabs>
        <w:spacing w:line="360" w:lineRule="auto"/>
        <w:ind w:right="-28"/>
        <w:jc w:val="both"/>
        <w:rPr>
          <w:rFonts w:ascii="Palatino Linotype" w:eastAsia="Palatino Linotype" w:hAnsi="Palatino Linotype" w:cs="Palatino Linotype"/>
          <w:color w:val="000000"/>
        </w:rPr>
      </w:pPr>
    </w:p>
    <w:p w14:paraId="1BD123D7" w14:textId="36537EEA" w:rsidR="00760187" w:rsidRPr="008063BE" w:rsidRDefault="007751D1" w:rsidP="00555DA2">
      <w:pPr>
        <w:numPr>
          <w:ilvl w:val="0"/>
          <w:numId w:val="2"/>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rPr>
      </w:pPr>
      <w:r w:rsidRPr="008063BE">
        <w:rPr>
          <w:rFonts w:ascii="Palatino Linotype" w:eastAsia="Palatino Linotype" w:hAnsi="Palatino Linotype" w:cs="Palatino Linotype"/>
          <w:color w:val="000000"/>
        </w:rPr>
        <w:t xml:space="preserve">Bajo ese tenor y, en términos del artículo 186, fracción I, de la Ley de Transparencia y Acceso a la Información Pública del Estado de México y Municipios, este Pleno determina el </w:t>
      </w:r>
      <w:r w:rsidRPr="008063BE">
        <w:rPr>
          <w:rFonts w:ascii="Palatino Linotype" w:eastAsia="Palatino Linotype" w:hAnsi="Palatino Linotype" w:cs="Palatino Linotype"/>
          <w:b/>
          <w:color w:val="000000"/>
        </w:rPr>
        <w:t xml:space="preserve">SOBRESEIMIENTO </w:t>
      </w:r>
      <w:r w:rsidRPr="008063BE">
        <w:rPr>
          <w:rFonts w:ascii="Palatino Linotype" w:eastAsia="Palatino Linotype" w:hAnsi="Palatino Linotype" w:cs="Palatino Linotype"/>
          <w:color w:val="000000"/>
        </w:rPr>
        <w:t>del presente recurso de revisión, por resultar improcedente, en términos de la fracción I, del artículo 1</w:t>
      </w:r>
      <w:r w:rsidR="006D3CD6" w:rsidRPr="008063BE">
        <w:rPr>
          <w:rFonts w:ascii="Palatino Linotype" w:eastAsia="Palatino Linotype" w:hAnsi="Palatino Linotype" w:cs="Palatino Linotype"/>
          <w:color w:val="000000"/>
        </w:rPr>
        <w:t>39</w:t>
      </w:r>
      <w:r w:rsidRPr="008063BE">
        <w:rPr>
          <w:rFonts w:ascii="Palatino Linotype" w:eastAsia="Palatino Linotype" w:hAnsi="Palatino Linotype" w:cs="Palatino Linotype"/>
          <w:color w:val="000000"/>
        </w:rPr>
        <w:t xml:space="preserve">, de la </w:t>
      </w:r>
      <w:r w:rsidR="006D3CD6" w:rsidRPr="008063BE">
        <w:rPr>
          <w:rFonts w:ascii="Palatino Linotype" w:eastAsia="Palatino Linotype" w:hAnsi="Palatino Linotype" w:cs="Palatino Linotype"/>
          <w:color w:val="000000"/>
        </w:rPr>
        <w:t>Ley de Protección de Datos Personales en Posesión de Sujetos Obligados del Estado de México y Municipios</w:t>
      </w:r>
      <w:r w:rsidRPr="008063BE">
        <w:rPr>
          <w:rFonts w:ascii="Palatino Linotype" w:eastAsia="Palatino Linotype" w:hAnsi="Palatino Linotype" w:cs="Palatino Linotype"/>
          <w:color w:val="000000"/>
        </w:rPr>
        <w:t>.</w:t>
      </w:r>
    </w:p>
    <w:p w14:paraId="4158BA55" w14:textId="77777777" w:rsidR="00760187" w:rsidRPr="008063BE" w:rsidRDefault="00760187" w:rsidP="00555DA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rPr>
      </w:pPr>
    </w:p>
    <w:p w14:paraId="03F136CF" w14:textId="77777777" w:rsidR="00760187" w:rsidRPr="008063BE" w:rsidRDefault="007751D1" w:rsidP="00555DA2">
      <w:pPr>
        <w:numPr>
          <w:ilvl w:val="0"/>
          <w:numId w:val="2"/>
        </w:numPr>
        <w:pBdr>
          <w:top w:val="nil"/>
          <w:left w:val="nil"/>
          <w:bottom w:val="nil"/>
          <w:right w:val="nil"/>
          <w:between w:val="nil"/>
        </w:pBdr>
        <w:tabs>
          <w:tab w:val="left" w:pos="426"/>
        </w:tabs>
        <w:spacing w:after="240" w:line="360" w:lineRule="auto"/>
        <w:ind w:left="0" w:right="-28" w:firstLine="0"/>
        <w:jc w:val="both"/>
        <w:rPr>
          <w:rFonts w:ascii="Palatino Linotype" w:hAnsi="Palatino Linotype"/>
          <w:color w:val="000000"/>
        </w:rPr>
      </w:pPr>
      <w:r w:rsidRPr="008063BE">
        <w:rPr>
          <w:rFonts w:ascii="Palatino Linotype" w:eastAsia="Palatino Linotype" w:hAnsi="Palatino Linotype" w:cs="Palatino Linotype"/>
          <w:color w:val="000000"/>
        </w:rPr>
        <w:t>Por lo anteriormente expuesto, este Órgano Garante emite los siguientes: --------</w:t>
      </w:r>
      <w:r w:rsidRPr="008063BE">
        <w:rPr>
          <w:rFonts w:ascii="Palatino Linotype" w:eastAsia="Palatino Linotype" w:hAnsi="Palatino Linotype" w:cs="Palatino Linotype"/>
        </w:rPr>
        <w:t>-----</w:t>
      </w:r>
    </w:p>
    <w:p w14:paraId="57D05434" w14:textId="77777777" w:rsidR="00760187" w:rsidRPr="008063BE" w:rsidRDefault="00760187" w:rsidP="00555DA2">
      <w:pPr>
        <w:pBdr>
          <w:top w:val="nil"/>
          <w:left w:val="nil"/>
          <w:bottom w:val="nil"/>
          <w:right w:val="nil"/>
          <w:between w:val="nil"/>
        </w:pBdr>
        <w:tabs>
          <w:tab w:val="left" w:pos="426"/>
        </w:tabs>
        <w:spacing w:after="240" w:line="360" w:lineRule="auto"/>
        <w:ind w:right="-28"/>
        <w:jc w:val="both"/>
        <w:rPr>
          <w:rFonts w:ascii="Palatino Linotype" w:eastAsia="Palatino Linotype" w:hAnsi="Palatino Linotype" w:cs="Palatino Linotype"/>
        </w:rPr>
      </w:pPr>
    </w:p>
    <w:p w14:paraId="6E3B20C9" w14:textId="77777777" w:rsidR="00760187" w:rsidRPr="008063BE" w:rsidRDefault="007751D1" w:rsidP="00555DA2">
      <w:pPr>
        <w:pBdr>
          <w:top w:val="nil"/>
          <w:left w:val="nil"/>
          <w:bottom w:val="nil"/>
          <w:right w:val="nil"/>
          <w:between w:val="nil"/>
        </w:pBdr>
        <w:tabs>
          <w:tab w:val="left" w:pos="426"/>
        </w:tabs>
        <w:spacing w:after="240" w:line="360" w:lineRule="auto"/>
        <w:ind w:right="-28"/>
        <w:jc w:val="center"/>
        <w:rPr>
          <w:rFonts w:ascii="Palatino Linotype" w:eastAsia="Palatino Linotype" w:hAnsi="Palatino Linotype" w:cs="Palatino Linotype"/>
          <w:b/>
          <w:color w:val="000000"/>
        </w:rPr>
      </w:pPr>
      <w:r w:rsidRPr="008063BE">
        <w:rPr>
          <w:rFonts w:ascii="Palatino Linotype" w:eastAsia="Palatino Linotype" w:hAnsi="Palatino Linotype" w:cs="Palatino Linotype"/>
          <w:b/>
          <w:color w:val="000000"/>
        </w:rPr>
        <w:t>R E S O L U T I V O S</w:t>
      </w:r>
    </w:p>
    <w:p w14:paraId="6D65AD50" w14:textId="77777777" w:rsidR="00760187" w:rsidRPr="008063BE" w:rsidRDefault="00760187" w:rsidP="00555DA2">
      <w:pPr>
        <w:ind w:right="-28"/>
        <w:rPr>
          <w:rFonts w:ascii="Palatino Linotype" w:hAnsi="Palatino Linotype"/>
        </w:rPr>
      </w:pPr>
    </w:p>
    <w:p w14:paraId="70B6BE49" w14:textId="2E17B428" w:rsidR="00760187" w:rsidRPr="008063BE" w:rsidRDefault="007751D1" w:rsidP="00555DA2">
      <w:pPr>
        <w:spacing w:after="240" w:line="360" w:lineRule="auto"/>
        <w:ind w:right="-28"/>
        <w:jc w:val="both"/>
        <w:rPr>
          <w:rFonts w:ascii="Palatino Linotype" w:eastAsia="Palatino Linotype" w:hAnsi="Palatino Linotype" w:cs="Palatino Linotype"/>
        </w:rPr>
      </w:pPr>
      <w:r w:rsidRPr="008063BE">
        <w:rPr>
          <w:rFonts w:ascii="Palatino Linotype" w:eastAsia="Palatino Linotype" w:hAnsi="Palatino Linotype" w:cs="Palatino Linotype"/>
          <w:b/>
        </w:rPr>
        <w:t>PRIMERO.</w:t>
      </w:r>
      <w:r w:rsidRPr="008063BE">
        <w:rPr>
          <w:rFonts w:ascii="Palatino Linotype" w:eastAsia="Palatino Linotype" w:hAnsi="Palatino Linotype" w:cs="Palatino Linotype"/>
        </w:rPr>
        <w:t xml:space="preserve"> Se </w:t>
      </w:r>
      <w:r w:rsidRPr="008063BE">
        <w:rPr>
          <w:rFonts w:ascii="Palatino Linotype" w:eastAsia="Palatino Linotype" w:hAnsi="Palatino Linotype" w:cs="Palatino Linotype"/>
          <w:b/>
        </w:rPr>
        <w:t>SOBRESEE</w:t>
      </w:r>
      <w:r w:rsidRPr="008063BE">
        <w:rPr>
          <w:rFonts w:ascii="Palatino Linotype" w:eastAsia="Palatino Linotype" w:hAnsi="Palatino Linotype" w:cs="Palatino Linotype"/>
        </w:rPr>
        <w:t xml:space="preserve"> el recurso de revisión número </w:t>
      </w:r>
      <w:r w:rsidR="00FD1183" w:rsidRPr="008063BE">
        <w:rPr>
          <w:rFonts w:ascii="Palatino Linotype" w:eastAsia="Palatino Linotype" w:hAnsi="Palatino Linotype" w:cs="Palatino Linotype"/>
          <w:b/>
        </w:rPr>
        <w:t>04373/INFOEM/RD/RR/2025</w:t>
      </w:r>
      <w:r w:rsidRPr="008063BE">
        <w:rPr>
          <w:rFonts w:ascii="Palatino Linotype" w:eastAsia="Palatino Linotype" w:hAnsi="Palatino Linotype" w:cs="Palatino Linotype"/>
        </w:rPr>
        <w:t xml:space="preserve">, de conformidad con lo dispuesto en el artículo </w:t>
      </w:r>
      <w:r w:rsidR="006D3CD6" w:rsidRPr="008063BE">
        <w:rPr>
          <w:rFonts w:ascii="Palatino Linotype" w:eastAsia="Palatino Linotype" w:hAnsi="Palatino Linotype" w:cs="Palatino Linotype"/>
        </w:rPr>
        <w:t xml:space="preserve">139, </w:t>
      </w:r>
      <w:r w:rsidRPr="008063BE">
        <w:rPr>
          <w:rFonts w:ascii="Palatino Linotype" w:eastAsia="Palatino Linotype" w:hAnsi="Palatino Linotype" w:cs="Palatino Linotype"/>
        </w:rPr>
        <w:t xml:space="preserve">fracción I, de la Ley de Protección de Datos Personales en Posesión de Sujetos Obligados del Estado de México y Municipios, en términos del considerando </w:t>
      </w:r>
      <w:r w:rsidRPr="008063BE">
        <w:rPr>
          <w:rFonts w:ascii="Palatino Linotype" w:eastAsia="Palatino Linotype" w:hAnsi="Palatino Linotype" w:cs="Palatino Linotype"/>
          <w:b/>
        </w:rPr>
        <w:t xml:space="preserve">TERCERO </w:t>
      </w:r>
      <w:r w:rsidRPr="008063BE">
        <w:rPr>
          <w:rFonts w:ascii="Palatino Linotype" w:eastAsia="Palatino Linotype" w:hAnsi="Palatino Linotype" w:cs="Palatino Linotype"/>
        </w:rPr>
        <w:t>de la presente Resolución.</w:t>
      </w:r>
    </w:p>
    <w:p w14:paraId="2DAEE9D6" w14:textId="77777777" w:rsidR="00760187" w:rsidRPr="008063BE" w:rsidRDefault="007751D1" w:rsidP="00555DA2">
      <w:pPr>
        <w:pBdr>
          <w:top w:val="nil"/>
          <w:left w:val="nil"/>
          <w:bottom w:val="nil"/>
          <w:right w:val="nil"/>
          <w:between w:val="nil"/>
        </w:pBdr>
        <w:spacing w:after="240" w:line="360" w:lineRule="auto"/>
        <w:ind w:right="-28"/>
        <w:jc w:val="both"/>
        <w:rPr>
          <w:rFonts w:ascii="Palatino Linotype" w:eastAsia="Palatino Linotype" w:hAnsi="Palatino Linotype" w:cs="Palatino Linotype"/>
        </w:rPr>
      </w:pPr>
      <w:r w:rsidRPr="008063BE">
        <w:rPr>
          <w:rFonts w:ascii="Palatino Linotype" w:eastAsia="Palatino Linotype" w:hAnsi="Palatino Linotype" w:cs="Palatino Linotype"/>
          <w:b/>
          <w:color w:val="000000"/>
        </w:rPr>
        <w:t xml:space="preserve">SEGUNDO. </w:t>
      </w:r>
      <w:r w:rsidRPr="008063BE">
        <w:rPr>
          <w:rFonts w:ascii="Palatino Linotype" w:eastAsia="Palatino Linotype" w:hAnsi="Palatino Linotype" w:cs="Palatino Linotype"/>
        </w:rPr>
        <w:t xml:space="preserve">Notifíquese al Titular de la Unidad de Transparencia del SUJETO OBLIGADO, vía </w:t>
      </w:r>
      <w:r w:rsidRPr="008063BE">
        <w:rPr>
          <w:rFonts w:ascii="Palatino Linotype" w:eastAsia="Palatino Linotype" w:hAnsi="Palatino Linotype" w:cs="Palatino Linotype"/>
          <w:b/>
        </w:rPr>
        <w:t>SARCOEM</w:t>
      </w:r>
      <w:r w:rsidRPr="008063BE">
        <w:rPr>
          <w:rFonts w:ascii="Palatino Linotype" w:eastAsia="Palatino Linotype" w:hAnsi="Palatino Linotype" w:cs="Palatino Linotype"/>
        </w:rPr>
        <w:t xml:space="preserve">, la presente resolución. </w:t>
      </w:r>
    </w:p>
    <w:p w14:paraId="7A1593CD" w14:textId="77777777" w:rsidR="00760187" w:rsidRPr="008063BE" w:rsidRDefault="007751D1" w:rsidP="00555DA2">
      <w:pPr>
        <w:pBdr>
          <w:top w:val="nil"/>
          <w:left w:val="nil"/>
          <w:bottom w:val="nil"/>
          <w:right w:val="nil"/>
          <w:between w:val="nil"/>
        </w:pBdr>
        <w:spacing w:after="240" w:line="360" w:lineRule="auto"/>
        <w:ind w:right="-28"/>
        <w:jc w:val="both"/>
        <w:rPr>
          <w:rFonts w:ascii="Palatino Linotype" w:eastAsia="Palatino Linotype" w:hAnsi="Palatino Linotype" w:cs="Palatino Linotype"/>
          <w:b/>
        </w:rPr>
      </w:pPr>
      <w:r w:rsidRPr="008063BE">
        <w:rPr>
          <w:rFonts w:ascii="Palatino Linotype" w:eastAsia="Palatino Linotype" w:hAnsi="Palatino Linotype" w:cs="Palatino Linotype"/>
          <w:b/>
          <w:color w:val="000000"/>
        </w:rPr>
        <w:t xml:space="preserve">TERCERO. </w:t>
      </w:r>
      <w:r w:rsidRPr="008063BE">
        <w:rPr>
          <w:rFonts w:ascii="Palatino Linotype" w:eastAsia="Palatino Linotype" w:hAnsi="Palatino Linotype" w:cs="Palatino Linotype"/>
        </w:rPr>
        <w:t xml:space="preserve">Notifíquese al </w:t>
      </w:r>
      <w:r w:rsidRPr="008063BE">
        <w:rPr>
          <w:rFonts w:ascii="Palatino Linotype" w:eastAsia="Palatino Linotype" w:hAnsi="Palatino Linotype" w:cs="Palatino Linotype"/>
          <w:b/>
        </w:rPr>
        <w:t>RECURRENTE</w:t>
      </w:r>
      <w:r w:rsidRPr="008063BE">
        <w:rPr>
          <w:rFonts w:ascii="Palatino Linotype" w:eastAsia="Palatino Linotype" w:hAnsi="Palatino Linotype" w:cs="Palatino Linotype"/>
        </w:rPr>
        <w:t xml:space="preserve"> la presente resolución, vía </w:t>
      </w:r>
      <w:r w:rsidRPr="008063BE">
        <w:rPr>
          <w:rFonts w:ascii="Palatino Linotype" w:eastAsia="Palatino Linotype" w:hAnsi="Palatino Linotype" w:cs="Palatino Linotype"/>
          <w:b/>
        </w:rPr>
        <w:t xml:space="preserve">SARCOEM. </w:t>
      </w:r>
    </w:p>
    <w:p w14:paraId="6C4BC78B" w14:textId="77777777" w:rsidR="00760187" w:rsidRPr="008063BE" w:rsidRDefault="007751D1" w:rsidP="00555DA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8063BE">
        <w:rPr>
          <w:rFonts w:ascii="Palatino Linotype" w:eastAsia="Palatino Linotype" w:hAnsi="Palatino Linotype" w:cs="Palatino Linotype"/>
          <w:b/>
          <w:color w:val="000000"/>
        </w:rPr>
        <w:t>CUARTO.</w:t>
      </w:r>
      <w:r w:rsidRPr="008063BE">
        <w:rPr>
          <w:rFonts w:ascii="Palatino Linotype" w:eastAsia="Palatino Linotype" w:hAnsi="Palatino Linotype" w:cs="Palatino Linotype"/>
          <w:color w:val="000000"/>
        </w:rPr>
        <w:t xml:space="preserve"> S</w:t>
      </w:r>
      <w:r w:rsidRPr="008063BE">
        <w:rPr>
          <w:rFonts w:ascii="Palatino Linotype" w:eastAsia="Palatino Linotype" w:hAnsi="Palatino Linotype" w:cs="Palatino Linotype"/>
        </w:rPr>
        <w:t>e hace de conocimiento del RECURRENTE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14:paraId="3232FD9B" w14:textId="77777777" w:rsidR="00760187" w:rsidRPr="008063BE" w:rsidRDefault="00760187" w:rsidP="00555DA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24C6632B" w14:textId="7E400695" w:rsidR="00760187" w:rsidRPr="00555DA2" w:rsidRDefault="00555DA2" w:rsidP="00555DA2">
      <w:pPr>
        <w:spacing w:before="240" w:after="240" w:line="360" w:lineRule="auto"/>
        <w:ind w:right="-28" w:firstLine="1"/>
        <w:jc w:val="both"/>
        <w:rPr>
          <w:rFonts w:ascii="Palatino Linotype" w:eastAsia="Palatino Linotype" w:hAnsi="Palatino Linotype" w:cs="Palatino Linotype"/>
          <w:smallCaps/>
        </w:rPr>
      </w:pPr>
      <w:bookmarkStart w:id="9" w:name="_heading=h.2s8eyo1" w:colFirst="0" w:colLast="0"/>
      <w:bookmarkEnd w:id="9"/>
      <w:r w:rsidRPr="008063BE">
        <w:rPr>
          <w:rFonts w:ascii="Palatino Linotype" w:eastAsia="Palatino Linotype" w:hAnsi="Palatino Linotype" w:cs="Palatino Linotype"/>
          <w:smallCaps/>
        </w:rPr>
        <w:t xml:space="preserve">ASÍ LO RESUELVE, POR UNANIMIDAD DE VOTOS, EL PLENO DEL INSTITUTO DE TRANSPARENCIA, ACCESO A LA INFORMACIÓN PÚBLICA Y PROTECCIÓN DE </w:t>
      </w:r>
      <w:r w:rsidRPr="008063BE">
        <w:rPr>
          <w:rFonts w:ascii="Palatino Linotype" w:eastAsia="Palatino Linotype" w:hAnsi="Palatino Linotype" w:cs="Palatino Linotype"/>
          <w:smallCaps/>
        </w:rPr>
        <w:lastRenderedPageBreak/>
        <w:t>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p>
    <w:p w14:paraId="69D725D6" w14:textId="77777777" w:rsidR="00760187" w:rsidRPr="00555DA2" w:rsidRDefault="007751D1" w:rsidP="00555DA2">
      <w:pPr>
        <w:ind w:right="-28"/>
        <w:rPr>
          <w:rFonts w:ascii="Palatino Linotype" w:eastAsia="Palatino Linotype" w:hAnsi="Palatino Linotype" w:cs="Palatino Linotype"/>
        </w:rPr>
      </w:pPr>
      <w:r w:rsidRPr="00555DA2">
        <w:rPr>
          <w:rFonts w:ascii="Palatino Linotype" w:hAnsi="Palatino Linotype"/>
        </w:rPr>
        <w:br w:type="page"/>
      </w:r>
    </w:p>
    <w:p w14:paraId="7DD36BF0" w14:textId="77777777" w:rsidR="00760187" w:rsidRPr="00555DA2" w:rsidRDefault="00760187" w:rsidP="00555DA2">
      <w:pPr>
        <w:spacing w:before="240" w:after="240" w:line="360" w:lineRule="auto"/>
        <w:ind w:right="-28"/>
        <w:jc w:val="both"/>
        <w:rPr>
          <w:rFonts w:ascii="Palatino Linotype" w:eastAsia="Palatino Linotype" w:hAnsi="Palatino Linotype" w:cs="Palatino Linotype"/>
        </w:rPr>
      </w:pPr>
    </w:p>
    <w:p w14:paraId="32E0D74A" w14:textId="77777777" w:rsidR="00760187" w:rsidRPr="00555DA2" w:rsidRDefault="00760187" w:rsidP="00555DA2">
      <w:pPr>
        <w:spacing w:before="240" w:after="240" w:line="360" w:lineRule="auto"/>
        <w:ind w:right="-28"/>
        <w:jc w:val="both"/>
        <w:rPr>
          <w:rFonts w:ascii="Palatino Linotype" w:eastAsia="Palatino Linotype" w:hAnsi="Palatino Linotype" w:cs="Palatino Linotype"/>
        </w:rPr>
      </w:pPr>
    </w:p>
    <w:p w14:paraId="76B00A85" w14:textId="77777777" w:rsidR="00760187" w:rsidRPr="00555DA2" w:rsidRDefault="00760187" w:rsidP="00555DA2">
      <w:pPr>
        <w:ind w:right="-28"/>
        <w:rPr>
          <w:rFonts w:ascii="Palatino Linotype" w:hAnsi="Palatino Linotype"/>
        </w:rPr>
      </w:pPr>
    </w:p>
    <w:p w14:paraId="5A908BF2" w14:textId="77777777" w:rsidR="00760187" w:rsidRPr="00555DA2" w:rsidRDefault="00760187" w:rsidP="00555DA2">
      <w:pPr>
        <w:ind w:right="-28"/>
        <w:rPr>
          <w:rFonts w:ascii="Palatino Linotype" w:hAnsi="Palatino Linotype"/>
        </w:rPr>
      </w:pPr>
    </w:p>
    <w:p w14:paraId="7655B806" w14:textId="77777777" w:rsidR="00760187" w:rsidRPr="00555DA2" w:rsidRDefault="00760187" w:rsidP="00555DA2">
      <w:pPr>
        <w:ind w:right="-28"/>
        <w:rPr>
          <w:rFonts w:ascii="Palatino Linotype" w:hAnsi="Palatino Linotype"/>
        </w:rPr>
      </w:pPr>
    </w:p>
    <w:p w14:paraId="5181BAB6" w14:textId="77777777" w:rsidR="00760187" w:rsidRPr="00555DA2" w:rsidRDefault="00760187" w:rsidP="00555DA2">
      <w:pPr>
        <w:ind w:right="-28"/>
        <w:rPr>
          <w:rFonts w:ascii="Palatino Linotype" w:hAnsi="Palatino Linotype"/>
        </w:rPr>
      </w:pPr>
      <w:bookmarkStart w:id="10" w:name="_heading=h.17dp8vu" w:colFirst="0" w:colLast="0"/>
      <w:bookmarkEnd w:id="10"/>
    </w:p>
    <w:sectPr w:rsidR="00760187" w:rsidRPr="00555DA2" w:rsidSect="00555DA2">
      <w:headerReference w:type="even" r:id="rId12"/>
      <w:headerReference w:type="default" r:id="rId13"/>
      <w:footerReference w:type="default" r:id="rId14"/>
      <w:headerReference w:type="first" r:id="rId15"/>
      <w:footerReference w:type="first" r:id="rId16"/>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B773" w14:textId="77777777" w:rsidR="00872ED4" w:rsidRDefault="00872ED4">
      <w:r>
        <w:separator/>
      </w:r>
    </w:p>
  </w:endnote>
  <w:endnote w:type="continuationSeparator" w:id="0">
    <w:p w14:paraId="7500A7D4" w14:textId="77777777" w:rsidR="00872ED4" w:rsidRDefault="0087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9BCB7" w14:textId="77777777" w:rsidR="00760187" w:rsidRDefault="007751D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14257">
      <w:rPr>
        <w:b/>
        <w:noProof/>
        <w:color w:val="000000"/>
      </w:rPr>
      <w:t>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14257">
      <w:rPr>
        <w:b/>
        <w:noProof/>
        <w:color w:val="000000"/>
      </w:rPr>
      <w:t>11</w:t>
    </w:r>
    <w:r>
      <w:rPr>
        <w:b/>
        <w:color w:val="000000"/>
      </w:rPr>
      <w:fldChar w:fldCharType="end"/>
    </w:r>
  </w:p>
  <w:p w14:paraId="1E699312" w14:textId="77777777" w:rsidR="00760187" w:rsidRDefault="0076018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A822C" w14:textId="77777777" w:rsidR="00760187" w:rsidRDefault="007751D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1425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14257">
      <w:rPr>
        <w:b/>
        <w:noProof/>
        <w:color w:val="000000"/>
      </w:rPr>
      <w:t>11</w:t>
    </w:r>
    <w:r>
      <w:rPr>
        <w:b/>
        <w:color w:val="000000"/>
      </w:rPr>
      <w:fldChar w:fldCharType="end"/>
    </w:r>
  </w:p>
  <w:p w14:paraId="7210A9B9" w14:textId="77777777" w:rsidR="00760187" w:rsidRDefault="0076018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7F623" w14:textId="77777777" w:rsidR="00872ED4" w:rsidRDefault="00872ED4">
      <w:r>
        <w:separator/>
      </w:r>
    </w:p>
  </w:footnote>
  <w:footnote w:type="continuationSeparator" w:id="0">
    <w:p w14:paraId="3424B903" w14:textId="77777777" w:rsidR="00872ED4" w:rsidRDefault="00872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6B5A4" w14:textId="77777777" w:rsidR="00760187" w:rsidRDefault="00872ED4">
    <w:pPr>
      <w:pBdr>
        <w:top w:val="nil"/>
        <w:left w:val="nil"/>
        <w:bottom w:val="nil"/>
        <w:right w:val="nil"/>
        <w:between w:val="nil"/>
      </w:pBdr>
      <w:tabs>
        <w:tab w:val="center" w:pos="4419"/>
        <w:tab w:val="right" w:pos="8838"/>
      </w:tabs>
      <w:rPr>
        <w:color w:val="000000"/>
      </w:rPr>
    </w:pPr>
    <w:r>
      <w:rPr>
        <w:color w:val="000000"/>
      </w:rPr>
      <w:pict w14:anchorId="3D536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C6A4" w14:textId="77777777" w:rsidR="00760187" w:rsidRDefault="00760187">
    <w:pPr>
      <w:widowControl w:val="0"/>
      <w:pBdr>
        <w:top w:val="nil"/>
        <w:left w:val="nil"/>
        <w:bottom w:val="nil"/>
        <w:right w:val="nil"/>
        <w:between w:val="nil"/>
      </w:pBdr>
      <w:spacing w:line="276" w:lineRule="auto"/>
      <w:rPr>
        <w:color w:val="000000"/>
      </w:rPr>
    </w:pPr>
  </w:p>
  <w:tbl>
    <w:tblPr>
      <w:tblStyle w:val="a0"/>
      <w:tblW w:w="9214" w:type="dxa"/>
      <w:tblInd w:w="-115" w:type="dxa"/>
      <w:tblLayout w:type="fixed"/>
      <w:tblLook w:val="0400" w:firstRow="0" w:lastRow="0" w:firstColumn="0" w:lastColumn="0" w:noHBand="0" w:noVBand="1"/>
    </w:tblPr>
    <w:tblGrid>
      <w:gridCol w:w="2268"/>
      <w:gridCol w:w="6946"/>
    </w:tblGrid>
    <w:tr w:rsidR="00760187" w14:paraId="69D9E671" w14:textId="77777777">
      <w:trPr>
        <w:trHeight w:val="1435"/>
      </w:trPr>
      <w:tc>
        <w:tcPr>
          <w:tcW w:w="2268" w:type="dxa"/>
          <w:shd w:val="clear" w:color="auto" w:fill="auto"/>
        </w:tcPr>
        <w:p w14:paraId="04F57738" w14:textId="77777777" w:rsidR="00760187" w:rsidRDefault="00760187">
          <w:pPr>
            <w:tabs>
              <w:tab w:val="right" w:pos="4273"/>
            </w:tabs>
            <w:rPr>
              <w:rFonts w:ascii="Garamond" w:eastAsia="Garamond" w:hAnsi="Garamond" w:cs="Garamond"/>
              <w:sz w:val="16"/>
              <w:szCs w:val="16"/>
            </w:rPr>
          </w:pPr>
        </w:p>
      </w:tc>
      <w:tc>
        <w:tcPr>
          <w:tcW w:w="6946" w:type="dxa"/>
          <w:shd w:val="clear" w:color="auto" w:fill="auto"/>
        </w:tcPr>
        <w:p w14:paraId="57EB59B6" w14:textId="77777777" w:rsidR="00760187" w:rsidRDefault="00760187"/>
        <w:tbl>
          <w:tblPr>
            <w:tblStyle w:val="a1"/>
            <w:tblW w:w="7331" w:type="dxa"/>
            <w:tblInd w:w="40" w:type="dxa"/>
            <w:tblLayout w:type="fixed"/>
            <w:tblLook w:val="0400" w:firstRow="0" w:lastRow="0" w:firstColumn="0" w:lastColumn="0" w:noHBand="0" w:noVBand="1"/>
          </w:tblPr>
          <w:tblGrid>
            <w:gridCol w:w="2672"/>
            <w:gridCol w:w="4659"/>
          </w:tblGrid>
          <w:tr w:rsidR="00760187" w:rsidRPr="00555DA2" w14:paraId="30FCBC6F" w14:textId="77777777" w:rsidTr="00FD1183">
            <w:trPr>
              <w:trHeight w:val="150"/>
            </w:trPr>
            <w:tc>
              <w:tcPr>
                <w:tcW w:w="2672" w:type="dxa"/>
                <w:shd w:val="clear" w:color="auto" w:fill="auto"/>
              </w:tcPr>
              <w:p w14:paraId="7ADD880F" w14:textId="77777777" w:rsidR="00760187" w:rsidRPr="00555DA2" w:rsidRDefault="007751D1">
                <w:pPr>
                  <w:tabs>
                    <w:tab w:val="right" w:pos="8838"/>
                  </w:tabs>
                  <w:ind w:right="-105"/>
                  <w:rPr>
                    <w:rFonts w:ascii="Palatino Linotype" w:eastAsia="Palatino Linotype" w:hAnsi="Palatino Linotype" w:cs="Palatino Linotype"/>
                    <w:b/>
                  </w:rPr>
                </w:pPr>
                <w:r w:rsidRPr="00555DA2">
                  <w:rPr>
                    <w:rFonts w:ascii="Palatino Linotype" w:eastAsia="Palatino Linotype" w:hAnsi="Palatino Linotype" w:cs="Palatino Linotype"/>
                    <w:b/>
                  </w:rPr>
                  <w:t>Recurso de Revisión:</w:t>
                </w:r>
              </w:p>
            </w:tc>
            <w:tc>
              <w:tcPr>
                <w:tcW w:w="4659" w:type="dxa"/>
                <w:shd w:val="clear" w:color="auto" w:fill="auto"/>
              </w:tcPr>
              <w:p w14:paraId="1FB9ABB3" w14:textId="77777777" w:rsidR="00760187" w:rsidRPr="00555DA2" w:rsidRDefault="00FD1183" w:rsidP="00555DA2">
                <w:pPr>
                  <w:tabs>
                    <w:tab w:val="right" w:pos="8838"/>
                  </w:tabs>
                  <w:ind w:right="735"/>
                  <w:jc w:val="both"/>
                  <w:rPr>
                    <w:rFonts w:ascii="Palatino Linotype" w:eastAsia="Palatino Linotype" w:hAnsi="Palatino Linotype" w:cs="Palatino Linotype"/>
                  </w:rPr>
                </w:pPr>
                <w:r w:rsidRPr="00555DA2">
                  <w:rPr>
                    <w:rFonts w:ascii="Palatino Linotype" w:eastAsia="Palatino Linotype" w:hAnsi="Palatino Linotype" w:cs="Palatino Linotype"/>
                  </w:rPr>
                  <w:t>04373/INFOEM/R</w:t>
                </w:r>
                <w:r w:rsidR="00BB3F5D" w:rsidRPr="00555DA2">
                  <w:rPr>
                    <w:rFonts w:ascii="Palatino Linotype" w:eastAsia="Palatino Linotype" w:hAnsi="Palatino Linotype" w:cs="Palatino Linotype"/>
                  </w:rPr>
                  <w:t>D/RR/2025</w:t>
                </w:r>
              </w:p>
            </w:tc>
          </w:tr>
          <w:tr w:rsidR="00760187" w:rsidRPr="00555DA2" w14:paraId="12F41D3F" w14:textId="77777777" w:rsidTr="00FD1183">
            <w:trPr>
              <w:trHeight w:val="295"/>
            </w:trPr>
            <w:tc>
              <w:tcPr>
                <w:tcW w:w="2672" w:type="dxa"/>
                <w:shd w:val="clear" w:color="auto" w:fill="auto"/>
              </w:tcPr>
              <w:p w14:paraId="6AD5AFF6" w14:textId="77777777" w:rsidR="00760187" w:rsidRPr="00555DA2" w:rsidRDefault="007751D1">
                <w:pPr>
                  <w:tabs>
                    <w:tab w:val="right" w:pos="8838"/>
                  </w:tabs>
                  <w:ind w:right="-105"/>
                  <w:rPr>
                    <w:rFonts w:ascii="Palatino Linotype" w:eastAsia="Palatino Linotype" w:hAnsi="Palatino Linotype" w:cs="Palatino Linotype"/>
                    <w:b/>
                  </w:rPr>
                </w:pPr>
                <w:r w:rsidRPr="00555DA2">
                  <w:rPr>
                    <w:rFonts w:ascii="Palatino Linotype" w:eastAsia="Palatino Linotype" w:hAnsi="Palatino Linotype" w:cs="Palatino Linotype"/>
                    <w:b/>
                  </w:rPr>
                  <w:t>Sujeto Obligado:</w:t>
                </w:r>
              </w:p>
            </w:tc>
            <w:tc>
              <w:tcPr>
                <w:tcW w:w="4659" w:type="dxa"/>
                <w:shd w:val="clear" w:color="auto" w:fill="auto"/>
              </w:tcPr>
              <w:p w14:paraId="22CC4EB4" w14:textId="77777777" w:rsidR="00760187" w:rsidRPr="00555DA2" w:rsidRDefault="007751D1" w:rsidP="00555DA2">
                <w:pPr>
                  <w:tabs>
                    <w:tab w:val="right" w:pos="8838"/>
                  </w:tabs>
                  <w:ind w:right="452"/>
                  <w:jc w:val="both"/>
                  <w:rPr>
                    <w:rFonts w:ascii="Palatino Linotype" w:eastAsia="Palatino Linotype" w:hAnsi="Palatino Linotype" w:cs="Palatino Linotype"/>
                    <w:b/>
                  </w:rPr>
                </w:pPr>
                <w:r w:rsidRPr="00555DA2">
                  <w:rPr>
                    <w:rFonts w:ascii="Palatino Linotype" w:eastAsia="Palatino Linotype" w:hAnsi="Palatino Linotype" w:cs="Palatino Linotype"/>
                  </w:rPr>
                  <w:t>Instituto de Seguridad Social del Estado de México y Municipios</w:t>
                </w:r>
              </w:p>
            </w:tc>
          </w:tr>
          <w:tr w:rsidR="00760187" w:rsidRPr="00555DA2" w14:paraId="7E9A19D3" w14:textId="77777777" w:rsidTr="00FD1183">
            <w:trPr>
              <w:trHeight w:val="295"/>
            </w:trPr>
            <w:tc>
              <w:tcPr>
                <w:tcW w:w="2672" w:type="dxa"/>
                <w:shd w:val="clear" w:color="auto" w:fill="auto"/>
              </w:tcPr>
              <w:p w14:paraId="3A12A2CC" w14:textId="77777777" w:rsidR="00760187" w:rsidRPr="00555DA2" w:rsidRDefault="007751D1">
                <w:pPr>
                  <w:tabs>
                    <w:tab w:val="right" w:pos="8838"/>
                  </w:tabs>
                  <w:ind w:right="-105"/>
                  <w:rPr>
                    <w:rFonts w:ascii="Palatino Linotype" w:eastAsia="Palatino Linotype" w:hAnsi="Palatino Linotype" w:cs="Palatino Linotype"/>
                    <w:b/>
                  </w:rPr>
                </w:pPr>
                <w:r w:rsidRPr="00555DA2">
                  <w:rPr>
                    <w:rFonts w:ascii="Palatino Linotype" w:eastAsia="Palatino Linotype" w:hAnsi="Palatino Linotype" w:cs="Palatino Linotype"/>
                    <w:b/>
                  </w:rPr>
                  <w:t>Comisionado ponente:</w:t>
                </w:r>
              </w:p>
            </w:tc>
            <w:tc>
              <w:tcPr>
                <w:tcW w:w="4659" w:type="dxa"/>
                <w:shd w:val="clear" w:color="auto" w:fill="auto"/>
              </w:tcPr>
              <w:p w14:paraId="77FC4CB0" w14:textId="77777777" w:rsidR="00760187" w:rsidRPr="00555DA2" w:rsidRDefault="007751D1" w:rsidP="00555DA2">
                <w:pPr>
                  <w:tabs>
                    <w:tab w:val="right" w:pos="8838"/>
                  </w:tabs>
                  <w:ind w:right="735"/>
                  <w:jc w:val="both"/>
                  <w:rPr>
                    <w:rFonts w:ascii="Palatino Linotype" w:eastAsia="Palatino Linotype" w:hAnsi="Palatino Linotype" w:cs="Palatino Linotype"/>
                  </w:rPr>
                </w:pPr>
                <w:r w:rsidRPr="00555DA2">
                  <w:rPr>
                    <w:rFonts w:ascii="Palatino Linotype" w:eastAsia="Palatino Linotype" w:hAnsi="Palatino Linotype" w:cs="Palatino Linotype"/>
                  </w:rPr>
                  <w:t xml:space="preserve"> María del Rosario Mejía Ayala</w:t>
                </w:r>
              </w:p>
              <w:p w14:paraId="25170150" w14:textId="77777777" w:rsidR="00760187" w:rsidRPr="00555DA2" w:rsidRDefault="00760187" w:rsidP="00555DA2">
                <w:pPr>
                  <w:tabs>
                    <w:tab w:val="right" w:pos="8838"/>
                  </w:tabs>
                  <w:ind w:right="735"/>
                  <w:jc w:val="both"/>
                  <w:rPr>
                    <w:rFonts w:ascii="Palatino Linotype" w:eastAsia="Palatino Linotype" w:hAnsi="Palatino Linotype" w:cs="Palatino Linotype"/>
                    <w:b/>
                  </w:rPr>
                </w:pPr>
              </w:p>
            </w:tc>
          </w:tr>
        </w:tbl>
        <w:p w14:paraId="78DDA398" w14:textId="77777777" w:rsidR="00760187" w:rsidRDefault="00760187">
          <w:pPr>
            <w:tabs>
              <w:tab w:val="right" w:pos="8838"/>
            </w:tabs>
            <w:ind w:left="-28"/>
            <w:jc w:val="both"/>
            <w:rPr>
              <w:rFonts w:ascii="Arial" w:eastAsia="Arial" w:hAnsi="Arial" w:cs="Arial"/>
              <w:b/>
              <w:sz w:val="22"/>
              <w:szCs w:val="22"/>
            </w:rPr>
          </w:pPr>
        </w:p>
      </w:tc>
    </w:tr>
  </w:tbl>
  <w:p w14:paraId="676A705D" w14:textId="77777777" w:rsidR="00760187" w:rsidRDefault="00872ED4">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3E7C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D1C2A" w14:textId="3339BE0B" w:rsidR="00760187" w:rsidRDefault="00872ED4">
    <w:pPr>
      <w:widowControl w:val="0"/>
      <w:pBdr>
        <w:top w:val="nil"/>
        <w:left w:val="nil"/>
        <w:bottom w:val="nil"/>
        <w:right w:val="nil"/>
        <w:between w:val="nil"/>
      </w:pBdr>
      <w:spacing w:line="276" w:lineRule="auto"/>
      <w:rPr>
        <w:color w:val="000000"/>
        <w:sz w:val="14"/>
        <w:szCs w:val="14"/>
      </w:rPr>
    </w:pPr>
    <w:r>
      <w:rPr>
        <w:color w:val="000000"/>
        <w:sz w:val="2"/>
        <w:szCs w:val="2"/>
      </w:rPr>
      <w:pict w14:anchorId="2CD30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7.8pt;margin-top:-80.1pt;width:589.8pt;height:768pt;z-index:-251658752;mso-position-horizontal-relative:margin;mso-position-vertical-relative:margin">
          <v:imagedata r:id="rId1" o:title="image1"/>
          <w10:wrap anchorx="margin" anchory="margin"/>
        </v:shape>
      </w:pict>
    </w:r>
  </w:p>
  <w:tbl>
    <w:tblPr>
      <w:tblStyle w:val="a2"/>
      <w:tblW w:w="9795" w:type="dxa"/>
      <w:tblInd w:w="-115" w:type="dxa"/>
      <w:tblLayout w:type="fixed"/>
      <w:tblLook w:val="0400" w:firstRow="0" w:lastRow="0" w:firstColumn="0" w:lastColumn="0" w:noHBand="0" w:noVBand="1"/>
    </w:tblPr>
    <w:tblGrid>
      <w:gridCol w:w="2265"/>
      <w:gridCol w:w="7530"/>
    </w:tblGrid>
    <w:tr w:rsidR="00760187" w14:paraId="65FFD869" w14:textId="77777777">
      <w:trPr>
        <w:trHeight w:val="1435"/>
      </w:trPr>
      <w:tc>
        <w:tcPr>
          <w:tcW w:w="2265" w:type="dxa"/>
          <w:shd w:val="clear" w:color="auto" w:fill="auto"/>
        </w:tcPr>
        <w:p w14:paraId="7B1E493A" w14:textId="77777777" w:rsidR="00760187" w:rsidRDefault="00760187">
          <w:pPr>
            <w:tabs>
              <w:tab w:val="right" w:pos="4273"/>
            </w:tabs>
            <w:rPr>
              <w:rFonts w:ascii="Garamond" w:eastAsia="Garamond" w:hAnsi="Garamond" w:cs="Garamond"/>
              <w:sz w:val="22"/>
              <w:szCs w:val="22"/>
            </w:rPr>
          </w:pPr>
        </w:p>
      </w:tc>
      <w:tc>
        <w:tcPr>
          <w:tcW w:w="7530" w:type="dxa"/>
          <w:shd w:val="clear" w:color="auto" w:fill="auto"/>
        </w:tcPr>
        <w:p w14:paraId="53EC2B55" w14:textId="77777777" w:rsidR="00760187" w:rsidRDefault="00760187">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7334" w:type="dxa"/>
            <w:tblInd w:w="40" w:type="dxa"/>
            <w:tblLayout w:type="fixed"/>
            <w:tblLook w:val="0400" w:firstRow="0" w:lastRow="0" w:firstColumn="0" w:lastColumn="0" w:noHBand="0" w:noVBand="1"/>
          </w:tblPr>
          <w:tblGrid>
            <w:gridCol w:w="2657"/>
            <w:gridCol w:w="4677"/>
          </w:tblGrid>
          <w:tr w:rsidR="00760187" w:rsidRPr="00555DA2" w14:paraId="14A3A742" w14:textId="77777777" w:rsidTr="00555DA2">
            <w:trPr>
              <w:trHeight w:val="144"/>
            </w:trPr>
            <w:tc>
              <w:tcPr>
                <w:tcW w:w="2657" w:type="dxa"/>
                <w:shd w:val="clear" w:color="auto" w:fill="auto"/>
              </w:tcPr>
              <w:p w14:paraId="2647400F" w14:textId="77777777" w:rsidR="00760187" w:rsidRPr="00555DA2" w:rsidRDefault="007751D1">
                <w:pPr>
                  <w:tabs>
                    <w:tab w:val="right" w:pos="8838"/>
                  </w:tabs>
                  <w:ind w:left="-264" w:right="-105" w:firstLine="195"/>
                  <w:rPr>
                    <w:rFonts w:ascii="Palatino Linotype" w:eastAsia="Palatino Linotype" w:hAnsi="Palatino Linotype" w:cs="Palatino Linotype"/>
                    <w:b/>
                  </w:rPr>
                </w:pPr>
                <w:r w:rsidRPr="00555DA2">
                  <w:rPr>
                    <w:rFonts w:ascii="Palatino Linotype" w:eastAsia="Palatino Linotype" w:hAnsi="Palatino Linotype" w:cs="Palatino Linotype"/>
                    <w:b/>
                  </w:rPr>
                  <w:t>Recurso de Revisión:</w:t>
                </w:r>
              </w:p>
            </w:tc>
            <w:tc>
              <w:tcPr>
                <w:tcW w:w="4677" w:type="dxa"/>
                <w:shd w:val="clear" w:color="auto" w:fill="auto"/>
              </w:tcPr>
              <w:p w14:paraId="167153AC" w14:textId="77777777" w:rsidR="00760187" w:rsidRPr="00555DA2" w:rsidRDefault="00AB5DA6" w:rsidP="00555DA2">
                <w:pPr>
                  <w:tabs>
                    <w:tab w:val="right" w:pos="8838"/>
                  </w:tabs>
                  <w:ind w:left="-74" w:right="134"/>
                  <w:rPr>
                    <w:rFonts w:ascii="Palatino Linotype" w:eastAsia="Palatino Linotype" w:hAnsi="Palatino Linotype" w:cs="Palatino Linotype"/>
                  </w:rPr>
                </w:pPr>
                <w:r w:rsidRPr="00555DA2">
                  <w:rPr>
                    <w:rFonts w:ascii="Palatino Linotype" w:eastAsia="Palatino Linotype" w:hAnsi="Palatino Linotype" w:cs="Palatino Linotype"/>
                  </w:rPr>
                  <w:t>0437</w:t>
                </w:r>
                <w:r w:rsidR="00FD1183" w:rsidRPr="00555DA2">
                  <w:rPr>
                    <w:rFonts w:ascii="Palatino Linotype" w:eastAsia="Palatino Linotype" w:hAnsi="Palatino Linotype" w:cs="Palatino Linotype"/>
                  </w:rPr>
                  <w:t>3/INFOEM/R</w:t>
                </w:r>
                <w:r w:rsidRPr="00555DA2">
                  <w:rPr>
                    <w:rFonts w:ascii="Palatino Linotype" w:eastAsia="Palatino Linotype" w:hAnsi="Palatino Linotype" w:cs="Palatino Linotype"/>
                  </w:rPr>
                  <w:t>D/RR/2025</w:t>
                </w:r>
              </w:p>
            </w:tc>
          </w:tr>
          <w:tr w:rsidR="00760187" w:rsidRPr="00555DA2" w14:paraId="5AEBE170" w14:textId="77777777" w:rsidTr="00555DA2">
            <w:trPr>
              <w:trHeight w:val="144"/>
            </w:trPr>
            <w:tc>
              <w:tcPr>
                <w:tcW w:w="2657" w:type="dxa"/>
                <w:shd w:val="clear" w:color="auto" w:fill="auto"/>
              </w:tcPr>
              <w:p w14:paraId="6554442C" w14:textId="77777777" w:rsidR="00760187" w:rsidRPr="00555DA2" w:rsidRDefault="007751D1">
                <w:pPr>
                  <w:tabs>
                    <w:tab w:val="right" w:pos="8838"/>
                  </w:tabs>
                  <w:ind w:left="-74" w:right="-105"/>
                  <w:rPr>
                    <w:rFonts w:ascii="Palatino Linotype" w:eastAsia="Palatino Linotype" w:hAnsi="Palatino Linotype" w:cs="Palatino Linotype"/>
                    <w:b/>
                  </w:rPr>
                </w:pPr>
                <w:r w:rsidRPr="00555DA2">
                  <w:rPr>
                    <w:rFonts w:ascii="Palatino Linotype" w:eastAsia="Palatino Linotype" w:hAnsi="Palatino Linotype" w:cs="Palatino Linotype"/>
                    <w:b/>
                  </w:rPr>
                  <w:t>Recurrente:</w:t>
                </w:r>
              </w:p>
            </w:tc>
            <w:tc>
              <w:tcPr>
                <w:tcW w:w="4677" w:type="dxa"/>
                <w:shd w:val="clear" w:color="auto" w:fill="auto"/>
              </w:tcPr>
              <w:p w14:paraId="6CC84AD6" w14:textId="2F320ADB" w:rsidR="00760187" w:rsidRPr="00555DA2" w:rsidRDefault="00F73F43" w:rsidP="00555DA2">
                <w:pPr>
                  <w:tabs>
                    <w:tab w:val="right" w:pos="8838"/>
                  </w:tabs>
                  <w:ind w:left="-74" w:right="134"/>
                  <w:rPr>
                    <w:rFonts w:ascii="Palatino Linotype" w:eastAsia="Palatino Linotype" w:hAnsi="Palatino Linotype" w:cs="Palatino Linotype"/>
                  </w:rPr>
                </w:pPr>
                <w:r>
                  <w:rPr>
                    <w:rFonts w:ascii="Palatino Linotype" w:eastAsia="Palatino Linotype" w:hAnsi="Palatino Linotype" w:cs="Palatino Linotype"/>
                  </w:rPr>
                  <w:t>XXXX</w:t>
                </w:r>
              </w:p>
            </w:tc>
          </w:tr>
          <w:tr w:rsidR="00760187" w:rsidRPr="00555DA2" w14:paraId="2D32AD3F" w14:textId="77777777" w:rsidTr="00555DA2">
            <w:trPr>
              <w:trHeight w:val="283"/>
            </w:trPr>
            <w:tc>
              <w:tcPr>
                <w:tcW w:w="2657" w:type="dxa"/>
                <w:shd w:val="clear" w:color="auto" w:fill="auto"/>
              </w:tcPr>
              <w:p w14:paraId="26345C88" w14:textId="77777777" w:rsidR="00760187" w:rsidRPr="00555DA2" w:rsidRDefault="007751D1">
                <w:pPr>
                  <w:tabs>
                    <w:tab w:val="right" w:pos="8838"/>
                  </w:tabs>
                  <w:ind w:left="-74" w:right="-105"/>
                  <w:rPr>
                    <w:rFonts w:ascii="Palatino Linotype" w:eastAsia="Palatino Linotype" w:hAnsi="Palatino Linotype" w:cs="Palatino Linotype"/>
                    <w:b/>
                  </w:rPr>
                </w:pPr>
                <w:r w:rsidRPr="00555DA2">
                  <w:rPr>
                    <w:rFonts w:ascii="Palatino Linotype" w:eastAsia="Palatino Linotype" w:hAnsi="Palatino Linotype" w:cs="Palatino Linotype"/>
                    <w:b/>
                  </w:rPr>
                  <w:t>Sujeto Obligado:</w:t>
                </w:r>
              </w:p>
            </w:tc>
            <w:tc>
              <w:tcPr>
                <w:tcW w:w="4677" w:type="dxa"/>
                <w:shd w:val="clear" w:color="auto" w:fill="auto"/>
              </w:tcPr>
              <w:p w14:paraId="41CE94E3" w14:textId="77777777" w:rsidR="00760187" w:rsidRPr="00555DA2" w:rsidRDefault="007751D1" w:rsidP="00555DA2">
                <w:pPr>
                  <w:tabs>
                    <w:tab w:val="left" w:pos="2834"/>
                    <w:tab w:val="right" w:pos="8838"/>
                  </w:tabs>
                  <w:ind w:left="-74" w:right="134"/>
                  <w:rPr>
                    <w:rFonts w:ascii="Palatino Linotype" w:eastAsia="Palatino Linotype" w:hAnsi="Palatino Linotype" w:cs="Palatino Linotype"/>
                  </w:rPr>
                </w:pPr>
                <w:r w:rsidRPr="00555DA2">
                  <w:rPr>
                    <w:rFonts w:ascii="Palatino Linotype" w:eastAsia="Palatino Linotype" w:hAnsi="Palatino Linotype" w:cs="Palatino Linotype"/>
                  </w:rPr>
                  <w:t>Instituto de Seguridad Social del Estado de México y Municipios</w:t>
                </w:r>
              </w:p>
            </w:tc>
          </w:tr>
          <w:tr w:rsidR="00760187" w:rsidRPr="00555DA2" w14:paraId="6E730640" w14:textId="77777777" w:rsidTr="00555DA2">
            <w:trPr>
              <w:trHeight w:val="283"/>
            </w:trPr>
            <w:tc>
              <w:tcPr>
                <w:tcW w:w="2657" w:type="dxa"/>
                <w:shd w:val="clear" w:color="auto" w:fill="auto"/>
              </w:tcPr>
              <w:p w14:paraId="0C2D0921" w14:textId="77777777" w:rsidR="00760187" w:rsidRPr="00555DA2" w:rsidRDefault="007751D1">
                <w:pPr>
                  <w:tabs>
                    <w:tab w:val="right" w:pos="8838"/>
                  </w:tabs>
                  <w:ind w:left="-74" w:right="-105"/>
                  <w:rPr>
                    <w:rFonts w:ascii="Palatino Linotype" w:eastAsia="Palatino Linotype" w:hAnsi="Palatino Linotype" w:cs="Palatino Linotype"/>
                    <w:b/>
                  </w:rPr>
                </w:pPr>
                <w:r w:rsidRPr="00555DA2">
                  <w:rPr>
                    <w:rFonts w:ascii="Palatino Linotype" w:eastAsia="Palatino Linotype" w:hAnsi="Palatino Linotype" w:cs="Palatino Linotype"/>
                    <w:b/>
                  </w:rPr>
                  <w:t>Comisionado ponente:</w:t>
                </w:r>
              </w:p>
            </w:tc>
            <w:tc>
              <w:tcPr>
                <w:tcW w:w="4677" w:type="dxa"/>
                <w:shd w:val="clear" w:color="auto" w:fill="auto"/>
              </w:tcPr>
              <w:p w14:paraId="36C3F627" w14:textId="77777777" w:rsidR="00760187" w:rsidRPr="00555DA2" w:rsidRDefault="007751D1" w:rsidP="00555DA2">
                <w:pPr>
                  <w:tabs>
                    <w:tab w:val="right" w:pos="8838"/>
                  </w:tabs>
                  <w:ind w:left="-74" w:right="134"/>
                  <w:rPr>
                    <w:rFonts w:ascii="Palatino Linotype" w:eastAsia="Palatino Linotype" w:hAnsi="Palatino Linotype" w:cs="Palatino Linotype"/>
                  </w:rPr>
                </w:pPr>
                <w:r w:rsidRPr="00555DA2">
                  <w:rPr>
                    <w:rFonts w:ascii="Palatino Linotype" w:eastAsia="Palatino Linotype" w:hAnsi="Palatino Linotype" w:cs="Palatino Linotype"/>
                  </w:rPr>
                  <w:t>María del Rosario Mejía Ayala</w:t>
                </w:r>
              </w:p>
              <w:p w14:paraId="16C714BB" w14:textId="77777777" w:rsidR="00760187" w:rsidRPr="00555DA2" w:rsidRDefault="00760187" w:rsidP="00555DA2">
                <w:pPr>
                  <w:tabs>
                    <w:tab w:val="right" w:pos="8838"/>
                  </w:tabs>
                  <w:ind w:left="-74" w:right="134"/>
                  <w:rPr>
                    <w:rFonts w:ascii="Palatino Linotype" w:eastAsia="Palatino Linotype" w:hAnsi="Palatino Linotype" w:cs="Palatino Linotype"/>
                    <w:b/>
                  </w:rPr>
                </w:pPr>
              </w:p>
            </w:tc>
          </w:tr>
        </w:tbl>
        <w:p w14:paraId="4DC3A78E" w14:textId="77777777" w:rsidR="00760187" w:rsidRDefault="00760187">
          <w:pPr>
            <w:tabs>
              <w:tab w:val="right" w:pos="8838"/>
            </w:tabs>
            <w:ind w:left="-28"/>
            <w:jc w:val="both"/>
            <w:rPr>
              <w:rFonts w:ascii="Arial" w:eastAsia="Arial" w:hAnsi="Arial" w:cs="Arial"/>
              <w:b/>
              <w:sz w:val="22"/>
              <w:szCs w:val="22"/>
            </w:rPr>
          </w:pPr>
        </w:p>
      </w:tc>
    </w:tr>
  </w:tbl>
  <w:p w14:paraId="231E2E94" w14:textId="707E2AB8" w:rsidR="00760187" w:rsidRDefault="00760187">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6BDE"/>
    <w:multiLevelType w:val="multilevel"/>
    <w:tmpl w:val="D932D8B8"/>
    <w:lvl w:ilvl="0">
      <w:start w:val="1"/>
      <w:numFmt w:val="decimal"/>
      <w:lvlText w:val="%1."/>
      <w:lvlJc w:val="left"/>
      <w:pPr>
        <w:ind w:left="2204"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3C06BF"/>
    <w:multiLevelType w:val="multilevel"/>
    <w:tmpl w:val="FAF2A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87"/>
    <w:rsid w:val="00066126"/>
    <w:rsid w:val="00070802"/>
    <w:rsid w:val="00164B31"/>
    <w:rsid w:val="002D167F"/>
    <w:rsid w:val="004005F7"/>
    <w:rsid w:val="00531B1D"/>
    <w:rsid w:val="00555DA2"/>
    <w:rsid w:val="006D3CD6"/>
    <w:rsid w:val="00714257"/>
    <w:rsid w:val="00760187"/>
    <w:rsid w:val="00774F4E"/>
    <w:rsid w:val="007751D1"/>
    <w:rsid w:val="008063BE"/>
    <w:rsid w:val="00872ED4"/>
    <w:rsid w:val="00AB5DA6"/>
    <w:rsid w:val="00AE365E"/>
    <w:rsid w:val="00BB3F5D"/>
    <w:rsid w:val="00D97718"/>
    <w:rsid w:val="00F73F43"/>
    <w:rsid w:val="00FD11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29F15"/>
  <w15:docId w15:val="{C8B8DC67-7372-4D6D-BF8C-9F0A1246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D1E"/>
    <w:rPr>
      <w:lang w:val="es-MX"/>
    </w:rPr>
  </w:style>
  <w:style w:type="paragraph" w:styleId="Ttulo1">
    <w:name w:val="heading 1"/>
    <w:basedOn w:val="Normal"/>
    <w:next w:val="Normal"/>
    <w:link w:val="Ttulo1Car"/>
    <w:uiPriority w:val="9"/>
    <w:qFormat/>
    <w:rsid w:val="00E02D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02D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73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08895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WcqIe+KWsNb9CtkJkcj4im6+g==">CgMxLjAyCGguZ2pkZ3hzMgloLjMwajB6bGwyCWguMWZvYjl0ZTIJaC4zem55c2g3MgloLjJldDkycDAyCGgudHlqY3d0MgloLjNkeTZ2a20yCWguMXQzaDVzZjIJaC4yczhleW8xMgloLjJzOGV5bzEyCWguMTdkcDh2dTgAciExSTQ2UGxRSlBqNTlzcWd1dGFWUHI0VlhKbGVieXlfZmk=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1971</Words>
  <Characters>10842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11</cp:revision>
  <cp:lastPrinted>2025-05-06T18:12:00Z</cp:lastPrinted>
  <dcterms:created xsi:type="dcterms:W3CDTF">2025-04-24T20:56:00Z</dcterms:created>
  <dcterms:modified xsi:type="dcterms:W3CDTF">2025-05-08T20:13:00Z</dcterms:modified>
</cp:coreProperties>
</file>