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bookmarkStart w:colFirst="0" w:colLast="0" w:name="_heading=h.30j0zll"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bCs w:val="1"/>
          <w:sz w:val="22"/>
          <w:szCs w:val="22"/>
          <w:rtl w:val="0"/>
        </w:rPr>
        <w:t xml:space="preserve">quince de octubre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bookmarkStart w:colFirst="0" w:colLast="0" w:name="_heading=h.ytgzapwuwew5"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05384/INFOEM/AD/RR/2025</w:t>
      </w:r>
      <w:r w:rsidDel="00000000" w:rsidR="00000000" w:rsidRPr="00000000">
        <w:rPr>
          <w:rFonts w:ascii="Palatino Linotype" w:cs="Palatino Linotype" w:eastAsia="Palatino Linotype" w:hAnsi="Palatino Linotype"/>
          <w:sz w:val="22"/>
          <w:szCs w:val="22"/>
          <w:rtl w:val="0"/>
        </w:rPr>
        <w:t xml:space="preserve">, promovido por </w:t>
      </w:r>
      <w:r w:rsidDel="00000000" w:rsidR="00000000" w:rsidRPr="00000000">
        <w:rPr>
          <w:rFonts w:ascii="Palatino Linotype" w:cs="Palatino Linotype" w:eastAsia="Palatino Linotype" w:hAnsi="Palatino Linotype"/>
          <w:b w:val="1"/>
          <w:bCs w:val="1"/>
          <w:sz w:val="22"/>
          <w:szCs w:val="22"/>
          <w:rtl w:val="0"/>
        </w:rPr>
        <w:t xml:space="preserve">XXXX XXXXX XXXXXXXX XXXXXXX, </w:t>
      </w:r>
      <w:r w:rsidDel="00000000" w:rsidR="00000000" w:rsidRPr="00000000">
        <w:rPr>
          <w:rFonts w:ascii="Palatino Linotype" w:cs="Palatino Linotype" w:eastAsia="Palatino Linotype" w:hAnsi="Palatino Linotype"/>
          <w:sz w:val="22"/>
          <w:szCs w:val="22"/>
          <w:rtl w:val="0"/>
        </w:rPr>
        <w:t xml:space="preserve">en lo sucesivo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por parte del</w:t>
      </w:r>
      <w:r w:rsidDel="00000000" w:rsidR="00000000" w:rsidRPr="00000000">
        <w:rPr>
          <w:rFonts w:ascii="Palatino Linotype" w:cs="Palatino Linotype" w:eastAsia="Palatino Linotype" w:hAnsi="Palatino Linotype"/>
          <w:b w:val="1"/>
          <w:bCs w:val="1"/>
          <w:sz w:val="22"/>
          <w:szCs w:val="22"/>
          <w:rtl w:val="0"/>
        </w:rPr>
        <w:t xml:space="preserve"> Secretaría General de Gobierno, </w:t>
      </w:r>
      <w:r w:rsidDel="00000000" w:rsidR="00000000" w:rsidRPr="00000000">
        <w:rPr>
          <w:rFonts w:ascii="Palatino Linotype" w:cs="Palatino Linotype" w:eastAsia="Palatino Linotype" w:hAnsi="Palatino Linotype"/>
          <w:sz w:val="22"/>
          <w:szCs w:val="22"/>
          <w:rtl w:val="0"/>
        </w:rPr>
        <w:t xml:space="preserve">en lo sucesivo </w:t>
      </w:r>
      <w:r w:rsidDel="00000000" w:rsidR="00000000" w:rsidRPr="00000000">
        <w:rPr>
          <w:rFonts w:ascii="Palatino Linotype" w:cs="Palatino Linotype" w:eastAsia="Palatino Linotype" w:hAnsi="Palatino Linotype"/>
          <w:b w:val="1"/>
          <w:bCs w:val="1"/>
          <w:sz w:val="22"/>
          <w:szCs w:val="22"/>
          <w:rtl w:val="0"/>
        </w:rPr>
        <w:t xml:space="preserve">el Sujeto Obligado o Responsable</w:t>
      </w:r>
      <w:r w:rsidDel="00000000" w:rsidR="00000000" w:rsidRPr="00000000">
        <w:rPr>
          <w:rFonts w:ascii="Palatino Linotype" w:cs="Palatino Linotype" w:eastAsia="Palatino Linotype" w:hAnsi="Palatino Linotype"/>
          <w:sz w:val="22"/>
          <w:szCs w:val="22"/>
          <w:rtl w:val="0"/>
        </w:rPr>
        <w:t xml:space="preserve">, se procede a dictar la presente resolución con base en los siguientes: </w:t>
      </w:r>
    </w:p>
    <w:p w:rsidR="00000000" w:rsidDel="00000000" w:rsidP="00000000" w:rsidRDefault="00000000" w:rsidRPr="00000000" w14:paraId="0000000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line="360" w:lineRule="auto"/>
        <w:ind w:left="567" w:right="332" w:hanging="283"/>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datos personales. </w:t>
      </w:r>
      <w:r w:rsidDel="00000000" w:rsidR="00000000" w:rsidRPr="00000000">
        <w:rPr>
          <w:rFonts w:ascii="Palatino Linotype" w:cs="Palatino Linotype" w:eastAsia="Palatino Linotype" w:hAnsi="Palatino Linotype"/>
          <w:sz w:val="22"/>
          <w:szCs w:val="22"/>
          <w:rtl w:val="0"/>
        </w:rPr>
        <w:t xml:space="preserve">De las constancias que obran en el expediente electrónico, se advierte que la persona solicitante presentó su solicitud el </w:t>
      </w:r>
      <w:r w:rsidDel="00000000" w:rsidR="00000000" w:rsidRPr="00000000">
        <w:rPr>
          <w:rFonts w:ascii="Palatino Linotype" w:cs="Palatino Linotype" w:eastAsia="Palatino Linotype" w:hAnsi="Palatino Linotype"/>
          <w:b w:val="1"/>
          <w:bCs w:val="1"/>
          <w:sz w:val="22"/>
          <w:szCs w:val="22"/>
          <w:rtl w:val="0"/>
        </w:rPr>
        <w:t xml:space="preserve">diez de abril del dos mil veinticinco</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bCs w:val="1"/>
          <w:sz w:val="22"/>
          <w:szCs w:val="22"/>
          <w:rtl w:val="0"/>
        </w:rPr>
        <w:t xml:space="preserve">Sistema de Acceso, Rectificación, Cancelación y Oposición de Datos Personales en el Estado de México</w:t>
      </w:r>
      <w:r w:rsidDel="00000000" w:rsidR="00000000" w:rsidRPr="00000000">
        <w:rPr>
          <w:rFonts w:ascii="Palatino Linotype" w:cs="Palatino Linotype" w:eastAsia="Palatino Linotype" w:hAnsi="Palatino Linotype"/>
          <w:sz w:val="22"/>
          <w:szCs w:val="22"/>
          <w:rtl w:val="0"/>
        </w:rPr>
        <w:t xml:space="preserve">, en lo subsecuente </w:t>
      </w:r>
      <w:r w:rsidDel="00000000" w:rsidR="00000000" w:rsidRPr="00000000">
        <w:rPr>
          <w:rFonts w:ascii="Palatino Linotype" w:cs="Palatino Linotype" w:eastAsia="Palatino Linotype" w:hAnsi="Palatino Linotype"/>
          <w:b w:val="1"/>
          <w:bCs w:val="1"/>
          <w:sz w:val="22"/>
          <w:szCs w:val="22"/>
          <w:rtl w:val="0"/>
        </w:rPr>
        <w:t xml:space="preserve">(SARCOEM),</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bCs w:val="1"/>
          <w:sz w:val="22"/>
          <w:szCs w:val="22"/>
          <w:rtl w:val="0"/>
        </w:rPr>
        <w:t xml:space="preserve">00003/SEGEGOB/AD/2025</w:t>
      </w:r>
      <w:r w:rsidDel="00000000" w:rsidR="00000000" w:rsidRPr="00000000">
        <w:rPr>
          <w:rFonts w:ascii="Palatino Linotype" w:cs="Palatino Linotype" w:eastAsia="Palatino Linotype" w:hAnsi="Palatino Linotype"/>
          <w:sz w:val="22"/>
          <w:szCs w:val="22"/>
          <w:rtl w:val="0"/>
        </w:rPr>
        <w:t xml:space="preserve">, en la que se requirió lo siguiente: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bookmarkStart w:colFirst="0" w:colLast="0" w:name="_heading=h.19yjesdq67jx" w:id="2"/>
      <w:bookmarkEnd w:id="2"/>
      <w:r w:rsidDel="00000000" w:rsidR="00000000" w:rsidRPr="00000000">
        <w:rPr>
          <w:rFonts w:ascii="Palatino Linotype" w:cs="Palatino Linotype" w:eastAsia="Palatino Linotype" w:hAnsi="Palatino Linotype"/>
          <w:i w:val="1"/>
          <w:iCs w:val="1"/>
          <w:sz w:val="22"/>
          <w:szCs w:val="22"/>
          <w:rtl w:val="0"/>
        </w:rPr>
        <w:t xml:space="preserve">“copia simple delos últimos 75 recibos de nomina a nombre de XXXX XXXXX XXXXXXXX XXXXXXX” (Sic)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acceso:</w:t>
      </w:r>
      <w:r w:rsidDel="00000000" w:rsidR="00000000" w:rsidRPr="00000000">
        <w:rPr>
          <w:rFonts w:ascii="Palatino Linotype" w:cs="Palatino Linotype" w:eastAsia="Palatino Linotype" w:hAnsi="Palatino Linotype"/>
          <w:sz w:val="22"/>
          <w:szCs w:val="22"/>
          <w:rtl w:val="0"/>
        </w:rPr>
        <w:t xml:space="preserve"> A través de </w:t>
      </w:r>
      <w:r w:rsidDel="00000000" w:rsidR="00000000" w:rsidRPr="00000000">
        <w:rPr>
          <w:rFonts w:ascii="Palatino Linotype" w:cs="Palatino Linotype" w:eastAsia="Palatino Linotype" w:hAnsi="Palatino Linotype"/>
          <w:b w:val="1"/>
          <w:bCs w:val="1"/>
          <w:sz w:val="22"/>
          <w:szCs w:val="22"/>
          <w:rtl w:val="0"/>
        </w:rPr>
        <w:t xml:space="preserve">Copias certificadas (con costo)</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b w:val="1"/>
          <w:bCs w:val="1"/>
          <w:sz w:val="22"/>
          <w:szCs w:val="22"/>
        </w:rPr>
      </w:pPr>
      <w:bookmarkStart w:colFirst="0" w:colLast="0" w:name="_heading=h.2et92p0" w:id="3"/>
      <w:bookmarkEnd w:id="3"/>
      <w:r w:rsidDel="00000000" w:rsidR="00000000" w:rsidRPr="00000000">
        <w:rPr>
          <w:rFonts w:ascii="Palatino Linotype" w:cs="Palatino Linotype" w:eastAsia="Palatino Linotype" w:hAnsi="Palatino Linotype"/>
          <w:b w:val="1"/>
          <w:bCs w:val="1"/>
          <w:sz w:val="22"/>
          <w:szCs w:val="22"/>
          <w:rtl w:val="0"/>
        </w:rPr>
        <w:t xml:space="preserve">Archivos adjuntos: </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89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RECIBO </w:t>
      </w:r>
      <w:r w:rsidDel="00000000" w:rsidR="00000000" w:rsidRPr="00000000">
        <w:rPr>
          <w:rFonts w:ascii="Palatino Linotype" w:cs="Palatino Linotype" w:eastAsia="Palatino Linotype" w:hAnsi="Palatino Linotype"/>
          <w:b w:val="1"/>
          <w:bCs w:val="1"/>
          <w:i w:val="1"/>
          <w:iCs w:val="1"/>
          <w:sz w:val="22"/>
          <w:szCs w:val="22"/>
          <w:rtl w:val="0"/>
        </w:rPr>
        <w:t xml:space="preserve">XXXX</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.jpg</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Comprobante de pago a favor de la persona solicitante de los datos personales, correspondiente a la primera quincena de enero de mil novecientos noventa y seis.</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89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Doc1.docx: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Archivo electrónico que contiene copia digitalizada de la credencial expedida por el Instituto Nacional Electoral (INE), a favor de la persona solicitante de los datos personales. </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899"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Doc5.docx</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Documento en formato word, que contiene comprobante de pago a favor de la persona solicitante de los datos personales, correspondiente a la primera quincena de enero de mil novecientos noventa y seis.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Respuesta.</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bCs w:val="1"/>
          <w:sz w:val="22"/>
          <w:szCs w:val="22"/>
          <w:rtl w:val="0"/>
        </w:rPr>
        <w:t xml:space="preserve">SARCOEM</w:t>
      </w:r>
      <w:r w:rsidDel="00000000" w:rsidR="00000000" w:rsidRPr="00000000">
        <w:rPr>
          <w:rFonts w:ascii="Palatino Linotype" w:cs="Palatino Linotype" w:eastAsia="Palatino Linotype" w:hAnsi="Palatino Linotype"/>
          <w:sz w:val="22"/>
          <w:szCs w:val="22"/>
          <w:rtl w:val="0"/>
        </w:rPr>
        <w:t xml:space="preserve">,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su respuesta a la solicitud de acceso a datos personales, el </w:t>
      </w:r>
      <w:r w:rsidDel="00000000" w:rsidR="00000000" w:rsidRPr="00000000">
        <w:rPr>
          <w:rFonts w:ascii="Palatino Linotype" w:cs="Palatino Linotype" w:eastAsia="Palatino Linotype" w:hAnsi="Palatino Linotype"/>
          <w:b w:val="1"/>
          <w:bCs w:val="1"/>
          <w:sz w:val="22"/>
          <w:szCs w:val="22"/>
          <w:rtl w:val="0"/>
        </w:rPr>
        <w:t xml:space="preserve">ocho de mayo de dos mil veinticinco</w:t>
      </w:r>
      <w:r w:rsidDel="00000000" w:rsidR="00000000" w:rsidRPr="00000000">
        <w:rPr>
          <w:rFonts w:ascii="Palatino Linotype" w:cs="Palatino Linotype" w:eastAsia="Palatino Linotype" w:hAnsi="Palatino Linotype"/>
          <w:sz w:val="22"/>
          <w:szCs w:val="22"/>
          <w:rtl w:val="0"/>
        </w:rPr>
        <w:t xml:space="preserve"> medularmente en los siguientes términos: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anexa respuesta en un archivo. En caso de tener algún problema con la recepción de este archivo, favor de comunicarse al teléfono 722 2138893, ext. 111, 119 y 132.</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DRA. EN D. ROSARIO ARZATE AGUILAR” (Sic)</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Archivo adjunto: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“Rpta. 00003-2025-ad.pdf”: </w:t>
      </w:r>
      <w:r w:rsidDel="00000000" w:rsidR="00000000" w:rsidRPr="00000000">
        <w:rPr>
          <w:rFonts w:ascii="Palatino Linotype" w:cs="Palatino Linotype" w:eastAsia="Palatino Linotype" w:hAnsi="Palatino Linotype"/>
          <w:sz w:val="22"/>
          <w:szCs w:val="22"/>
          <w:rtl w:val="0"/>
        </w:rPr>
        <w:t xml:space="preserve">Documento que contiene los siguientes oficios: </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118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00003/SEGEGOB/AD/2025 de fecha ocho de mayo de dos mil veinticinco, suscrito por la Titular de la Unidad de Transparencia, en el que informó que la solicitud de información fue turnada al Servidor Público Habilitado de la Coordinación Administrativa, quien mediante oficio número 20500007A00000S/2392/2025 de fecha siete de mayo de dos mil veinticinco, mismo que se anexó a su escrito. </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118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20500007A00000S/2392/2025 de fecha siete de mayo de dos mil veinticinco, signado por el Coordinador Administrativo, quien informó la entrega del oficio emitido por la Directora de Administración de Personal y Modernización Administrativa, mediante el cual da respuesta a la petición del ciudadano. </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287" w:right="118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20500007010000S/331/2025 de fecha seis de mayo de dos mil veinticinco, suscrito por la Directora de Administración de Personal y Modernización Administrativa, quien informó que después de realizar una búsqueda exhaustiva y razonable en sus archivos físicos y electrónicos,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single"/>
          <w:shd w:fill="auto" w:val="clear"/>
          <w:vertAlign w:val="baseline"/>
          <w:rtl w:val="0"/>
        </w:rPr>
        <w:t xml:space="preserve">no se encontró información alguna relacionada con el nombre indicado por el particular</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left="567" w:right="118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el </w:t>
      </w:r>
      <w:r w:rsidDel="00000000" w:rsidR="00000000" w:rsidRPr="00000000">
        <w:rPr>
          <w:rFonts w:ascii="Palatino Linotype" w:cs="Palatino Linotype" w:eastAsia="Palatino Linotype" w:hAnsi="Palatino Linotype"/>
          <w:b w:val="1"/>
          <w:bCs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el recurso de revisión objeto del presente estudio, en el cual expresó las siguientes manifestaciones:</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276" w:lineRule="auto"/>
        <w:ind w:left="720" w:right="1183"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r w:rsidDel="00000000" w:rsidR="00000000" w:rsidRPr="00000000">
        <w:rPr>
          <w:rFonts w:ascii="Palatino Linotype" w:cs="Palatino Linotype" w:eastAsia="Palatino Linotype" w:hAnsi="Palatino Linotype"/>
          <w:i w:val="1"/>
          <w:iCs w:val="1"/>
          <w:sz w:val="22"/>
          <w:szCs w:val="22"/>
          <w:rtl w:val="0"/>
        </w:rPr>
        <w:t xml:space="preserve">“LA NEGATIVA A ENTREGARME LA DOCUMENTACION SOLICITADA TODA VEZ QUE ME RESPONDEN QUE LA DIRECCIÓN DE ADMINISTRACIÓN Y MODERNIZACION ADMINISTRATIVA DE LA COORDINACIÓN ADMINISTRATIVA DE LA SECRETARIA GENERAL DE GOBIERNO NO ENCONTRI I INFORMACIÓN CON RELACION A LA SUSCRITA XXXXX XXXXX XXXXXXXX XXXXXXX” (Sic) </w:t>
      </w:r>
      <w:r w:rsidDel="00000000" w:rsidR="00000000" w:rsidRPr="00000000">
        <w:rPr>
          <w:rtl w:val="0"/>
        </w:rPr>
      </w:r>
    </w:p>
    <w:p w:rsidR="00000000" w:rsidDel="00000000" w:rsidP="00000000" w:rsidRDefault="00000000" w:rsidRPr="00000000" w14:paraId="00000023">
      <w:pPr>
        <w:ind w:left="567" w:right="4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line="276" w:lineRule="auto"/>
        <w:ind w:left="720" w:right="1183" w:hanging="36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Razones o motivos de inconformidad: </w:t>
      </w:r>
      <w:r w:rsidDel="00000000" w:rsidR="00000000" w:rsidRPr="00000000">
        <w:rPr>
          <w:rFonts w:ascii="Palatino Linotype" w:cs="Palatino Linotype" w:eastAsia="Palatino Linotype" w:hAnsi="Palatino Linotype"/>
          <w:i w:val="1"/>
          <w:iCs w:val="1"/>
          <w:sz w:val="22"/>
          <w:szCs w:val="22"/>
          <w:rtl w:val="0"/>
        </w:rPr>
        <w:t xml:space="preserve">“ME RESPONDEN QUE NO SE ENCOTRO INFORMACION RELACIONADA CON LA SUSCRITA XXXX XXXXX XXXXXXXX XXXXXXX” (Sic) </w:t>
      </w:r>
      <w:r w:rsidDel="00000000" w:rsidR="00000000" w:rsidRPr="00000000">
        <w:rPr>
          <w:rtl w:val="0"/>
        </w:rPr>
      </w:r>
    </w:p>
    <w:p w:rsidR="00000000" w:rsidDel="00000000" w:rsidP="00000000" w:rsidRDefault="00000000" w:rsidRPr="00000000" w14:paraId="00000025">
      <w:pP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bCs w:val="1"/>
          <w:sz w:val="22"/>
          <w:szCs w:val="22"/>
          <w:rtl w:val="0"/>
        </w:rPr>
        <w:t xml:space="preserve">Comisionada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quince de mayo de dos mil veinticinco</w:t>
      </w:r>
      <w:r w:rsidDel="00000000" w:rsidR="00000000" w:rsidRPr="00000000">
        <w:rPr>
          <w:rFonts w:ascii="Palatino Linotype" w:cs="Palatino Linotype" w:eastAsia="Palatino Linotype" w:hAnsi="Palatino Linotype"/>
          <w:sz w:val="22"/>
          <w:szCs w:val="22"/>
          <w:rtl w:val="0"/>
        </w:rPr>
        <w:t xml:space="preserve">, de conformidad con lo dispuesto en los artículos 11, 127, 128, 129 y 130 de la Ley de Protección de Datos Personales en Posesión de Sujetos Obligados del Estado de México y Municipios y 185 fracciones I, II y IV de la Ley de Transparencia y Acceso a la Información Pública del Estado de México y Municipios de aplicación supletoria, se acordó la admisión a trámite del referido recurso de revisión.</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De la etapa de conciliación.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quince de mayo de dos mil veinticinco</w:t>
      </w:r>
      <w:r w:rsidDel="00000000" w:rsidR="00000000" w:rsidRPr="00000000">
        <w:rPr>
          <w:rFonts w:ascii="Palatino Linotype" w:cs="Palatino Linotype" w:eastAsia="Palatino Linotype" w:hAnsi="Palatino Linotype"/>
          <w:sz w:val="22"/>
          <w:szCs w:val="22"/>
          <w:rtl w:val="0"/>
        </w:rPr>
        <w:t xml:space="preserve">, mediante acuerdo signado por la Comisionada Ponente, con fundamento en el artículo 131 de la Ley de Protección de Datos Personales en Posesión de Sujetos Obligados del Estado de México y Municipios, se exhortó a las partes para que en un plazo no mayor a siete días manifestaran, por cualquier medio, su voluntad de conciliar, con el apercibimiento de que, en caso de no hacerlo, se tendría por precluido su derecho, para tales efectos. </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tesitura, se tiene constancia que el </w:t>
      </w:r>
      <w:r w:rsidDel="00000000" w:rsidR="00000000" w:rsidRPr="00000000">
        <w:rPr>
          <w:rFonts w:ascii="Palatino Linotype" w:cs="Palatino Linotype" w:eastAsia="Palatino Linotype" w:hAnsi="Palatino Linotype"/>
          <w:b w:val="1"/>
          <w:bCs w:val="1"/>
          <w:sz w:val="22"/>
          <w:szCs w:val="22"/>
          <w:rtl w:val="0"/>
        </w:rPr>
        <w:t xml:space="preserve">veinte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expresó su voluntad para conciliar en el presente asunto, mientras que la parte Recurrente </w:t>
      </w:r>
      <w:r w:rsidDel="00000000" w:rsidR="00000000" w:rsidRPr="00000000">
        <w:rPr>
          <w:rFonts w:ascii="Palatino Linotype" w:cs="Palatino Linotype" w:eastAsia="Palatino Linotype" w:hAnsi="Palatino Linotype"/>
          <w:b w:val="1"/>
          <w:bCs w:val="1"/>
          <w:sz w:val="22"/>
          <w:szCs w:val="22"/>
          <w:rtl w:val="0"/>
        </w:rPr>
        <w:t xml:space="preserve">fue omisa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en expresar su voluntad para conciliar en el presente asunto</w:t>
      </w:r>
      <w:r w:rsidDel="00000000" w:rsidR="00000000" w:rsidRPr="00000000">
        <w:rPr>
          <w:rFonts w:ascii="Palatino Linotype" w:cs="Palatino Linotype" w:eastAsia="Palatino Linotype" w:hAnsi="Palatino Linotype"/>
          <w:sz w:val="22"/>
          <w:szCs w:val="22"/>
          <w:rtl w:val="0"/>
        </w:rPr>
        <w:t xml:space="preserve">, por lo que al no existir voluntad de ambas partes, se tuvo por concluida la posibilidad de adherirse al citado procedimiento y se dio apertura a la etapa de las manifestaciones e informe justificado.</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bookmarkStart w:colFirst="0" w:colLast="0" w:name="_heading=h.luc518itupcj" w:id="4"/>
      <w:bookmarkEnd w:id="4"/>
      <w:r w:rsidDel="00000000" w:rsidR="00000000" w:rsidRPr="00000000">
        <w:rPr>
          <w:rFonts w:ascii="Palatino Linotype" w:cs="Palatino Linotype" w:eastAsia="Palatino Linotype" w:hAnsi="Palatino Linotype"/>
          <w:b w:val="1"/>
          <w:bCs w:val="1"/>
          <w:sz w:val="22"/>
          <w:szCs w:val="22"/>
          <w:rtl w:val="0"/>
        </w:rPr>
        <w:t xml:space="preserve">7.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con motivo del recurso de revisión, se observa que el </w:t>
      </w:r>
      <w:r w:rsidDel="00000000" w:rsidR="00000000" w:rsidRPr="00000000">
        <w:rPr>
          <w:rFonts w:ascii="Palatino Linotype" w:cs="Palatino Linotype" w:eastAsia="Palatino Linotype" w:hAnsi="Palatino Linotype"/>
          <w:b w:val="1"/>
          <w:bCs w:val="1"/>
          <w:sz w:val="22"/>
          <w:szCs w:val="22"/>
          <w:rtl w:val="0"/>
        </w:rPr>
        <w:t xml:space="preserve">cuatro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su informe justificado mediante el archivo electrónico denominado “</w:t>
      </w:r>
      <w:r w:rsidDel="00000000" w:rsidR="00000000" w:rsidRPr="00000000">
        <w:rPr>
          <w:rFonts w:ascii="Palatino Linotype" w:cs="Palatino Linotype" w:eastAsia="Palatino Linotype" w:hAnsi="Palatino Linotype"/>
          <w:b w:val="1"/>
          <w:bCs w:val="1"/>
          <w:i w:val="1"/>
          <w:iCs w:val="1"/>
          <w:sz w:val="22"/>
          <w:szCs w:val="22"/>
          <w:rtl w:val="0"/>
        </w:rPr>
        <w:t xml:space="preserve">I.J. 00003-2025-AD.pdf”, </w:t>
      </w:r>
      <w:r w:rsidDel="00000000" w:rsidR="00000000" w:rsidRPr="00000000">
        <w:rPr>
          <w:rFonts w:ascii="Palatino Linotype" w:cs="Palatino Linotype" w:eastAsia="Palatino Linotype" w:hAnsi="Palatino Linotype"/>
          <w:sz w:val="22"/>
          <w:szCs w:val="22"/>
          <w:rtl w:val="0"/>
        </w:rPr>
        <w:t xml:space="preserve">mediante el cual, se advierte el pronunciamiento de la Coordinación Administrativa, quien refiere lo siguiente: </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line="360" w:lineRule="auto"/>
        <w:ind w:left="567" w:right="1183"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derivado de la búsqueda exhaustiva y razonable en los archivos del Sujeto Obligado, no se localizó ningún antecedente en el que se haga constar que la Recurrente prestó sus servicios en la Secretaría General de Gobierno. </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line="360" w:lineRule="auto"/>
        <w:ind w:left="567" w:right="1183"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uno de los documentos que adjunto, correspondiente al talón de cheque se aprecia en el apartado de “Puesto” la expresión “</w:t>
      </w:r>
      <w:r w:rsidDel="00000000" w:rsidR="00000000" w:rsidRPr="00000000">
        <w:rPr>
          <w:rFonts w:ascii="Palatino Linotype" w:cs="Palatino Linotype" w:eastAsia="Palatino Linotype" w:hAnsi="Palatino Linotype"/>
          <w:i w:val="1"/>
          <w:iCs w:val="1"/>
          <w:sz w:val="22"/>
          <w:szCs w:val="22"/>
          <w:rtl w:val="0"/>
        </w:rPr>
        <w:t xml:space="preserve">Notificador Jud</w:t>
      </w:r>
      <w:r w:rsidDel="00000000" w:rsidR="00000000" w:rsidRPr="00000000">
        <w:rPr>
          <w:rFonts w:ascii="Palatino Linotype" w:cs="Palatino Linotype" w:eastAsia="Palatino Linotype" w:hAnsi="Palatino Linotype"/>
          <w:sz w:val="22"/>
          <w:szCs w:val="22"/>
          <w:rtl w:val="0"/>
        </w:rPr>
        <w:t xml:space="preserve">” plaza que no forma parte del catalogo de puestos de la Secretaría, lo que puede verificarse en la información disponible en la fracción XII denominada “Perfil de Puestos de los servidores públicos”, disponible en el Sistema de Información Pública de Oficio Mexiquense de esa dependencia. </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line="360" w:lineRule="auto"/>
        <w:ind w:left="567" w:right="1183"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Que, la norma 082 denominada Pago de Nómina a Servidoras Públicas y a Servidores Públicos Generales, dispone que es responsabilidad de las servidoras públicas y los servidores públicos obtener a través del portal electrónico de Gobierno del Estado de México su comprobante quincenal, constancia quincenal y anualizada de percepciones y deducciones, motivo por el cual la Secretaría carece de los comprobantes de percepciones y deducciones de los servidores públicos que en ella laboran, por tratarse de un tramite de tipo personal que corresponde a cada uno de ellos. </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line="360" w:lineRule="auto"/>
        <w:ind w:left="567" w:right="1183"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Que, sugiere a la parte Recurrente dirigir sus inquietudes a la Oficialía Mayor del Gobierno Estatal por corresponder a dicha instancia. </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analizado este documento, se determinó ponerlo a disposición de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mediante acuerdo signado por la Comisionada Ponente, de fecha </w:t>
      </w:r>
      <w:r w:rsidDel="00000000" w:rsidR="00000000" w:rsidRPr="00000000">
        <w:rPr>
          <w:rFonts w:ascii="Palatino Linotype" w:cs="Palatino Linotype" w:eastAsia="Palatino Linotype" w:hAnsi="Palatino Linotype"/>
          <w:b w:val="1"/>
          <w:bCs w:val="1"/>
          <w:sz w:val="22"/>
          <w:szCs w:val="22"/>
          <w:rtl w:val="0"/>
        </w:rPr>
        <w:t xml:space="preserve">dos de octubre de dos mil veinticinco </w:t>
      </w:r>
      <w:r w:rsidDel="00000000" w:rsidR="00000000" w:rsidRPr="00000000">
        <w:rPr>
          <w:rFonts w:ascii="Palatino Linotype" w:cs="Palatino Linotype" w:eastAsia="Palatino Linotype" w:hAnsi="Palatino Linotype"/>
          <w:sz w:val="22"/>
          <w:szCs w:val="22"/>
          <w:rtl w:val="0"/>
        </w:rPr>
        <w:t xml:space="preserve">notificado en fecha</w:t>
      </w:r>
      <w:r w:rsidDel="00000000" w:rsidR="00000000" w:rsidRPr="00000000">
        <w:rPr>
          <w:rFonts w:ascii="Palatino Linotype" w:cs="Palatino Linotype" w:eastAsia="Palatino Linotype" w:hAnsi="Palatino Linotype"/>
          <w:b w:val="1"/>
          <w:bCs w:val="1"/>
          <w:sz w:val="22"/>
          <w:szCs w:val="22"/>
          <w:rtl w:val="0"/>
        </w:rPr>
        <w:t xml:space="preserve"> tres de octubre de dos mil veinticinco,</w:t>
      </w:r>
      <w:r w:rsidDel="00000000" w:rsidR="00000000" w:rsidRPr="00000000">
        <w:rPr>
          <w:rFonts w:ascii="Palatino Linotype" w:cs="Palatino Linotype" w:eastAsia="Palatino Linotype" w:hAnsi="Palatino Linotype"/>
          <w:sz w:val="22"/>
          <w:szCs w:val="22"/>
          <w:rtl w:val="0"/>
        </w:rPr>
        <w:t xml:space="preserve"> mientras que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hizo entrega del documento denominado “</w:t>
      </w:r>
      <w:r w:rsidDel="00000000" w:rsidR="00000000" w:rsidRPr="00000000">
        <w:rPr>
          <w:rFonts w:ascii="Palatino Linotype" w:cs="Palatino Linotype" w:eastAsia="Palatino Linotype" w:hAnsi="Palatino Linotype"/>
          <w:b w:val="1"/>
          <w:bCs w:val="1"/>
          <w:i w:val="1"/>
          <w:iCs w:val="1"/>
          <w:sz w:val="22"/>
          <w:szCs w:val="22"/>
          <w:rtl w:val="0"/>
        </w:rPr>
        <w:t xml:space="preserve">CREDENCIAL PODER JUDICIAL 1.docx</w:t>
      </w:r>
      <w:r w:rsidDel="00000000" w:rsidR="00000000" w:rsidRPr="00000000">
        <w:rPr>
          <w:rFonts w:ascii="Palatino Linotype" w:cs="Palatino Linotype" w:eastAsia="Palatino Linotype" w:hAnsi="Palatino Linotype"/>
          <w:sz w:val="22"/>
          <w:szCs w:val="22"/>
          <w:rtl w:val="0"/>
        </w:rPr>
        <w:t xml:space="preserve">”, el cual contiene el gafete de servidora pública a favor de la persona solicitante de los datos personales. </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nueve de octubre de dos mil veinticinco</w:t>
      </w:r>
      <w:r w:rsidDel="00000000" w:rsidR="00000000" w:rsidRPr="00000000">
        <w:rPr>
          <w:rFonts w:ascii="Palatino Linotype" w:cs="Palatino Linotype" w:eastAsia="Palatino Linotype" w:hAnsi="Palatino Linotype"/>
          <w:sz w:val="22"/>
          <w:szCs w:val="22"/>
          <w:rtl w:val="0"/>
        </w:rPr>
        <w:t xml:space="preserve">, si bien se ha excedido el plazo para resolver el presente medio de impugnación, de conformidad con la ley de la materia, el plazo</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Complejidad del Asunto: La complejidad de la prueba, la pluralidad de sujetos procesales, el tiempo transcurrido, las características y contexto del recurso. </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Actividad Procesal del interesado. Acciones u omisiones del interesado.</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Conducta de la Autoridad: Las Acciones u omisiones realizadas en el procedimiento. Así como si la autoridad actuó con la debida diligencia. </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La afectación generada en la situación jurídica de la persona involucrada en el proceso: Violación a sus derechos humanos. </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 </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“PLAZO RAZONABLE PARA RESOLVER. DIMENSIÓN Y EFECTOS DE ESTE CONCEPTO CUANDO SE ADUCE EXCESIVA CARGA DE TRABAJO.” consultable en el Seminario Judicial de la Federación y su gaceta, con el registro digital 2002351. </w:t>
      </w:r>
    </w:p>
    <w:p w:rsidR="00000000" w:rsidDel="00000000" w:rsidP="00000000" w:rsidRDefault="00000000" w:rsidRPr="00000000" w14:paraId="0000004F">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0">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“PLAZO RAZONABLE PARA RESOLVER. CONCEPTO Y ELEMENTOS QUE LO INTEGRAN A LA LUZ DEL DERECHO INTERNACIONAL DE LOS DERECHOS HUMANOS.”, visible en el Seminario Judicial de la Federación y su gaceta, con el registro digital 2002350. </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 </w:t>
      </w: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9. Cierre de Instrucción.</w:t>
      </w:r>
      <w:r w:rsidDel="00000000" w:rsidR="00000000" w:rsidRPr="00000000">
        <w:rPr>
          <w:rFonts w:ascii="Palatino Linotype" w:cs="Palatino Linotype" w:eastAsia="Palatino Linotype" w:hAnsi="Palatino Linotype"/>
          <w:sz w:val="22"/>
          <w:szCs w:val="22"/>
          <w:rtl w:val="0"/>
        </w:rPr>
        <w:t xml:space="preserve"> Una vez analizado el estado procesal que guardaba el expediente, </w:t>
      </w:r>
      <w:r w:rsidDel="00000000" w:rsidR="00000000" w:rsidRPr="00000000">
        <w:rPr>
          <w:rFonts w:ascii="Palatino Linotype" w:cs="Palatino Linotype" w:eastAsia="Palatino Linotype" w:hAnsi="Palatino Linotype"/>
          <w:b w:val="1"/>
          <w:bCs w:val="1"/>
          <w:sz w:val="22"/>
          <w:szCs w:val="22"/>
          <w:rtl w:val="0"/>
        </w:rPr>
        <w:t xml:space="preserve">el nueve de octubre de dos mil veinticinco</w:t>
      </w:r>
      <w:r w:rsidDel="00000000" w:rsidR="00000000" w:rsidRPr="00000000">
        <w:rPr>
          <w:rFonts w:ascii="Palatino Linotype" w:cs="Palatino Linotype" w:eastAsia="Palatino Linotype" w:hAnsi="Palatino Linotype"/>
          <w:sz w:val="22"/>
          <w:szCs w:val="22"/>
          <w:rtl w:val="0"/>
        </w:rPr>
        <w:t xml:space="preserve">, y de conformidad con lo establecido en 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la resolución del asunto.</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57">
      <w:pPr>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CONSIDERANDO</w:t>
      </w:r>
    </w:p>
    <w:p w:rsidR="00000000" w:rsidDel="00000000" w:rsidP="00000000" w:rsidRDefault="00000000" w:rsidRPr="00000000" w14:paraId="00000058">
      <w:pPr>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6°, apartado A, de la Constitución Política de los Estados Unidos Mexicanos; 5°, párrafos trigésimo noveno, cuadragésimo y cuadragésimo primero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w:t>
      </w:r>
      <w:r w:rsidDel="00000000" w:rsidR="00000000" w:rsidRPr="00000000">
        <w:rPr>
          <w:rFonts w:ascii="Palatino Linotype" w:cs="Palatino Linotype" w:eastAsia="Palatino Linotype" w:hAnsi="Palatino Linotype"/>
          <w:sz w:val="22"/>
          <w:szCs w:val="22"/>
          <w:rtl w:val="0"/>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su respuesta a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ocho de mayo del año dos mil veinticinco,</w:t>
      </w:r>
      <w:r w:rsidDel="00000000" w:rsidR="00000000" w:rsidRPr="00000000">
        <w:rPr>
          <w:rFonts w:ascii="Palatino Linotype" w:cs="Palatino Linotype" w:eastAsia="Palatino Linotype" w:hAnsi="Palatino Linotype"/>
          <w:sz w:val="22"/>
          <w:szCs w:val="22"/>
          <w:rtl w:val="0"/>
        </w:rPr>
        <w:t xml:space="preserve"> mientras que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su recurso de revisión el </w:t>
      </w:r>
      <w:r w:rsidDel="00000000" w:rsidR="00000000" w:rsidRPr="00000000">
        <w:rPr>
          <w:rFonts w:ascii="Palatino Linotype" w:cs="Palatino Linotype" w:eastAsia="Palatino Linotype" w:hAnsi="Palatino Linotype"/>
          <w:b w:val="1"/>
          <w:bCs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bCs w:val="1"/>
          <w:sz w:val="22"/>
          <w:szCs w:val="22"/>
          <w:rtl w:val="0"/>
        </w:rPr>
        <w:t xml:space="preserve">segundo día hábil</w:t>
      </w:r>
      <w:r w:rsidDel="00000000" w:rsidR="00000000" w:rsidRPr="00000000">
        <w:rPr>
          <w:rFonts w:ascii="Palatino Linotype" w:cs="Palatino Linotype" w:eastAsia="Palatino Linotype" w:hAnsi="Palatino Linotype"/>
          <w:sz w:val="22"/>
          <w:szCs w:val="22"/>
          <w:rtl w:val="0"/>
        </w:rPr>
        <w:t xml:space="preserve"> de tener conocimiento de la respuesta, por lo que se encuentra dentro de los márgenes temporales previstos en el artículo 128 de la Ley de Protección de Datos Personales en Posesión de Sujetos Obligados del Estado de México y Municipios y, por tanto, su interposición se considera oportuna.</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Estudio de fondo del asunto. </w:t>
      </w:r>
      <w:r w:rsidDel="00000000" w:rsidR="00000000" w:rsidRPr="00000000">
        <w:rPr>
          <w:rFonts w:ascii="Palatino Linotype" w:cs="Palatino Linotype" w:eastAsia="Palatino Linotype" w:hAnsi="Palatino Linotype"/>
          <w:sz w:val="22"/>
          <w:szCs w:val="22"/>
          <w:rtl w:val="0"/>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lo siguiente: </w:t>
      </w:r>
    </w:p>
    <w:p w:rsidR="00000000" w:rsidDel="00000000" w:rsidP="00000000" w:rsidRDefault="00000000" w:rsidRPr="00000000" w14:paraId="0000005E">
      <w:pPr>
        <w:tabs>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F">
      <w:pPr>
        <w:tabs>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60">
      <w:pPr>
        <w:tabs>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1">
      <w:pPr>
        <w:tabs>
          <w:tab w:val="left" w:leader="none" w:pos="7513"/>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62">
      <w:pPr>
        <w:tabs>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3">
      <w:pPr>
        <w:tabs>
          <w:tab w:val="left" w:leader="none" w:pos="851"/>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w:t>
      </w:r>
      <w:r w:rsidDel="00000000" w:rsidR="00000000" w:rsidRPr="00000000">
        <w:rPr>
          <w:rFonts w:ascii="Palatino Linotype" w:cs="Palatino Linotype" w:eastAsia="Palatino Linotype" w:hAnsi="Palatino Linotype"/>
          <w:b w:val="1"/>
          <w:bCs w:val="1"/>
          <w:i w:val="1"/>
          <w:iCs w:val="1"/>
          <w:sz w:val="22"/>
          <w:szCs w:val="22"/>
          <w:rtl w:val="0"/>
        </w:rPr>
        <w:t xml:space="preserve">La información que se refiere a la vida privada y los datos personales será protegida </w:t>
      </w:r>
      <w:r w:rsidDel="00000000" w:rsidR="00000000" w:rsidRPr="00000000">
        <w:rPr>
          <w:rFonts w:ascii="Palatino Linotype" w:cs="Palatino Linotype" w:eastAsia="Palatino Linotype" w:hAnsi="Palatino Linotype"/>
          <w:i w:val="1"/>
          <w:iCs w:val="1"/>
          <w:sz w:val="22"/>
          <w:szCs w:val="22"/>
          <w:rtl w:val="0"/>
        </w:rPr>
        <w:t xml:space="preserve">en los términos y con las excepciones que fijen las leyes.</w:t>
      </w:r>
    </w:p>
    <w:p w:rsidR="00000000" w:rsidDel="00000000" w:rsidP="00000000" w:rsidRDefault="00000000" w:rsidRPr="00000000" w14:paraId="00000064">
      <w:pPr>
        <w:tabs>
          <w:tab w:val="left" w:leader="none" w:pos="851"/>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5">
      <w:pPr>
        <w:tabs>
          <w:tab w:val="left" w:leader="none" w:pos="851"/>
          <w:tab w:val="left" w:leader="none" w:pos="7797"/>
          <w:tab w:val="left" w:leader="none" w:pos="7938"/>
        </w:tabs>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16.</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Toda persona </w:t>
      </w:r>
      <w:r w:rsidDel="00000000" w:rsidR="00000000" w:rsidRPr="00000000">
        <w:rPr>
          <w:rFonts w:ascii="Palatino Linotype" w:cs="Palatino Linotype" w:eastAsia="Palatino Linotype" w:hAnsi="Palatino Linotype"/>
          <w:b w:val="1"/>
          <w:bCs w:val="1"/>
          <w:i w:val="1"/>
          <w:iCs w:val="1"/>
          <w:sz w:val="22"/>
          <w:szCs w:val="22"/>
          <w:rtl w:val="0"/>
        </w:rPr>
        <w:t xml:space="preserve">tiene derecho a la protección de sus datos personales, al acceso, </w:t>
      </w:r>
      <w:r w:rsidDel="00000000" w:rsidR="00000000" w:rsidRPr="00000000">
        <w:rPr>
          <w:rFonts w:ascii="Palatino Linotype" w:cs="Palatino Linotype" w:eastAsia="Palatino Linotype" w:hAnsi="Palatino Linotype"/>
          <w:i w:val="1"/>
          <w:iCs w:val="1"/>
          <w:sz w:val="22"/>
          <w:szCs w:val="22"/>
          <w:rtl w:val="0"/>
        </w:rPr>
        <w:t xml:space="preserve">rectificación y cancelación de los mismos, así</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como a manifestar su oposición, en los términos que fije la ley,</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la cual establecerá los supuestos de excepción a los principios que rijan el tratamiento de datos, por razones de seguridad nacional, disposiciones de orden público, seguridad y salud públicas o para proteger los derechos de terceros.” </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desprende que </w:t>
      </w:r>
      <w:r w:rsidDel="00000000" w:rsidR="00000000" w:rsidRPr="00000000">
        <w:rPr>
          <w:rFonts w:ascii="Palatino Linotype" w:cs="Palatino Linotype" w:eastAsia="Palatino Linotype" w:hAnsi="Palatino Linotype"/>
          <w:b w:val="1"/>
          <w:bCs w:val="1"/>
          <w:sz w:val="22"/>
          <w:szCs w:val="22"/>
          <w:rtl w:val="0"/>
        </w:rPr>
        <w:t xml:space="preserve">la protección de datos personales</w:t>
      </w:r>
      <w:r w:rsidDel="00000000" w:rsidR="00000000" w:rsidRPr="00000000">
        <w:rPr>
          <w:rFonts w:ascii="Palatino Linotype" w:cs="Palatino Linotype" w:eastAsia="Palatino Linotype" w:hAnsi="Palatino Linotype"/>
          <w:sz w:val="22"/>
          <w:szCs w:val="22"/>
          <w:rtl w:val="0"/>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Ante tal premisa se puede apreciar que la inclusión</w:t>
      </w:r>
      <w:r w:rsidDel="00000000" w:rsidR="00000000" w:rsidRPr="00000000">
        <w:rPr>
          <w:rFonts w:ascii="Palatino Linotype" w:cs="Palatino Linotype" w:eastAsia="Palatino Linotype" w:hAnsi="Palatino Linotype"/>
          <w:b w:val="1"/>
          <w:bCs w:val="1"/>
          <w:sz w:val="22"/>
          <w:szCs w:val="22"/>
          <w:rtl w:val="0"/>
        </w:rPr>
        <w:t xml:space="preserve"> del derecho al acceso de datos personales en nuestra Constitución permite que cualquier persona -titular de datos personales obtenga la protección en esta materia.</w:t>
      </w:r>
    </w:p>
    <w:p w:rsidR="00000000" w:rsidDel="00000000" w:rsidP="00000000" w:rsidRDefault="00000000" w:rsidRPr="00000000" w14:paraId="0000006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la Ley de Protección de Datos Personales en Posesión de Sujetos Obligados del Estado de México y Municipios, señala expresamente que:</w:t>
      </w:r>
    </w:p>
    <w:p w:rsidR="00000000" w:rsidDel="00000000" w:rsidP="00000000" w:rsidRDefault="00000000" w:rsidRPr="00000000" w14:paraId="0000006C">
      <w:pPr>
        <w:ind w:left="567" w:right="1185"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D">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Para los efectos de esta Ley se entenderá por:</w:t>
      </w:r>
    </w:p>
    <w:p w:rsidR="00000000" w:rsidDel="00000000" w:rsidP="00000000" w:rsidRDefault="00000000" w:rsidRPr="00000000" w14:paraId="0000006E">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F">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Datos personales</w:t>
      </w:r>
      <w:r w:rsidDel="00000000" w:rsidR="00000000" w:rsidRPr="00000000">
        <w:rPr>
          <w:rFonts w:ascii="Palatino Linotype" w:cs="Palatino Linotype" w:eastAsia="Palatino Linotype" w:hAnsi="Palatino Linotype"/>
          <w:i w:val="1"/>
          <w:iCs w:val="1"/>
          <w:sz w:val="22"/>
          <w:szCs w:val="22"/>
          <w:rtl w:val="0"/>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00000" w:rsidDel="00000000" w:rsidP="00000000" w:rsidRDefault="00000000" w:rsidRPr="00000000" w14:paraId="00000070">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1">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Derechos ARCO:</w:t>
      </w:r>
      <w:r w:rsidDel="00000000" w:rsidR="00000000" w:rsidRPr="00000000">
        <w:rPr>
          <w:rFonts w:ascii="Palatino Linotype" w:cs="Palatino Linotype" w:eastAsia="Palatino Linotype" w:hAnsi="Palatino Linotype"/>
          <w:i w:val="1"/>
          <w:iCs w:val="1"/>
          <w:sz w:val="22"/>
          <w:szCs w:val="22"/>
          <w:rtl w:val="0"/>
        </w:rPr>
        <w:t xml:space="preserve"> a los derechos de Acceso, Rectificación, Cancelación y Oposición al tratamiento de datos personales.</w:t>
      </w:r>
    </w:p>
    <w:p w:rsidR="00000000" w:rsidDel="00000000" w:rsidP="00000000" w:rsidRDefault="00000000" w:rsidRPr="00000000" w14:paraId="00000072">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3">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XLI. Responsable: a los sujetos obligados a que se refiere la presente Ley que deciden sobre el tratamiento de los datos personales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4">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5">
      <w:pPr>
        <w:ind w:left="567" w:right="1185"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b w:val="1"/>
          <w:bCs w:val="1"/>
          <w:i w:val="1"/>
          <w:iCs w:val="1"/>
          <w:sz w:val="22"/>
          <w:szCs w:val="22"/>
          <w:rtl w:val="0"/>
        </w:rPr>
        <w:t xml:space="preserve">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w:t>
      </w:r>
    </w:p>
    <w:p w:rsidR="00000000" w:rsidDel="00000000" w:rsidP="00000000" w:rsidRDefault="00000000" w:rsidRPr="00000000" w14:paraId="00000076">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7">
      <w:pPr>
        <w:ind w:left="567" w:right="1185"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98. El titular tiene derecho a</w:t>
      </w:r>
      <w:r w:rsidDel="00000000" w:rsidR="00000000" w:rsidRPr="00000000">
        <w:rPr>
          <w:rFonts w:ascii="Palatino Linotype" w:cs="Palatino Linotype" w:eastAsia="Palatino Linotype" w:hAnsi="Palatino Linotype"/>
          <w:i w:val="1"/>
          <w:iCs w:val="1"/>
          <w:sz w:val="22"/>
          <w:szCs w:val="22"/>
          <w:rtl w:val="0"/>
        </w:rPr>
        <w:t xml:space="preserve"> acceder, </w:t>
      </w:r>
      <w:r w:rsidDel="00000000" w:rsidR="00000000" w:rsidRPr="00000000">
        <w:rPr>
          <w:rFonts w:ascii="Palatino Linotype" w:cs="Palatino Linotype" w:eastAsia="Palatino Linotype" w:hAnsi="Palatino Linotype"/>
          <w:b w:val="1"/>
          <w:bCs w:val="1"/>
          <w:i w:val="1"/>
          <w:iCs w:val="1"/>
          <w:sz w:val="22"/>
          <w:szCs w:val="22"/>
          <w:rtl w:val="0"/>
        </w:rPr>
        <w:t xml:space="preserve">solicitar y ser informado sobre sus datos personales en posesión de los sujetos obligados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así como la información relacionada con las condiciones y generalidades de su tratamiento, tales como el origen de los datos, las condiciones del tratamiento del cual sean objeto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las cesiones realizadas o que se pretendan realizar,</w:t>
      </w:r>
      <w:r w:rsidDel="00000000" w:rsidR="00000000" w:rsidRPr="00000000">
        <w:rPr>
          <w:rFonts w:ascii="Palatino Linotype" w:cs="Palatino Linotype" w:eastAsia="Palatino Linotype" w:hAnsi="Palatino Linotype"/>
          <w:i w:val="1"/>
          <w:iCs w:val="1"/>
          <w:sz w:val="22"/>
          <w:szCs w:val="22"/>
          <w:rtl w:val="0"/>
        </w:rPr>
        <w:t xml:space="preserve"> así como tener acceso al aviso de privacidad al que está sujeto.</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función de la normativa señalada, se desprenden las premisas siguientes:</w:t>
      </w:r>
    </w:p>
    <w:p w:rsidR="00000000" w:rsidDel="00000000" w:rsidP="00000000" w:rsidRDefault="00000000" w:rsidRPr="00000000" w14:paraId="0000007A">
      <w:pPr>
        <w:tabs>
          <w:tab w:val="left" w:leader="none" w:pos="2410"/>
        </w:tabs>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Primero, por datos personales se entenderá la información concerniente a una persona física identificada o identificable; y que se considera que una persona es </w:t>
      </w:r>
      <w:r w:rsidDel="00000000" w:rsidR="00000000" w:rsidRPr="00000000">
        <w:rPr>
          <w:rFonts w:ascii="Palatino Linotype" w:cs="Palatino Linotype" w:eastAsia="Palatino Linotype" w:hAnsi="Palatino Linotype"/>
          <w:b w:val="1"/>
          <w:bCs w:val="1"/>
          <w:sz w:val="22"/>
          <w:szCs w:val="22"/>
          <w:rtl w:val="0"/>
        </w:rPr>
        <w:t xml:space="preserve">identificable cuando su identidad pueda determinarse directa o indirectamente a través de cualquier información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se destaca que en todo momento el </w:t>
      </w:r>
      <w:r w:rsidDel="00000000" w:rsidR="00000000" w:rsidRPr="00000000">
        <w:rPr>
          <w:rFonts w:ascii="Palatino Linotype" w:cs="Palatino Linotype" w:eastAsia="Palatino Linotype" w:hAnsi="Palatino Linotype"/>
          <w:b w:val="1"/>
          <w:bCs w:val="1"/>
          <w:sz w:val="22"/>
          <w:szCs w:val="22"/>
          <w:rtl w:val="0"/>
        </w:rPr>
        <w:t xml:space="preserve">titular podrá solicitar al responsable</w:t>
      </w:r>
      <w:r w:rsidDel="00000000" w:rsidR="00000000" w:rsidRPr="00000000">
        <w:rPr>
          <w:rFonts w:ascii="Palatino Linotype" w:cs="Palatino Linotype" w:eastAsia="Palatino Linotype" w:hAnsi="Palatino Linotype"/>
          <w:sz w:val="22"/>
          <w:szCs w:val="22"/>
          <w:rtl w:val="0"/>
        </w:rPr>
        <w:t xml:space="preserve">, el acceso, rectificación, cancelación u </w:t>
      </w:r>
      <w:r w:rsidDel="00000000" w:rsidR="00000000" w:rsidRPr="00000000">
        <w:rPr>
          <w:rFonts w:ascii="Palatino Linotype" w:cs="Palatino Linotype" w:eastAsia="Palatino Linotype" w:hAnsi="Palatino Linotype"/>
          <w:b w:val="1"/>
          <w:bCs w:val="1"/>
          <w:sz w:val="22"/>
          <w:szCs w:val="22"/>
          <w:rtl w:val="0"/>
        </w:rPr>
        <w:t xml:space="preserve">oposición </w:t>
      </w:r>
      <w:r w:rsidDel="00000000" w:rsidR="00000000" w:rsidRPr="00000000">
        <w:rPr>
          <w:rFonts w:ascii="Palatino Linotype" w:cs="Palatino Linotype" w:eastAsia="Palatino Linotype" w:hAnsi="Palatino Linotype"/>
          <w:sz w:val="22"/>
          <w:szCs w:val="22"/>
          <w:rtl w:val="0"/>
        </w:rPr>
        <w:t xml:space="preserve">-derechos ARCO- al tratamiento de los datos personales que le conciernen.</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la</w:t>
      </w:r>
      <w:r w:rsidDel="00000000" w:rsidR="00000000" w:rsidRPr="00000000">
        <w:rPr>
          <w:rFonts w:ascii="Palatino Linotype" w:cs="Palatino Linotype" w:eastAsia="Palatino Linotype" w:hAnsi="Palatino Linotype"/>
          <w:b w:val="1"/>
          <w:bCs w:val="1"/>
          <w:sz w:val="22"/>
          <w:szCs w:val="22"/>
          <w:rtl w:val="0"/>
        </w:rPr>
        <w:t xml:space="preserve"> recepción y trámite </w:t>
      </w:r>
      <w:r w:rsidDel="00000000" w:rsidR="00000000" w:rsidRPr="00000000">
        <w:rPr>
          <w:rFonts w:ascii="Palatino Linotype" w:cs="Palatino Linotype" w:eastAsia="Palatino Linotype" w:hAnsi="Palatino Linotype"/>
          <w:sz w:val="22"/>
          <w:szCs w:val="22"/>
          <w:rtl w:val="0"/>
        </w:rPr>
        <w:t xml:space="preserve">de las solicitudes de ejercicio de los derechos ARCO,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se formulen a los sujetos obligados</w:t>
      </w:r>
      <w:r w:rsidDel="00000000" w:rsidR="00000000" w:rsidRPr="00000000">
        <w:rPr>
          <w:rFonts w:ascii="Palatino Linotype" w:cs="Palatino Linotype" w:eastAsia="Palatino Linotype" w:hAnsi="Palatino Linotype"/>
          <w:b w:val="1"/>
          <w:bCs w:val="1"/>
          <w:sz w:val="22"/>
          <w:szCs w:val="22"/>
          <w:rtl w:val="0"/>
        </w:rPr>
        <w:t xml:space="preserve">, se sujetará al procedimiento establecido en el Título Tercero de la Ley General de Protección de Datos Personales en Posesión de Sujetos Obligados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en consonancia con el Título Décimo de la Ley de Protección de Datos Personales en Posesión de Sujetos Obligados del Estado de México y Municipios</w:t>
      </w:r>
      <w:r w:rsidDel="00000000" w:rsidR="00000000" w:rsidRPr="00000000">
        <w:rPr>
          <w:rFonts w:ascii="Palatino Linotype" w:cs="Palatino Linotype" w:eastAsia="Palatino Linotype" w:hAnsi="Palatino Linotype"/>
          <w:sz w:val="22"/>
          <w:szCs w:val="22"/>
          <w:rtl w:val="0"/>
        </w:rPr>
        <w:t xml:space="preserve"> y demás disposiciones que resulten aplicables en la materia.</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alcance en materia de protección de datos personales, así como para su tratamiento, debemos considerar todas las operaciones efectuadas por los procedimientos manuales o automatizados aplicados a los datos personales, relativas a </w:t>
      </w:r>
      <w:r w:rsidDel="00000000" w:rsidR="00000000" w:rsidRPr="00000000">
        <w:rPr>
          <w:rFonts w:ascii="Palatino Linotype" w:cs="Palatino Linotype" w:eastAsia="Palatino Linotype" w:hAnsi="Palatino Linotype"/>
          <w:b w:val="1"/>
          <w:bCs w:val="1"/>
          <w:sz w:val="22"/>
          <w:szCs w:val="22"/>
          <w:rtl w:val="0"/>
        </w:rPr>
        <w:t xml:space="preserve">su obtención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uso, registro, organización, conservación, elaboración, utilización, comunicación, almacenamiento, posesión, acceso, manejo, aprovechamiento divulgación, difusión, transferencia o disposición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Expuesto lo anterior, se procede al análisis de la totalidad de las constancias que integran los expedientes electrónicos del SARCOEM, con</w:t>
      </w:r>
      <w:r w:rsidDel="00000000" w:rsidR="00000000" w:rsidRPr="00000000">
        <w:rPr>
          <w:rFonts w:ascii="Palatino Linotype" w:cs="Palatino Linotype" w:eastAsia="Palatino Linotype" w:hAnsi="Palatino Linotype"/>
          <w:b w:val="1"/>
          <w:bCs w:val="1"/>
          <w:sz w:val="22"/>
          <w:szCs w:val="22"/>
          <w:rtl w:val="0"/>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rsidR="00000000" w:rsidDel="00000000" w:rsidP="00000000" w:rsidRDefault="00000000" w:rsidRPr="00000000" w14:paraId="0000008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acceso a datos personales, que motiva el recurso de revisión que ahora se resuelve, se advierte que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o Responsable</w:t>
      </w:r>
      <w:r w:rsidDel="00000000" w:rsidR="00000000" w:rsidRPr="00000000">
        <w:rPr>
          <w:rFonts w:ascii="Palatino Linotype" w:cs="Palatino Linotype" w:eastAsia="Palatino Linotype" w:hAnsi="Palatino Linotype"/>
          <w:sz w:val="22"/>
          <w:szCs w:val="22"/>
          <w:rtl w:val="0"/>
        </w:rPr>
        <w:t xml:space="preserve"> le proporcione, copia de sus últimos 75 recibos de nómina.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Así las cosas,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expresó a través de la Dirección de Administración de Personal y Modernización Administrativa que después de realizar una búsqueda exhaustiva y razonable en sus archivos físicos y electrónicos, </w:t>
      </w:r>
      <w:r w:rsidDel="00000000" w:rsidR="00000000" w:rsidRPr="00000000">
        <w:rPr>
          <w:rFonts w:ascii="Palatino Linotype" w:cs="Palatino Linotype" w:eastAsia="Palatino Linotype" w:hAnsi="Palatino Linotype"/>
          <w:b w:val="1"/>
          <w:bCs w:val="1"/>
          <w:sz w:val="22"/>
          <w:szCs w:val="22"/>
          <w:u w:val="single"/>
          <w:rtl w:val="0"/>
        </w:rPr>
        <w:t xml:space="preserve">no se encontró información alguna relacionada con el nombre indicado por el particular.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conocida la respuesta, el particular interpuso el recurso de revisión que nos ocupa, adoleciéndose de la negativa de acceder a los datos personales.</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en informe justificado, se pronunció la Dirección de Administración de Personal y Modernización Administrativa, quien expresó que derivado de la búsqueda exhaustiva y razonable en sus archivos, no se localizó ningún antecedente en el que se haga constar que la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prestó sus servicios en la Secretaría General de Gobierno; aunado a que, del talón de cheque remitido se aprecia en el apartado de “Puesto” la expresión “Notificador Jud” plaza que no forma parte del catálogo de puestos de la Secretaría, por lo que sugirió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dirigir sus inquietudes a la Oficialía Mayor del Gobierno Estatal por corresponder a dicha instancia.</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establecidas las posturas de las partes, resulta de vital importancia señalar que de conformidad con la Guía para Titulares de los Datos Personales, emitida por el entonces Instituto Nacional de Transparencia, Acceso a la Información y Protección de Datos Personales (INAI), el derecho de acceso a datos personales, se concibe como el derecho de </w:t>
      </w:r>
      <w:r w:rsidDel="00000000" w:rsidR="00000000" w:rsidRPr="00000000">
        <w:rPr>
          <w:rFonts w:ascii="Palatino Linotype" w:cs="Palatino Linotype" w:eastAsia="Palatino Linotype" w:hAnsi="Palatino Linotype"/>
          <w:b w:val="1"/>
          <w:bCs w:val="1"/>
          <w:sz w:val="22"/>
          <w:szCs w:val="22"/>
          <w:u w:val="single"/>
          <w:rtl w:val="0"/>
        </w:rPr>
        <w:t xml:space="preserve">solicitar el acceso a los datos personales que están en las bases de datos, sistemas, archivos, registros o expedientes del responsable que los posee, almacena o utiliza</w:t>
      </w:r>
      <w:r w:rsidDel="00000000" w:rsidR="00000000" w:rsidRPr="00000000">
        <w:rPr>
          <w:rFonts w:ascii="Palatino Linotype" w:cs="Palatino Linotype" w:eastAsia="Palatino Linotype" w:hAnsi="Palatino Linotype"/>
          <w:sz w:val="22"/>
          <w:szCs w:val="22"/>
          <w:rtl w:val="0"/>
        </w:rPr>
        <w:t xml:space="preserve">, así como de conocer información relacionada con el uso que se da a la información personal que recaba.</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98 de la Ley de Protección de Datos Personales vigente en nuestra entidad, dispone que </w:t>
      </w:r>
      <w:r w:rsidDel="00000000" w:rsidR="00000000" w:rsidRPr="00000000">
        <w:rPr>
          <w:rFonts w:ascii="Palatino Linotype" w:cs="Palatino Linotype" w:eastAsia="Palatino Linotype" w:hAnsi="Palatino Linotype"/>
          <w:b w:val="1"/>
          <w:bCs w:val="1"/>
          <w:sz w:val="22"/>
          <w:szCs w:val="22"/>
          <w:u w:val="single"/>
          <w:rtl w:val="0"/>
        </w:rPr>
        <w:t xml:space="preserve">el titular tiene derecho a acceder, solicitar y ser informado sobre sus datos personales en posesión de los sujetos obligados</w:t>
      </w:r>
      <w:r w:rsidDel="00000000" w:rsidR="00000000" w:rsidRPr="00000000">
        <w:rPr>
          <w:rFonts w:ascii="Palatino Linotype" w:cs="Palatino Linotype" w:eastAsia="Palatino Linotype" w:hAnsi="Palatino Linotype"/>
          <w:sz w:val="22"/>
          <w:szCs w:val="22"/>
          <w:rtl w:val="0"/>
        </w:rPr>
        <w:t xml:space="preserve">,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Teniendo en cuenta esta acepción, procedemos a analizar las constancias vertidas en el expediente electrónico, para ello debemos estudiar el ámbito competencial, es decir, las atribuciones de la unidad administrativa que se pronuncia desde la respuesta inicial; en tal sentido, resulta importante señalar que inicialmente obra el pronunciamiento de la Dirección de Administración de Personal y Modernización Administrativa, la cual a su vez cuenta con una Subdirección de Recursos Humanos; es de precisar que ambas áreas de conformidad con el Manual General de Organización de la Secretaría General de Gobierno, cuentan con las siguientes atribuciones:</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“20500006010000S DIRECCIÓN DE ADMINISTRACIÓN DE PERSONAL Y MODERNIZACIÓN ADMINISTRATIVA</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OBJETIVO: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Coordinar y controlar la administración de los recursos humanos de las unidades administrativas de la Secretaría, atendiendo la normatividad establecida, así como promover el desarrollo de proyectos en materia de modernización administrativa en las áreas de la dependencia que coadyuven a la ejecución eficiente de sus funciones.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FUNCIONES: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.Supervisar y controlar los movimientos de personal (altas, bajas, licencias y cambios) en el Sistema Integral de Información de Personal (SIIP), de la oficina de la o del titular de la Secretaría, unidades staff y demás unidades administrativas de la dependencia, así como dar seguimiento al trámite de autorización en términos de la normatividad aplicable a los requerimientos de contratación de personal eventual bajo el régimen de honorarios por tiempo y obra determinada, y servicios profesionales, de acuerdo a la normatividad establecida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20500006010100S SUBDIRECCIÓN DE RECURSOS HUMANOS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OBJETIVO:</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Gestionar, controlar y supervisar las actividades en materia de desarrollo y administración de personal de las y los servidores públicos de la Secretaría, conforme a las políticas y prioridades institucionales, y con base en las normas, procedimientos y lineamientos establecidos por la Secretaría de Finanzas.</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FUNCIONES: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 A</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plicar las políticas y procedimientos que en materia de selección, contratación y administración de sueldos y salarios, entre otros, determine la Secretaría de Finanzas.</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Llevar el registro de las y los servidores públicos de la Secretaría General de Gobierno,</w:t>
      </w:r>
      <w:r w:rsidDel="00000000" w:rsidR="00000000" w:rsidRPr="00000000">
        <w:rPr>
          <w:rFonts w:ascii="Palatino Linotype" w:cs="Palatino Linotype" w:eastAsia="Palatino Linotype" w:hAnsi="Palatino Linotype"/>
          <w:i w:val="1"/>
          <w:iCs w:val="1"/>
          <w:sz w:val="22"/>
          <w:szCs w:val="22"/>
          <w:rtl w:val="0"/>
        </w:rPr>
        <w:t xml:space="preserve"> que hayan sido separados del servicio por incapacidad permanente para trabajar y a los que se les rescindió la relación laboral por causas imputables a los mismos.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Llevar a cabo los trámites para</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contratación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pago del personal</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bajo el régimen de contrato individual de trabajo por tiempo determinado, de conformidad con la normatividad aplicable en la materia.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Revisar y gestionar el pago de sueldos</w:t>
      </w:r>
      <w:r w:rsidDel="00000000" w:rsidR="00000000" w:rsidRPr="00000000">
        <w:rPr>
          <w:rFonts w:ascii="Palatino Linotype" w:cs="Palatino Linotype" w:eastAsia="Palatino Linotype" w:hAnsi="Palatino Linotype"/>
          <w:i w:val="1"/>
          <w:iCs w:val="1"/>
          <w:sz w:val="22"/>
          <w:szCs w:val="22"/>
          <w:rtl w:val="0"/>
        </w:rPr>
        <w:t xml:space="preserve">, estímulos, indemnizaciones, finiquitos, viáticos fijos, prima dominical y prima por permanencia en el servicio, así como dar seguimiento a la aplicación de prestaciones como vacaciones, días económicos, incapacidades, licencias y permisos del personal de la Secretaría.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Verificar quincenalmente que las unidades administrativas de la Secretaría tengan acceso a la plataforma del Sistema de Recursos Humanos, visualizando al personal bajo su adscripción, para la revisión e identificación de inconsistencias y en su caso para regularización o ajuste respectivo.”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left="567" w:right="118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citado, se aprecia que compete a la Dirección de Administración de Personal y Modernización Administrativa a través de la Subdirección de Recursos Humanos, lleva el registro de las y los servidores públicos de la Secretaría General de Gobierno, aplicar las políticas y procedimientos en materia de selección, contratación y administración de sueldos y salarios, y revisar y gestionar el pago de sueldos, estímulos, indemnizaciones, finiquitos, viáticos fijos, prima dominical y prima por permanencia en el servicio, así como dar seguimiento a la aplicación de prestaciones como vacaciones, días económicos, incapacidades, licencias y permisos del personal de la Secretaría.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podemos apreciar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desde la respuesta precisa que no se encontró información alguna relacionada con el nombre indicado por la particular, información que es ratificada mediante informe justificado, argumentando que no se localizó ningún antecedente en el que se haga constar que la Recurrente prestó sus servicios en la Secretaría General de Gobierno, y señalando además que de acuerdo a los documentos que adjuntó la particular , correspondiente al talón de cheque se aprecia en el apartado de “Puesto” la expresión “</w:t>
      </w:r>
      <w:r w:rsidDel="00000000" w:rsidR="00000000" w:rsidRPr="00000000">
        <w:rPr>
          <w:rFonts w:ascii="Palatino Linotype" w:cs="Palatino Linotype" w:eastAsia="Palatino Linotype" w:hAnsi="Palatino Linotype"/>
          <w:i w:val="1"/>
          <w:iCs w:val="1"/>
          <w:sz w:val="22"/>
          <w:szCs w:val="22"/>
          <w:rtl w:val="0"/>
        </w:rPr>
        <w:t xml:space="preserve">Notificador Jud</w:t>
      </w:r>
      <w:r w:rsidDel="00000000" w:rsidR="00000000" w:rsidRPr="00000000">
        <w:rPr>
          <w:rFonts w:ascii="Palatino Linotype" w:cs="Palatino Linotype" w:eastAsia="Palatino Linotype" w:hAnsi="Palatino Linotype"/>
          <w:sz w:val="22"/>
          <w:szCs w:val="22"/>
          <w:rtl w:val="0"/>
        </w:rPr>
        <w:t xml:space="preserve">” plaza que no forma parte del catálogo de puestos de la Secretaría, por lo que orienta a dirigir su solicitud ante el Sujeto Obligado Competente.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resulta conveniente señalar que en efecto de la información proporcionada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puede advertir que la solicitante formaba parte de la Plantilla de personal del Poder Judicial del Estado de México, ello en atención al Gafete remitido en el apartado de manifestaciones del que se advierte lo siguiente: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702417" cy="1249177"/>
            <wp:effectExtent b="0" l="0" r="0" t="0"/>
            <wp:docPr descr="Texto&#10;&#10;El contenido generado por IA puede ser incorrecto." id="949620053" name="image4.png"/>
            <a:graphic>
              <a:graphicData uri="http://schemas.openxmlformats.org/drawingml/2006/picture">
                <pic:pic>
                  <pic:nvPicPr>
                    <pic:cNvPr descr="Texto&#10;&#10;El contenido generado por IA puede ser incorrecto." id="0" name="image4.png"/>
                    <pic:cNvPicPr preferRelativeResize="0"/>
                  </pic:nvPicPr>
                  <pic:blipFill>
                    <a:blip r:embed="rId8"/>
                    <a:srcRect b="13797" l="0" r="0" t="0"/>
                    <a:stretch>
                      <a:fillRect/>
                    </a:stretch>
                  </pic:blipFill>
                  <pic:spPr>
                    <a:xfrm>
                      <a:off x="0" y="0"/>
                      <a:ext cx="2702417" cy="1249177"/>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2131605" cy="996024"/>
            <wp:effectExtent b="0" l="0" r="0" t="0"/>
            <wp:docPr descr="Imagen que contiene Texto&#10;&#10;El contenido generado por IA puede ser incorrecto." id="949620055" name="image5.png"/>
            <a:graphic>
              <a:graphicData uri="http://schemas.openxmlformats.org/drawingml/2006/picture">
                <pic:pic>
                  <pic:nvPicPr>
                    <pic:cNvPr descr="Imagen que contiene Texto&#10;&#10;El contenido generado por IA puede ser incorrecto." id="0" name="image5.png"/>
                    <pic:cNvPicPr preferRelativeResize="0"/>
                  </pic:nvPicPr>
                  <pic:blipFill>
                    <a:blip r:embed="rId9"/>
                    <a:srcRect b="0" l="0" r="0" t="0"/>
                    <a:stretch>
                      <a:fillRect/>
                    </a:stretch>
                  </pic:blipFill>
                  <pic:spPr>
                    <a:xfrm>
                      <a:off x="0" y="0"/>
                      <a:ext cx="2131605" cy="996024"/>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colige que la respuesta de Sujeto Obligado fue correcta, pues de acuerdo a las constancias que obran en el expediente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cuenta con las competencias, facultades y atribuciones para conocer, administrar y generar la información relacionada con los documentos solicitados, es el Poder Judicial Estatal, quien también es Sujeto Obligado en materia de Protección de Datos Personales en la entidad, tal como se advierte en el Padrón de Sujetos Obligados en Materia de Datos Personales del Estado de México y Municipios, como se puede apreciar a continuación:</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18583" cy="1813599"/>
            <wp:effectExtent b="0" l="0" r="0" t="0"/>
            <wp:docPr id="94962005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18583" cy="1813599"/>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puede presentar su solicitud de acceso a datos a través de la misma plataforma por la que fue ingresada la presente solicitud, esto es a través del SARCOEM, únicamente deberá seleccionar como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Poder Judicial.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Por lo tanto, este Instituto colige que las razones o motivos de inconformidad del solicitante devienen </w:t>
      </w:r>
      <w:r w:rsidDel="00000000" w:rsidR="00000000" w:rsidRPr="00000000">
        <w:rPr>
          <w:rFonts w:ascii="Palatino Linotype" w:cs="Palatino Linotype" w:eastAsia="Palatino Linotype" w:hAnsi="Palatino Linotype"/>
          <w:b w:val="1"/>
          <w:bCs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pues se insiste, el derecho de acceso siempre deberá ejercerse sobre documentos en los que consten datos personales solamente si estos obran dentro de los archivos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lo que,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derivado del análisis a las constancias que conforman el expediente electrónico, este Organismo determina </w:t>
      </w:r>
      <w:r w:rsidDel="00000000" w:rsidR="00000000" w:rsidRPr="00000000">
        <w:rPr>
          <w:rFonts w:ascii="Palatino Linotype" w:cs="Palatino Linotype" w:eastAsia="Palatino Linotype" w:hAnsi="Palatino Linotype"/>
          <w:b w:val="1"/>
          <w:bCs w:val="1"/>
          <w:sz w:val="22"/>
          <w:szCs w:val="22"/>
          <w:rtl w:val="0"/>
        </w:rPr>
        <w:t xml:space="preserve">CONFIRMAR</w:t>
      </w:r>
      <w:r w:rsidDel="00000000" w:rsidR="00000000" w:rsidRPr="00000000">
        <w:rPr>
          <w:rFonts w:ascii="Palatino Linotype" w:cs="Palatino Linotype" w:eastAsia="Palatino Linotype" w:hAnsi="Palatino Linotype"/>
          <w:sz w:val="22"/>
          <w:szCs w:val="22"/>
          <w:rtl w:val="0"/>
        </w:rPr>
        <w:t xml:space="preserve">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bookmarkStart w:colFirst="0" w:colLast="0" w:name="_heading=h.3rdcrjn" w:id="5"/>
      <w:bookmarkEnd w:id="5"/>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infundados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bCs w:val="1"/>
          <w:sz w:val="22"/>
          <w:szCs w:val="22"/>
          <w:rtl w:val="0"/>
        </w:rPr>
        <w:t xml:space="preserve">05384/INFOEM/AD/RR/2025</w:t>
      </w:r>
      <w:r w:rsidDel="00000000" w:rsidR="00000000" w:rsidRPr="00000000">
        <w:rPr>
          <w:rFonts w:ascii="Palatino Linotype" w:cs="Palatino Linotype" w:eastAsia="Palatino Linotype" w:hAnsi="Palatino Linotype"/>
          <w:sz w:val="22"/>
          <w:szCs w:val="22"/>
          <w:rtl w:val="0"/>
        </w:rPr>
        <w:t xml:space="preserve">; por lo que, en términos de los argumentos señalados en el </w:t>
      </w:r>
      <w:r w:rsidDel="00000000" w:rsidR="00000000" w:rsidRPr="00000000">
        <w:rPr>
          <w:rFonts w:ascii="Palatino Linotype" w:cs="Palatino Linotype" w:eastAsia="Palatino Linotype" w:hAnsi="Palatino Linotype"/>
          <w:b w:val="1"/>
          <w:bCs w:val="1"/>
          <w:sz w:val="22"/>
          <w:szCs w:val="22"/>
          <w:rtl w:val="0"/>
        </w:rPr>
        <w:t xml:space="preserve">Considerando Tercero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bCs w:val="1"/>
          <w:sz w:val="22"/>
          <w:szCs w:val="22"/>
          <w:rtl w:val="0"/>
        </w:rPr>
        <w:t xml:space="preserve">CONFIRMA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tl w:val="0"/>
        </w:rPr>
      </w:r>
    </w:p>
    <w:p w:rsidR="00000000" w:rsidDel="00000000" w:rsidP="00000000" w:rsidRDefault="00000000" w:rsidRPr="00000000" w14:paraId="000000B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Notifíquese, vía </w:t>
      </w:r>
      <w:r w:rsidDel="00000000" w:rsidR="00000000" w:rsidRPr="00000000">
        <w:rPr>
          <w:rFonts w:ascii="Palatino Linotype" w:cs="Palatino Linotype" w:eastAsia="Palatino Linotype" w:hAnsi="Palatino Linotype"/>
          <w:b w:val="1"/>
          <w:bCs w:val="1"/>
          <w:sz w:val="22"/>
          <w:szCs w:val="22"/>
          <w:rtl w:val="0"/>
        </w:rPr>
        <w:t xml:space="preserve">SARCOEM</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p>
    <w:p w:rsidR="00000000" w:rsidDel="00000000" w:rsidP="00000000" w:rsidRDefault="00000000" w:rsidRPr="00000000" w14:paraId="000000C0">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bCs w:val="1"/>
          <w:sz w:val="22"/>
          <w:szCs w:val="22"/>
          <w:rtl w:val="0"/>
        </w:rPr>
        <w:t xml:space="preserve">SARCOEM </w:t>
      </w: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5840" w:w="12240" w:orient="portrait"/>
          <w:pgMar w:bottom="1418" w:top="1418" w:left="1701" w:right="1418" w:header="709" w:footer="709"/>
          <w:pgNumType w:start="1"/>
          <w:titlePg w:val="1"/>
        </w:sectPr>
      </w:pPr>
      <w:bookmarkStart w:colFirst="0" w:colLast="0" w:name="_heading=h.1fob9te" w:id="6"/>
      <w:bookmarkEnd w:id="6"/>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bookmarkStart w:colFirst="0" w:colLast="0" w:name="_heading=h.gjdgxs" w:id="7"/>
      <w:bookmarkEnd w:id="7"/>
      <w:r w:rsidDel="00000000" w:rsidR="00000000" w:rsidRPr="00000000">
        <w:rPr>
          <w:rtl w:val="0"/>
        </w:rPr>
      </w:r>
    </w:p>
    <w:p w:rsidR="00000000" w:rsidDel="00000000" w:rsidP="00000000" w:rsidRDefault="00000000" w:rsidRPr="00000000" w14:paraId="000000C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tabs>
          <w:tab w:val="left" w:leader="none" w:pos="1701"/>
        </w:tabs>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first"/>
      <w:type w:val="nextPage"/>
      <w:pgSz w:h="15840" w:w="12240" w:orient="portrait"/>
      <w:pgMar w:bottom="1418" w:top="1418" w:left="1701"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24</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Pr>
      <w:pict>
        <v:shape id="_x0000_s3075" style="position:absolute;margin-left:-80.55pt;margin-top:-120.7pt;width:663.5pt;height:12in;z-index:-251658240;mso-wrap-edited:f;mso-width-percent:0;mso-height-percent:0;mso-position-horizontal:absolute;mso-position-horizontal-relative:margin;mso-position-vertical:absolute;mso-position-vertical-relative:margin;mso-width-percent:0;mso-height-percent:0" alt="" o:allowincell="f" type="#_x0000_t75">
          <v:imagedata r:id="rId1" o:title="PHOTO-2020-08-13-10-14-39"/>
          <w10:wrap/>
        </v:shape>
      </w:pict>
    </w:r>
    <w:r w:rsidDel="00000000" w:rsidR="00000000" w:rsidRPr="00000000">
      <w:rPr>
        <w:rFonts w:ascii="Cambria" w:cs="Cambria" w:eastAsia="Cambria" w:hAnsi="Cambria"/>
        <w:color w:val="000000"/>
        <w:rtl w:val="0"/>
      </w:rPr>
      <w:t xml:space="preserve">              </w:t>
    </w:r>
  </w:p>
  <w:tbl>
    <w:tblPr>
      <w:tblStyle w:val="Table1"/>
      <w:tblW w:w="6237.0" w:type="dxa"/>
      <w:jc w:val="left"/>
      <w:tblInd w:w="2977.0" w:type="dxa"/>
      <w:tblLayout w:type="fixed"/>
      <w:tblLook w:val="0400"/>
    </w:tblPr>
    <w:tblGrid>
      <w:gridCol w:w="2552"/>
      <w:gridCol w:w="3685"/>
      <w:tblGridChange w:id="0">
        <w:tblGrid>
          <w:gridCol w:w="2552"/>
          <w:gridCol w:w="3685"/>
        </w:tblGrid>
      </w:tblGridChange>
    </w:tblGrid>
    <w:tr>
      <w:trPr>
        <w:cantSplit w:val="0"/>
        <w:tblHeader w:val="0"/>
      </w:trPr>
      <w:tc>
        <w:tcPr>
          <w:vAlign w:val="center"/>
        </w:tcPr>
        <w:p w:rsidR="00000000" w:rsidDel="00000000" w:rsidP="00000000" w:rsidRDefault="00000000" w:rsidRPr="00000000" w14:paraId="000000C8">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0C9">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05384/INFOEM/AD/RR/2025</w:t>
          </w:r>
        </w:p>
      </w:tc>
    </w:tr>
    <w:tr>
      <w:trPr>
        <w:cantSplit w:val="0"/>
        <w:trHeight w:val="228" w:hRule="atLeast"/>
        <w:tblHeader w:val="0"/>
      </w:trPr>
      <w:tc>
        <w:tcPr>
          <w:vAlign w:val="center"/>
        </w:tcPr>
        <w:p w:rsidR="00000000" w:rsidDel="00000000" w:rsidP="00000000" w:rsidRDefault="00000000" w:rsidRPr="00000000" w14:paraId="000000C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0CB">
          <w:pPr>
            <w:ind w:right="452"/>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Secretaría General de Gobierno</w:t>
          </w:r>
        </w:p>
      </w:tc>
    </w:tr>
    <w:tr>
      <w:trPr>
        <w:cantSplit w:val="0"/>
        <w:tblHeader w:val="0"/>
      </w:trPr>
      <w:tc>
        <w:tcPr>
          <w:vAlign w:val="center"/>
        </w:tcPr>
        <w:p w:rsidR="00000000" w:rsidDel="00000000" w:rsidP="00000000" w:rsidRDefault="00000000" w:rsidRPr="00000000" w14:paraId="000000C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0CD">
          <w:pPr>
            <w:ind w:right="-533"/>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 xml:space="preserve">                                                 </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sz w:val="20"/>
        <w:szCs w:val="20"/>
      </w:rPr>
    </w:pPr>
    <w:r w:rsidDel="00000000" w:rsidR="00000000" w:rsidRPr="00000000">
      <w:rPr>
        <w:rFonts w:ascii="Palatino Linotype" w:cs="Palatino Linotype" w:eastAsia="Palatino Linotype" w:hAnsi="Palatino Linotype"/>
        <w:b w:val="1"/>
        <w:bCs w:val="1"/>
        <w:color w:val="000000"/>
        <w:sz w:val="22"/>
        <w:szCs w:val="22"/>
      </w:rPr>
      <w:pict>
        <v:shape id="WordPictureWatermark1" style="position:absolute;width:663.5pt;height:864.0pt;rotation:0;z-index:-503316481;mso-position-horizontal-relative:margin;mso-position-horizontal:absolute;margin-left:-81.3pt;mso-position-vertical-relative:margin;mso-position-vertical:absolute;margin-top:-161.75pt;" alt="" type="#_x0000_t75">
          <v:imagedata cropbottom="0f" cropleft="0f" cropright="0f" croptop="0f" r:id="rId2" o:title="image2.jpg"/>
        </v:shape>
      </w:pict>
    </w:r>
    <w:r w:rsidDel="00000000" w:rsidR="00000000" w:rsidRPr="00000000">
      <w:rPr>
        <w:rtl w:val="0"/>
      </w:rPr>
    </w:r>
  </w:p>
  <w:tbl>
    <w:tblPr>
      <w:tblStyle w:val="Table2"/>
      <w:tblW w:w="6379.0" w:type="dxa"/>
      <w:jc w:val="left"/>
      <w:tblInd w:w="2977.0" w:type="dxa"/>
      <w:tblLayout w:type="fixed"/>
      <w:tblLook w:val="0400"/>
    </w:tblPr>
    <w:tblGrid>
      <w:gridCol w:w="2552"/>
      <w:gridCol w:w="3827"/>
      <w:tblGridChange w:id="0">
        <w:tblGrid>
          <w:gridCol w:w="2552"/>
          <w:gridCol w:w="3827"/>
        </w:tblGrid>
      </w:tblGridChange>
    </w:tblGrid>
    <w:tr>
      <w:trPr>
        <w:cantSplit w:val="0"/>
        <w:tblHeader w:val="0"/>
      </w:trPr>
      <w:tc>
        <w:tcPr>
          <w:vAlign w:val="center"/>
        </w:tcPr>
        <w:p w:rsidR="00000000" w:rsidDel="00000000" w:rsidP="00000000" w:rsidRDefault="00000000" w:rsidRPr="00000000" w14:paraId="000000D0">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0D1">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05384/INFOEM/AD/RR/2025</w:t>
          </w:r>
        </w:p>
      </w:tc>
    </w:tr>
    <w:tr>
      <w:trPr>
        <w:cantSplit w:val="0"/>
        <w:tblHeader w:val="0"/>
      </w:trPr>
      <w:tc>
        <w:tcPr>
          <w:vAlign w:val="center"/>
        </w:tcPr>
        <w:p w:rsidR="00000000" w:rsidDel="00000000" w:rsidP="00000000" w:rsidRDefault="00000000" w:rsidRPr="00000000" w14:paraId="000000D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0D3">
          <w:pPr>
            <w:ind w:right="452"/>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 XXXXX XXXXXXXX XXXXXXX </w:t>
          </w:r>
        </w:p>
      </w:tc>
    </w:tr>
    <w:tr>
      <w:trPr>
        <w:cantSplit w:val="0"/>
        <w:trHeight w:val="228" w:hRule="atLeast"/>
        <w:tblHeader w:val="0"/>
      </w:trPr>
      <w:tc>
        <w:tcPr>
          <w:vAlign w:val="center"/>
        </w:tcPr>
        <w:p w:rsidR="00000000" w:rsidDel="00000000" w:rsidP="00000000" w:rsidRDefault="00000000" w:rsidRPr="00000000" w14:paraId="000000D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0D5">
          <w:pPr>
            <w:ind w:right="594"/>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Secretaría General de Gobierno</w:t>
          </w:r>
        </w:p>
      </w:tc>
    </w:tr>
    <w:tr>
      <w:trPr>
        <w:cantSplit w:val="0"/>
        <w:trHeight w:val="210" w:hRule="atLeast"/>
        <w:tblHeader w:val="0"/>
      </w:trPr>
      <w:tc>
        <w:tcPr>
          <w:vAlign w:val="center"/>
        </w:tcPr>
        <w:p w:rsidR="00000000" w:rsidDel="00000000" w:rsidP="00000000" w:rsidRDefault="00000000" w:rsidRPr="00000000" w14:paraId="000000D6">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0D7">
          <w:pPr>
            <w:ind w:right="-533"/>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i w:val="0"/>
        <w:i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Ttulo8">
    <w:name w:val="heading 8"/>
    <w:basedOn w:val="Normal"/>
    <w:next w:val="Normal"/>
    <w:link w:val="Ttulo8Car"/>
    <w:uiPriority w:val="9"/>
    <w:semiHidden w:val="1"/>
    <w:unhideWhenUsed w:val="1"/>
    <w:qFormat w:val="1"/>
    <w:rsid w:val="00674543"/>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styleId="TextosinformatoCar" w:customStyle="1">
    <w:name w:val="Texto sin formato Car"/>
    <w:basedOn w:val="Fuentedeprrafopredeter"/>
    <w:link w:val="Textosinformato"/>
    <w:uiPriority w:val="99"/>
    <w:rsid w:val="002944C8"/>
    <w:rPr>
      <w:rFonts w:ascii="Courier New" w:cs="Times New Roman" w:eastAsia="Times New Roman" w:hAnsi="Courier New"/>
      <w:sz w:val="20"/>
      <w:szCs w:val="20"/>
      <w:lang w:val="es-ES"/>
    </w:rPr>
  </w:style>
  <w:style w:type="paragraph" w:styleId="Standard" w:customStyle="1">
    <w:name w:val="Standard"/>
    <w:uiPriority w:val="99"/>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uiPriority w:val="99"/>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D60635"/>
    <w:rPr>
      <w:rFonts w:ascii="Times New Roman" w:cs="Times New Roman" w:eastAsia="Times New Roman" w:hAnsi="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Estilo" w:customStyle="1">
    <w:name w:val="Estilo"/>
    <w:uiPriority w:val="99"/>
    <w:rsid w:val="00AA697E"/>
    <w:pPr>
      <w:widowControl w:val="0"/>
      <w:autoSpaceDE w:val="0"/>
      <w:autoSpaceDN w:val="0"/>
      <w:adjustRightInd w:val="0"/>
    </w:pPr>
  </w:style>
  <w:style w:type="character" w:styleId="numberfracccentro" w:customStyle="1">
    <w:name w:val="numberfracccentro"/>
    <w:basedOn w:val="Fuentedeprrafopredeter"/>
    <w:rsid w:val="00B8240C"/>
  </w:style>
  <w:style w:type="character" w:styleId="Ttulo2Car" w:customStyle="1">
    <w:name w:val="Título 2 Car"/>
    <w:basedOn w:val="Fuentedeprrafopredeter"/>
    <w:link w:val="Ttulo2"/>
    <w:uiPriority w:val="9"/>
    <w:rsid w:val="00B32071"/>
    <w:rPr>
      <w:rFonts w:asciiTheme="majorHAnsi" w:cstheme="majorBidi" w:eastAsiaTheme="majorEastAsia" w:hAnsiTheme="majorHAnsi"/>
      <w:color w:val="365f91" w:themeColor="accent1" w:themeShade="0000BF"/>
      <w:sz w:val="26"/>
      <w:szCs w:val="26"/>
      <w:lang w:val="es-ES"/>
    </w:rPr>
  </w:style>
  <w:style w:type="character" w:styleId="TextodegloboCar1" w:customStyle="1">
    <w:name w:val="Texto de globo Car1"/>
    <w:basedOn w:val="Fuentedeprrafopredeter"/>
    <w:uiPriority w:val="99"/>
    <w:semiHidden w:val="1"/>
    <w:rsid w:val="007860F3"/>
    <w:rPr>
      <w:rFonts w:ascii="Segoe UI" w:cs="Segoe UI" w:eastAsia="Times New Roman" w:hAnsi="Segoe UI"/>
      <w:sz w:val="18"/>
      <w:szCs w:val="18"/>
      <w:lang w:eastAsia="es-ES" w:val="es-ES"/>
    </w:rPr>
  </w:style>
  <w:style w:type="paragraph" w:styleId="Cuerpo" w:customStyle="1">
    <w:name w:val="Cuerpo"/>
    <w:rsid w:val="00A75128"/>
    <w:pPr>
      <w:spacing w:after="160" w:line="256" w:lineRule="auto"/>
    </w:pPr>
    <w:rPr>
      <w:rFonts w:ascii="Calibri" w:cs="Calibri" w:eastAsia="Calibri" w:hAnsi="Calibri"/>
      <w:color w:val="000000"/>
      <w:sz w:val="22"/>
      <w:szCs w:val="22"/>
      <w:u w:color="000000"/>
      <w:lang w:val="de-DE"/>
    </w:rPr>
  </w:style>
  <w:style w:type="character" w:styleId="Ninguno" w:customStyle="1">
    <w:name w:val="Ninguno"/>
    <w:rsid w:val="00A75128"/>
    <w:rPr>
      <w:lang w:val="es-ES_tradnl"/>
    </w:rPr>
  </w:style>
  <w:style w:type="numbering" w:styleId="Estiloimportado1" w:customStyle="1">
    <w:name w:val="Estilo importado 1"/>
    <w:rsid w:val="00A75128"/>
  </w:style>
  <w:style w:type="paragraph" w:styleId="Textoindependiente">
    <w:name w:val="Body Text"/>
    <w:basedOn w:val="Normal"/>
    <w:link w:val="TextoindependienteCar"/>
    <w:uiPriority w:val="99"/>
    <w:unhideWhenUsed w:val="1"/>
    <w:rsid w:val="001C67F4"/>
    <w:pPr>
      <w:spacing w:after="120"/>
    </w:pPr>
  </w:style>
  <w:style w:type="character" w:styleId="TextoindependienteCar" w:customStyle="1">
    <w:name w:val="Texto independiente Car"/>
    <w:basedOn w:val="Fuentedeprrafopredeter"/>
    <w:link w:val="Textoindependiente"/>
    <w:uiPriority w:val="99"/>
    <w:rsid w:val="001C67F4"/>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A4489C"/>
    <w:rPr>
      <w:sz w:val="16"/>
      <w:szCs w:val="16"/>
    </w:rPr>
  </w:style>
  <w:style w:type="paragraph" w:styleId="Textocomentario">
    <w:name w:val="annotation text"/>
    <w:basedOn w:val="Normal"/>
    <w:link w:val="TextocomentarioCar"/>
    <w:uiPriority w:val="99"/>
    <w:semiHidden w:val="1"/>
    <w:unhideWhenUsed w:val="1"/>
    <w:rsid w:val="00A4489C"/>
    <w:rPr>
      <w:sz w:val="20"/>
      <w:szCs w:val="20"/>
    </w:rPr>
  </w:style>
  <w:style w:type="character" w:styleId="TextocomentarioCar" w:customStyle="1">
    <w:name w:val="Texto comentario Car"/>
    <w:basedOn w:val="Fuentedeprrafopredeter"/>
    <w:link w:val="Textocomentario"/>
    <w:uiPriority w:val="99"/>
    <w:semiHidden w:val="1"/>
    <w:rsid w:val="00A4489C"/>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A4489C"/>
    <w:rPr>
      <w:b w:val="1"/>
      <w:bCs w:val="1"/>
    </w:rPr>
  </w:style>
  <w:style w:type="character" w:styleId="AsuntodelcomentarioCar" w:customStyle="1">
    <w:name w:val="Asunto del comentario Car"/>
    <w:basedOn w:val="TextocomentarioCar"/>
    <w:link w:val="Asuntodelcomentario"/>
    <w:uiPriority w:val="99"/>
    <w:semiHidden w:val="1"/>
    <w:rsid w:val="00A4489C"/>
    <w:rPr>
      <w:rFonts w:ascii="Times New Roman" w:cs="Times New Roman" w:eastAsia="Times New Roman" w:hAnsi="Times New Roman"/>
      <w:b w:val="1"/>
      <w:bCs w:val="1"/>
      <w:sz w:val="20"/>
      <w:szCs w:val="20"/>
      <w:lang w:val="es-ES"/>
    </w:rPr>
  </w:style>
  <w:style w:type="character" w:styleId="Ttulo3Car" w:customStyle="1">
    <w:name w:val="Título 3 Car"/>
    <w:basedOn w:val="Fuentedeprrafopredeter"/>
    <w:link w:val="Ttulo3"/>
    <w:uiPriority w:val="9"/>
    <w:semiHidden w:val="1"/>
    <w:rsid w:val="00A4489C"/>
    <w:rPr>
      <w:rFonts w:asciiTheme="majorHAnsi" w:cstheme="majorBidi" w:eastAsiaTheme="majorEastAsia" w:hAnsiTheme="majorHAnsi"/>
      <w:color w:val="243f60" w:themeColor="accent1" w:themeShade="00007F"/>
      <w:lang w:val="es-ES"/>
    </w:rPr>
  </w:style>
  <w:style w:type="character" w:styleId="Ttulo1Car" w:customStyle="1">
    <w:name w:val="Título 1 Car"/>
    <w:basedOn w:val="Fuentedeprrafopredeter"/>
    <w:link w:val="Ttulo1"/>
    <w:uiPriority w:val="9"/>
    <w:rsid w:val="008C7DDF"/>
    <w:rPr>
      <w:rFonts w:asciiTheme="majorHAnsi" w:cstheme="majorBidi" w:eastAsiaTheme="majorEastAsia" w:hAnsiTheme="majorHAnsi"/>
      <w:color w:val="365f91" w:themeColor="accent1" w:themeShade="0000BF"/>
      <w:sz w:val="32"/>
      <w:szCs w:val="32"/>
      <w:lang w:val="es-ES"/>
    </w:rPr>
  </w:style>
  <w:style w:type="character" w:styleId="TextoCar" w:customStyle="1">
    <w:name w:val="Texto Car"/>
    <w:link w:val="Texto"/>
    <w:locked w:val="1"/>
    <w:rsid w:val="003C4751"/>
    <w:rPr>
      <w:rFonts w:ascii="Arial" w:cs="Arial" w:eastAsia="Times New Roman" w:hAnsi="Arial"/>
      <w:sz w:val="18"/>
      <w:szCs w:val="18"/>
      <w:lang w:val="es-MX"/>
    </w:rPr>
  </w:style>
  <w:style w:type="character" w:styleId="nfasis">
    <w:name w:val="Emphasis"/>
    <w:basedOn w:val="Fuentedeprrafopredeter"/>
    <w:uiPriority w:val="20"/>
    <w:qFormat w:val="1"/>
    <w:rsid w:val="003B3E10"/>
    <w:rPr>
      <w:i w:val="1"/>
      <w:iCs w:val="1"/>
    </w:rPr>
  </w:style>
  <w:style w:type="character" w:styleId="Ttulo8Car" w:customStyle="1">
    <w:name w:val="Título 8 Car"/>
    <w:basedOn w:val="Fuentedeprrafopredeter"/>
    <w:link w:val="Ttulo8"/>
    <w:uiPriority w:val="9"/>
    <w:semiHidden w:val="1"/>
    <w:rsid w:val="00674543"/>
    <w:rPr>
      <w:rFonts w:asciiTheme="majorHAnsi" w:cstheme="majorBidi" w:eastAsiaTheme="majorEastAsia" w:hAnsiTheme="majorHAnsi"/>
      <w:color w:val="272727" w:themeColor="text1" w:themeTint="0000D8"/>
      <w:sz w:val="21"/>
      <w:szCs w:val="21"/>
      <w:lang w:val="es-ES"/>
    </w:rPr>
  </w:style>
  <w:style w:type="character" w:styleId="il" w:customStyle="1">
    <w:name w:val="il"/>
    <w:basedOn w:val="Fuentedeprrafopredeter"/>
    <w:rsid w:val="00E30ADD"/>
  </w:style>
  <w:style w:type="table" w:styleId="a" w:customStyle="1">
    <w:basedOn w:val="TableNormal9"/>
    <w:tblPr>
      <w:tblStyleRowBandSize w:val="1"/>
      <w:tblStyleColBandSize w:val="1"/>
      <w:tblCellMar>
        <w:left w:w="115.0" w:type="dxa"/>
        <w:right w:w="115.0" w:type="dxa"/>
      </w:tblCellMar>
    </w:tblPr>
  </w:style>
  <w:style w:type="table" w:styleId="a0" w:customStyle="1">
    <w:basedOn w:val="TableNormal9"/>
    <w:tblPr>
      <w:tblStyleRowBandSize w:val="1"/>
      <w:tblStyleColBandSize w:val="1"/>
      <w:tblCellMar>
        <w:left w:w="115.0" w:type="dxa"/>
        <w:right w:w="115.0" w:type="dxa"/>
      </w:tblCellMar>
    </w:tblPr>
  </w:style>
  <w:style w:type="table" w:styleId="a1" w:customStyle="1">
    <w:basedOn w:val="TableNormal9"/>
    <w:tblPr>
      <w:tblStyleRowBandSize w:val="1"/>
      <w:tblStyleColBandSize w:val="1"/>
      <w:tblCellMar>
        <w:left w:w="115.0" w:type="dxa"/>
        <w:right w:w="115.0" w:type="dxa"/>
      </w:tblCellMar>
    </w:tblPr>
  </w:style>
  <w:style w:type="table" w:styleId="a2" w:customStyle="1">
    <w:basedOn w:val="TableNormal9"/>
    <w:tblPr>
      <w:tblStyleRowBandSize w:val="1"/>
      <w:tblStyleColBandSize w:val="1"/>
      <w:tblCellMar>
        <w:left w:w="115.0" w:type="dxa"/>
        <w:right w:w="115.0" w:type="dxa"/>
      </w:tblCellMar>
    </w:tblPr>
  </w:style>
  <w:style w:type="table" w:styleId="a3" w:customStyle="1">
    <w:basedOn w:val="TableNormal8"/>
    <w:tblPr>
      <w:tblStyleRowBandSize w:val="1"/>
      <w:tblStyleColBandSize w:val="1"/>
      <w:tblCellMar>
        <w:left w:w="115.0" w:type="dxa"/>
        <w:right w:w="115.0" w:type="dxa"/>
      </w:tblCellMar>
    </w:tblPr>
  </w:style>
  <w:style w:type="table" w:styleId="a4" w:customStyle="1">
    <w:basedOn w:val="TableNormal8"/>
    <w:tblPr>
      <w:tblStyleRowBandSize w:val="1"/>
      <w:tblStyleColBandSize w:val="1"/>
      <w:tblCellMar>
        <w:left w:w="115.0" w:type="dxa"/>
        <w:right w:w="115.0" w:type="dxa"/>
      </w:tblCellMar>
    </w:tblPr>
  </w:style>
  <w:style w:type="table" w:styleId="a5" w:customStyle="1">
    <w:basedOn w:val="TableNormal7"/>
    <w:tblPr>
      <w:tblStyleRowBandSize w:val="1"/>
      <w:tblStyleColBandSize w:val="1"/>
      <w:tblCellMar>
        <w:left w:w="115.0" w:type="dxa"/>
        <w:right w:w="115.0" w:type="dxa"/>
      </w:tblCellMar>
    </w:tblPr>
  </w:style>
  <w:style w:type="table" w:styleId="a6" w:customStyle="1">
    <w:basedOn w:val="TableNormal7"/>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375628"/>
    <w:pPr>
      <w:numPr>
        <w:numId w:val="4"/>
      </w:numPr>
      <w:contextualSpacing w:val="1"/>
    </w:pPr>
    <w:rPr>
      <w:sz w:val="20"/>
      <w:szCs w:val="20"/>
      <w:lang w:val="es-ES_tradnl"/>
    </w:rPr>
  </w:style>
  <w:style w:type="table" w:styleId="a7" w:customStyle="1">
    <w:basedOn w:val="TableNormal6"/>
    <w:tblPr>
      <w:tblStyleRowBandSize w:val="1"/>
      <w:tblStyleColBandSize w:val="1"/>
      <w:tblCellMar>
        <w:left w:w="115.0" w:type="dxa"/>
        <w:right w:w="115.0" w:type="dxa"/>
      </w:tblCellMar>
    </w:tblPr>
  </w:style>
  <w:style w:type="table" w:styleId="a8" w:customStyle="1">
    <w:basedOn w:val="TableNormal6"/>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AA3106"/>
    <w:pPr>
      <w:tabs>
        <w:tab w:val="num" w:pos="720"/>
      </w:tabs>
      <w:ind w:left="720" w:hanging="720"/>
      <w:contextualSpacing w:val="1"/>
    </w:pPr>
    <w:rPr>
      <w:lang w:val="es-MX"/>
    </w:r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1"/>
    <w:rPr>
      <w:rFonts w:ascii="Calibri" w:cs="Calibri" w:eastAsia="Calibri" w:hAnsi="Calibri"/>
      <w:sz w:val="22"/>
      <w:szCs w:val="22"/>
    </w:rPr>
    <w:tblPr>
      <w:tblStyleRowBandSize w:val="1"/>
      <w:tblStyleColBandSize w:val="1"/>
      <w:tblCellMar>
        <w:left w:w="108.0" w:type="dxa"/>
        <w:right w:w="108.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0"/>
    <w:rPr>
      <w:rFonts w:ascii="Calibri" w:cs="Calibri" w:eastAsia="Calibri" w:hAnsi="Calibri"/>
      <w:sz w:val="22"/>
      <w:szCs w:val="22"/>
    </w:rPr>
    <w:tblPr>
      <w:tblStyleRowBandSize w:val="1"/>
      <w:tblStyleColBandSize w:val="1"/>
      <w:tblCellMar>
        <w:left w:w="108.0" w:type="dxa"/>
        <w:right w:w="108.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4+YZVF63zQJ9JggVqAQNGpf4w==">CgMxLjAyCWguMzBqMHpsbDIOaC55dGd6YXB3dXdldzUyDmguMTl5amVzZHE2N2p4MgloLjJldDkycDAyDmgubHVjNTE4aXR1cGNqMgloLjNyZGNyam4yCWguMWZvYjl0ZTIIaC5namRneHM4AHIhMXkzWmVxeHUxeGwwVVlOWExVVDFTWDJzWkY1aTRybVF6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2025-11-12T19:12:00Z</dcterms:created>
  <dc:creator>iMac</dc:creator>
</cp:coreProperties>
</file>