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B56C6" w14:textId="77777777" w:rsidR="007D160C" w:rsidRPr="00840499" w:rsidRDefault="00DF6B5B">
      <w:pPr>
        <w:spacing w:before="240" w:after="240" w:line="360" w:lineRule="auto"/>
        <w:jc w:val="both"/>
        <w:rPr>
          <w:rFonts w:ascii="Palatino Linotype" w:eastAsia="Palatino Linotype" w:hAnsi="Palatino Linotype" w:cs="Palatino Linotype"/>
          <w:sz w:val="22"/>
          <w:szCs w:val="22"/>
        </w:rPr>
      </w:pPr>
      <w:bookmarkStart w:id="0" w:name="_heading=h.a55ynvfjznn" w:colFirst="0" w:colLast="0"/>
      <w:bookmarkEnd w:id="0"/>
      <w:r w:rsidRPr="0084049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6E190E" w:rsidRPr="00840499">
        <w:rPr>
          <w:rFonts w:ascii="Palatino Linotype" w:eastAsia="Palatino Linotype" w:hAnsi="Palatino Linotype" w:cs="Palatino Linotype"/>
          <w:b/>
          <w:sz w:val="22"/>
          <w:szCs w:val="22"/>
        </w:rPr>
        <w:t>veintidós de octubre</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 xml:space="preserve">. </w:t>
      </w:r>
    </w:p>
    <w:p w14:paraId="0A7CA474" w14:textId="160837BC" w:rsidR="007D160C" w:rsidRPr="00840499" w:rsidRDefault="00DF6B5B">
      <w:pPr>
        <w:spacing w:before="240" w:after="240"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Visto</w:t>
      </w:r>
      <w:r w:rsidRPr="00840499">
        <w:rPr>
          <w:rFonts w:ascii="Palatino Linotype" w:eastAsia="Palatino Linotype" w:hAnsi="Palatino Linotype" w:cs="Palatino Linotype"/>
          <w:sz w:val="22"/>
          <w:szCs w:val="22"/>
        </w:rPr>
        <w:t xml:space="preserve"> el expediente formado con motivo del recurso de revisión </w:t>
      </w:r>
      <w:r w:rsidR="006E190E" w:rsidRPr="00840499">
        <w:rPr>
          <w:rFonts w:ascii="Palatino Linotype" w:eastAsia="Palatino Linotype" w:hAnsi="Palatino Linotype" w:cs="Palatino Linotype"/>
          <w:b/>
          <w:sz w:val="22"/>
          <w:szCs w:val="22"/>
        </w:rPr>
        <w:t>10534</w:t>
      </w:r>
      <w:r w:rsidRPr="00840499">
        <w:rPr>
          <w:rFonts w:ascii="Palatino Linotype" w:eastAsia="Palatino Linotype" w:hAnsi="Palatino Linotype" w:cs="Palatino Linotype"/>
          <w:b/>
          <w:sz w:val="22"/>
          <w:szCs w:val="22"/>
        </w:rPr>
        <w:t>/INFOEM/AD/RR/2025</w:t>
      </w:r>
      <w:r w:rsidRPr="00840499">
        <w:rPr>
          <w:rFonts w:ascii="Palatino Linotype" w:eastAsia="Palatino Linotype" w:hAnsi="Palatino Linotype" w:cs="Palatino Linotype"/>
          <w:sz w:val="22"/>
          <w:szCs w:val="22"/>
        </w:rPr>
        <w:t xml:space="preserve">, interpuesto por </w:t>
      </w:r>
      <w:r w:rsidR="00B52B36" w:rsidRPr="00B52B36">
        <w:rPr>
          <w:rFonts w:ascii="Palatino Linotype" w:eastAsia="Palatino Linotype" w:hAnsi="Palatino Linotype" w:cs="Palatino Linotype"/>
          <w:b/>
          <w:bCs/>
          <w:sz w:val="22"/>
          <w:szCs w:val="22"/>
        </w:rPr>
        <w:t>XXXXXX XXXXX XXXX XXXXXX</w:t>
      </w:r>
      <w:r w:rsidRPr="00B52B36">
        <w:rPr>
          <w:rFonts w:ascii="Palatino Linotype" w:eastAsia="Palatino Linotype" w:hAnsi="Palatino Linotype" w:cs="Palatino Linotype"/>
          <w:b/>
          <w:bCs/>
          <w:sz w:val="22"/>
          <w:szCs w:val="22"/>
        </w:rPr>
        <w:t>,</w:t>
      </w:r>
      <w:r w:rsidRPr="00840499">
        <w:rPr>
          <w:rFonts w:ascii="Palatino Linotype" w:eastAsia="Palatino Linotype" w:hAnsi="Palatino Linotype" w:cs="Palatino Linotype"/>
          <w:sz w:val="22"/>
          <w:szCs w:val="22"/>
        </w:rPr>
        <w:t xml:space="preserve"> en lo sucesivo</w:t>
      </w:r>
      <w:r w:rsidRPr="00840499">
        <w:rPr>
          <w:rFonts w:ascii="Palatino Linotype" w:eastAsia="Palatino Linotype" w:hAnsi="Palatino Linotype" w:cs="Palatino Linotype"/>
          <w:b/>
          <w:sz w:val="22"/>
          <w:szCs w:val="22"/>
        </w:rPr>
        <w:t xml:space="preserve"> </w:t>
      </w:r>
      <w:r w:rsidRPr="00840499">
        <w:rPr>
          <w:rFonts w:ascii="Palatino Linotype" w:eastAsia="Palatino Linotype" w:hAnsi="Palatino Linotype" w:cs="Palatino Linotype"/>
          <w:sz w:val="22"/>
          <w:szCs w:val="22"/>
        </w:rPr>
        <w:t xml:space="preserve">la parte </w:t>
      </w:r>
      <w:r w:rsidRPr="00840499">
        <w:rPr>
          <w:rFonts w:ascii="Palatino Linotype" w:eastAsia="Palatino Linotype" w:hAnsi="Palatino Linotype" w:cs="Palatino Linotype"/>
          <w:b/>
          <w:sz w:val="22"/>
          <w:szCs w:val="22"/>
        </w:rPr>
        <w:t>Recurrente,</w:t>
      </w:r>
      <w:r w:rsidRPr="00840499">
        <w:rPr>
          <w:rFonts w:ascii="Palatino Linotype" w:eastAsia="Palatino Linotype" w:hAnsi="Palatino Linotype" w:cs="Palatino Linotype"/>
          <w:sz w:val="22"/>
          <w:szCs w:val="22"/>
        </w:rPr>
        <w:t xml:space="preserve"> en contra de la respuesta a su solicitud de acceso a datos personales con número de folio</w:t>
      </w:r>
      <w:r w:rsidRPr="00840499">
        <w:t xml:space="preserve"> </w:t>
      </w:r>
      <w:r w:rsidRPr="00840499">
        <w:rPr>
          <w:rFonts w:ascii="Palatino Linotype" w:eastAsia="Palatino Linotype" w:hAnsi="Palatino Linotype" w:cs="Palatino Linotype"/>
          <w:b/>
          <w:sz w:val="22"/>
          <w:szCs w:val="22"/>
        </w:rPr>
        <w:t>00</w:t>
      </w:r>
      <w:r w:rsidR="006E190E" w:rsidRPr="00840499">
        <w:rPr>
          <w:rFonts w:ascii="Palatino Linotype" w:eastAsia="Palatino Linotype" w:hAnsi="Palatino Linotype" w:cs="Palatino Linotype"/>
          <w:b/>
          <w:sz w:val="22"/>
          <w:szCs w:val="22"/>
        </w:rPr>
        <w:t>903</w:t>
      </w:r>
      <w:r w:rsidRPr="00840499">
        <w:rPr>
          <w:rFonts w:ascii="Palatino Linotype" w:eastAsia="Palatino Linotype" w:hAnsi="Palatino Linotype" w:cs="Palatino Linotype"/>
          <w:b/>
          <w:sz w:val="22"/>
          <w:szCs w:val="22"/>
        </w:rPr>
        <w:t xml:space="preserve">/ISSEMYM/AD/2025, </w:t>
      </w:r>
      <w:r w:rsidRPr="00840499">
        <w:rPr>
          <w:rFonts w:ascii="Palatino Linotype" w:eastAsia="Palatino Linotype" w:hAnsi="Palatino Linotype" w:cs="Palatino Linotype"/>
          <w:sz w:val="22"/>
          <w:szCs w:val="22"/>
        </w:rPr>
        <w:t xml:space="preserve">por parte de la </w:t>
      </w:r>
      <w:r w:rsidRPr="00840499">
        <w:rPr>
          <w:rFonts w:ascii="Palatino Linotype" w:eastAsia="Palatino Linotype" w:hAnsi="Palatino Linotype" w:cs="Palatino Linotype"/>
          <w:b/>
          <w:sz w:val="22"/>
          <w:szCs w:val="22"/>
        </w:rPr>
        <w:t xml:space="preserve">Instituto de Seguridad Social del Estado de México y Municipios, </w:t>
      </w:r>
      <w:r w:rsidRPr="00840499">
        <w:rPr>
          <w:rFonts w:ascii="Palatino Linotype" w:eastAsia="Palatino Linotype" w:hAnsi="Palatino Linotype" w:cs="Palatino Linotype"/>
          <w:sz w:val="22"/>
          <w:szCs w:val="22"/>
        </w:rPr>
        <w:t xml:space="preserve">en lo sucesivo el </w:t>
      </w:r>
      <w:r w:rsidRPr="00840499">
        <w:rPr>
          <w:rFonts w:ascii="Palatino Linotype" w:eastAsia="Palatino Linotype" w:hAnsi="Palatino Linotype" w:cs="Palatino Linotype"/>
          <w:b/>
          <w:sz w:val="22"/>
          <w:szCs w:val="22"/>
        </w:rPr>
        <w:t xml:space="preserve">Sujeto Obligado, </w:t>
      </w:r>
      <w:r w:rsidRPr="00840499">
        <w:rPr>
          <w:rFonts w:ascii="Palatino Linotype" w:eastAsia="Palatino Linotype" w:hAnsi="Palatino Linotype" w:cs="Palatino Linotype"/>
          <w:sz w:val="22"/>
          <w:szCs w:val="22"/>
        </w:rPr>
        <w:t xml:space="preserve">se procede a dictar la presente resolución con base en los siguientes: </w:t>
      </w:r>
    </w:p>
    <w:p w14:paraId="6ABDA44B" w14:textId="77777777" w:rsidR="007D160C" w:rsidRPr="00840499" w:rsidRDefault="00DF6B5B">
      <w:pPr>
        <w:spacing w:before="240" w:after="240" w:line="360" w:lineRule="auto"/>
        <w:jc w:val="center"/>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I. A N T E C E D E N T E S</w:t>
      </w:r>
    </w:p>
    <w:p w14:paraId="0854CD42" w14:textId="77777777" w:rsidR="007D160C" w:rsidRPr="00840499" w:rsidRDefault="00DF6B5B">
      <w:pPr>
        <w:spacing w:before="240" w:after="240"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1. Solicitud de acceso a datos personales.</w:t>
      </w:r>
      <w:r w:rsidRPr="00840499">
        <w:rPr>
          <w:rFonts w:ascii="Palatino Linotype" w:eastAsia="Palatino Linotype" w:hAnsi="Palatino Linotype" w:cs="Palatino Linotype"/>
          <w:sz w:val="22"/>
          <w:szCs w:val="22"/>
        </w:rPr>
        <w:t xml:space="preserve"> El </w:t>
      </w:r>
      <w:r w:rsidR="006E190E" w:rsidRPr="00840499">
        <w:rPr>
          <w:rFonts w:ascii="Palatino Linotype" w:eastAsia="Palatino Linotype" w:hAnsi="Palatino Linotype" w:cs="Palatino Linotype"/>
          <w:b/>
          <w:sz w:val="22"/>
          <w:szCs w:val="22"/>
        </w:rPr>
        <w:t>catorce de julio</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 xml:space="preserve"> </w:t>
      </w:r>
      <w:r w:rsidRPr="00840499">
        <w:rPr>
          <w:rFonts w:ascii="Palatino Linotype" w:eastAsia="Palatino Linotype" w:hAnsi="Palatino Linotype" w:cs="Palatino Linotype"/>
          <w:b/>
          <w:sz w:val="22"/>
          <w:szCs w:val="22"/>
        </w:rPr>
        <w:t>la parte</w:t>
      </w:r>
      <w:r w:rsidRPr="00840499">
        <w:rPr>
          <w:rFonts w:ascii="Palatino Linotype" w:eastAsia="Palatino Linotype" w:hAnsi="Palatino Linotype" w:cs="Palatino Linotype"/>
          <w:sz w:val="22"/>
          <w:szCs w:val="22"/>
        </w:rPr>
        <w:t xml:space="preserve"> </w:t>
      </w:r>
      <w:r w:rsidRPr="00840499">
        <w:rPr>
          <w:rFonts w:ascii="Palatino Linotype" w:eastAsia="Palatino Linotype" w:hAnsi="Palatino Linotype" w:cs="Palatino Linotype"/>
          <w:b/>
          <w:sz w:val="22"/>
          <w:szCs w:val="22"/>
        </w:rPr>
        <w:t xml:space="preserve">Recurrente </w:t>
      </w:r>
      <w:r w:rsidRPr="00840499">
        <w:rPr>
          <w:rFonts w:ascii="Palatino Linotype" w:eastAsia="Palatino Linotype" w:hAnsi="Palatino Linotype" w:cs="Palatino Linotype"/>
          <w:sz w:val="22"/>
          <w:szCs w:val="22"/>
        </w:rPr>
        <w:t xml:space="preserve">presentó, a través del Sistema de Acceso, Rectificación, Cancelación y Oposición de Datos Personales del Estado de México, en lo subsecuente el </w:t>
      </w:r>
      <w:r w:rsidRPr="00840499">
        <w:rPr>
          <w:rFonts w:ascii="Palatino Linotype" w:eastAsia="Palatino Linotype" w:hAnsi="Palatino Linotype" w:cs="Palatino Linotype"/>
          <w:b/>
          <w:sz w:val="22"/>
          <w:szCs w:val="22"/>
        </w:rPr>
        <w:t>SARCOEM,</w:t>
      </w:r>
      <w:r w:rsidRPr="00840499">
        <w:rPr>
          <w:rFonts w:ascii="Palatino Linotype" w:eastAsia="Palatino Linotype" w:hAnsi="Palatino Linotype" w:cs="Palatino Linotype"/>
          <w:sz w:val="22"/>
          <w:szCs w:val="22"/>
        </w:rPr>
        <w:t xml:space="preserve"> ante el </w:t>
      </w:r>
      <w:r w:rsidRPr="00840499">
        <w:rPr>
          <w:rFonts w:ascii="Palatino Linotype" w:eastAsia="Palatino Linotype" w:hAnsi="Palatino Linotype" w:cs="Palatino Linotype"/>
          <w:b/>
          <w:sz w:val="22"/>
          <w:szCs w:val="22"/>
        </w:rPr>
        <w:t>Sujeto Obligado</w:t>
      </w:r>
      <w:r w:rsidRPr="00840499">
        <w:rPr>
          <w:rFonts w:ascii="Palatino Linotype" w:eastAsia="Palatino Linotype" w:hAnsi="Palatino Linotype" w:cs="Palatino Linotype"/>
          <w:sz w:val="22"/>
          <w:szCs w:val="22"/>
        </w:rPr>
        <w:t xml:space="preserve">, la solicitud de acceso a datos personales, mediante la cual requirió le fuese entregado lo siguiente: </w:t>
      </w:r>
    </w:p>
    <w:p w14:paraId="385301B1" w14:textId="6A551917" w:rsidR="007D160C" w:rsidRPr="00840499" w:rsidRDefault="00DF6B5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840499">
        <w:rPr>
          <w:rFonts w:ascii="Palatino Linotype" w:eastAsia="Palatino Linotype" w:hAnsi="Palatino Linotype" w:cs="Palatino Linotype"/>
          <w:i/>
          <w:sz w:val="22"/>
          <w:szCs w:val="22"/>
        </w:rPr>
        <w:t>“</w:t>
      </w:r>
      <w:r w:rsidR="006E190E" w:rsidRPr="00840499">
        <w:rPr>
          <w:i/>
          <w:sz w:val="22"/>
        </w:rPr>
        <w:t xml:space="preserve">SOLICITO COPIA CERTIFICADA DEL EXPEDIENTE CLINICO DE MI ESPOSO FALLECIDO </w:t>
      </w:r>
      <w:r w:rsidR="00B52B36">
        <w:rPr>
          <w:i/>
          <w:sz w:val="22"/>
        </w:rPr>
        <w:t>XXXXXXXX XXXXX XXXXXXXX</w:t>
      </w:r>
      <w:r w:rsidR="006E190E" w:rsidRPr="00840499">
        <w:rPr>
          <w:i/>
          <w:sz w:val="22"/>
        </w:rPr>
        <w:t xml:space="preserve">, CLAVE ISSEMYM </w:t>
      </w:r>
      <w:r w:rsidR="00B52B36">
        <w:rPr>
          <w:i/>
          <w:sz w:val="22"/>
        </w:rPr>
        <w:t>XXXXXXXXX</w:t>
      </w:r>
      <w:r w:rsidR="006E190E" w:rsidRPr="00840499">
        <w:rPr>
          <w:i/>
          <w:sz w:val="22"/>
        </w:rPr>
        <w:t>, DE LA CCE NAUCALPAN, DE LOS AÑOS 2022, 2023, 2024 Y 2025</w:t>
      </w:r>
      <w:r w:rsidRPr="00840499">
        <w:rPr>
          <w:rFonts w:ascii="Palatino Linotype" w:eastAsia="Palatino Linotype" w:hAnsi="Palatino Linotype" w:cs="Palatino Linotype"/>
          <w:i/>
          <w:sz w:val="22"/>
          <w:szCs w:val="22"/>
        </w:rPr>
        <w:t xml:space="preserve">” (sic) </w:t>
      </w:r>
    </w:p>
    <w:p w14:paraId="6374BD4A" w14:textId="77777777" w:rsidR="007D160C" w:rsidRPr="00840499" w:rsidRDefault="00DF6B5B">
      <w:pPr>
        <w:spacing w:before="240" w:after="240" w:line="360" w:lineRule="auto"/>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Modalidad de acceso a la información:</w:t>
      </w:r>
      <w:r w:rsidRPr="00840499">
        <w:rPr>
          <w:rFonts w:ascii="Palatino Linotype" w:eastAsia="Palatino Linotype" w:hAnsi="Palatino Linotype" w:cs="Palatino Linotype"/>
          <w:sz w:val="22"/>
          <w:szCs w:val="22"/>
        </w:rPr>
        <w:t xml:space="preserve"> a través de</w:t>
      </w:r>
      <w:r w:rsidRPr="00840499">
        <w:rPr>
          <w:rFonts w:ascii="Palatino Linotype" w:eastAsia="Palatino Linotype" w:hAnsi="Palatino Linotype" w:cs="Palatino Linotype"/>
          <w:b/>
          <w:sz w:val="22"/>
          <w:szCs w:val="22"/>
        </w:rPr>
        <w:t xml:space="preserve"> </w:t>
      </w:r>
      <w:r w:rsidRPr="00840499">
        <w:rPr>
          <w:rFonts w:ascii="Palatino Linotype" w:eastAsia="Palatino Linotype" w:hAnsi="Palatino Linotype" w:cs="Palatino Linotype"/>
          <w:b/>
          <w:sz w:val="22"/>
          <w:szCs w:val="22"/>
          <w:u w:val="single"/>
        </w:rPr>
        <w:t>copias certificadas</w:t>
      </w:r>
      <w:r w:rsidRPr="00840499">
        <w:rPr>
          <w:rFonts w:ascii="Palatino Linotype" w:eastAsia="Palatino Linotype" w:hAnsi="Palatino Linotype" w:cs="Palatino Linotype"/>
          <w:b/>
          <w:sz w:val="22"/>
          <w:szCs w:val="22"/>
        </w:rPr>
        <w:t xml:space="preserve"> (con costo).</w:t>
      </w:r>
    </w:p>
    <w:p w14:paraId="108E9F7F" w14:textId="77777777" w:rsidR="007D160C" w:rsidRPr="00840499" w:rsidRDefault="007D160C">
      <w:pPr>
        <w:spacing w:before="240" w:after="240" w:line="360" w:lineRule="auto"/>
        <w:jc w:val="both"/>
        <w:rPr>
          <w:rFonts w:ascii="Palatino Linotype" w:eastAsia="Palatino Linotype" w:hAnsi="Palatino Linotype" w:cs="Palatino Linotype"/>
          <w:b/>
          <w:sz w:val="22"/>
          <w:szCs w:val="22"/>
        </w:rPr>
      </w:pPr>
    </w:p>
    <w:p w14:paraId="4A8975EC" w14:textId="77777777" w:rsidR="006E190E" w:rsidRPr="00840499" w:rsidRDefault="006E190E" w:rsidP="006E190E">
      <w:pPr>
        <w:spacing w:after="160" w:line="360" w:lineRule="auto"/>
        <w:ind w:left="567" w:right="900"/>
        <w:rPr>
          <w:rFonts w:ascii="Palatino Linotype" w:eastAsia="Calibri" w:hAnsi="Palatino Linotype"/>
          <w:b/>
          <w:sz w:val="22"/>
          <w:lang w:eastAsia="en-US"/>
        </w:rPr>
      </w:pPr>
      <w:bookmarkStart w:id="2" w:name="_heading=h.3dy6vkm" w:colFirst="0" w:colLast="0"/>
      <w:bookmarkEnd w:id="2"/>
      <w:r w:rsidRPr="00840499">
        <w:rPr>
          <w:rFonts w:ascii="Palatino Linotype" w:eastAsia="Calibri" w:hAnsi="Palatino Linotype"/>
          <w:b/>
          <w:sz w:val="22"/>
          <w:lang w:eastAsia="en-US"/>
        </w:rPr>
        <w:lastRenderedPageBreak/>
        <w:t xml:space="preserve">Archivos adjuntos: </w:t>
      </w:r>
    </w:p>
    <w:p w14:paraId="167DADB6" w14:textId="77777777" w:rsidR="006E190E" w:rsidRPr="00840499" w:rsidRDefault="006E190E" w:rsidP="006E190E">
      <w:pPr>
        <w:spacing w:after="160" w:line="360" w:lineRule="auto"/>
        <w:ind w:left="567" w:right="900"/>
        <w:rPr>
          <w:rFonts w:ascii="Palatino Linotype" w:eastAsia="Calibri" w:hAnsi="Palatino Linotype"/>
          <w:b/>
          <w:sz w:val="22"/>
          <w:lang w:eastAsia="en-US"/>
        </w:rPr>
      </w:pPr>
      <w:r w:rsidRPr="00840499">
        <w:rPr>
          <w:rFonts w:ascii="Palatino Linotype" w:eastAsia="Calibri" w:hAnsi="Palatino Linotype"/>
          <w:b/>
          <w:sz w:val="22"/>
          <w:lang w:eastAsia="en-US"/>
        </w:rPr>
        <w:t>-Credenciales para votar expedidas por el Instituto Nacional Electoral a favor de la solicitante y la persona fallecida referida en la solicitud.</w:t>
      </w:r>
    </w:p>
    <w:p w14:paraId="6E7DE3D3" w14:textId="77777777" w:rsidR="006E190E" w:rsidRPr="00840499" w:rsidRDefault="006E190E" w:rsidP="006E190E">
      <w:pPr>
        <w:spacing w:after="160" w:line="360" w:lineRule="auto"/>
        <w:ind w:left="567" w:right="900"/>
        <w:rPr>
          <w:rFonts w:ascii="Palatino Linotype" w:eastAsia="Calibri" w:hAnsi="Palatino Linotype"/>
          <w:b/>
          <w:sz w:val="22"/>
          <w:lang w:eastAsia="en-US"/>
        </w:rPr>
      </w:pPr>
      <w:r w:rsidRPr="00840499">
        <w:rPr>
          <w:rFonts w:ascii="Palatino Linotype" w:eastAsia="Calibri" w:hAnsi="Palatino Linotype"/>
          <w:b/>
          <w:sz w:val="22"/>
          <w:lang w:eastAsia="en-US"/>
        </w:rPr>
        <w:t>-Acta de defunción de la persona fallecida.</w:t>
      </w:r>
    </w:p>
    <w:p w14:paraId="6E9A0525" w14:textId="77777777" w:rsidR="006E190E" w:rsidRPr="00840499" w:rsidRDefault="006E190E" w:rsidP="006E190E">
      <w:pPr>
        <w:spacing w:after="160" w:line="360" w:lineRule="auto"/>
        <w:ind w:left="567" w:right="900"/>
        <w:rPr>
          <w:rFonts w:ascii="Palatino Linotype" w:eastAsia="Calibri" w:hAnsi="Palatino Linotype"/>
          <w:b/>
          <w:sz w:val="22"/>
          <w:lang w:eastAsia="en-US"/>
        </w:rPr>
      </w:pPr>
      <w:r w:rsidRPr="00840499">
        <w:rPr>
          <w:rFonts w:ascii="Palatino Linotype" w:eastAsia="Calibri" w:hAnsi="Palatino Linotype"/>
          <w:b/>
          <w:sz w:val="22"/>
          <w:lang w:eastAsia="en-US"/>
        </w:rPr>
        <w:t>-Acta de matrimonio entre la persona fallecida y la solicitante.</w:t>
      </w:r>
    </w:p>
    <w:p w14:paraId="25C44112"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 xml:space="preserve">2. Solicitud de Aclaración. </w:t>
      </w:r>
      <w:r w:rsidRPr="00840499">
        <w:rPr>
          <w:rFonts w:ascii="Palatino Linotype" w:eastAsia="Palatino Linotype" w:hAnsi="Palatino Linotype" w:cs="Palatino Linotype"/>
          <w:sz w:val="22"/>
          <w:szCs w:val="22"/>
        </w:rPr>
        <w:t>El</w:t>
      </w:r>
      <w:r w:rsidRPr="00840499">
        <w:rPr>
          <w:rFonts w:ascii="Palatino Linotype" w:eastAsia="Palatino Linotype" w:hAnsi="Palatino Linotype" w:cs="Palatino Linotype"/>
          <w:b/>
          <w:sz w:val="22"/>
          <w:szCs w:val="22"/>
        </w:rPr>
        <w:t xml:space="preserve"> </w:t>
      </w:r>
      <w:r w:rsidR="006E190E" w:rsidRPr="00840499">
        <w:rPr>
          <w:rFonts w:ascii="Palatino Linotype" w:eastAsia="Palatino Linotype" w:hAnsi="Palatino Linotype" w:cs="Palatino Linotype"/>
          <w:b/>
          <w:sz w:val="22"/>
          <w:szCs w:val="22"/>
        </w:rPr>
        <w:t>diecisiete de julio</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 el</w:t>
      </w:r>
      <w:r w:rsidRPr="00840499">
        <w:rPr>
          <w:rFonts w:ascii="Palatino Linotype" w:eastAsia="Palatino Linotype" w:hAnsi="Palatino Linotype" w:cs="Palatino Linotype"/>
          <w:b/>
          <w:sz w:val="22"/>
          <w:szCs w:val="22"/>
        </w:rPr>
        <w:t xml:space="preserve"> Sujeto Obligado </w:t>
      </w:r>
      <w:r w:rsidRPr="00840499">
        <w:rPr>
          <w:rFonts w:ascii="Palatino Linotype" w:eastAsia="Palatino Linotype" w:hAnsi="Palatino Linotype" w:cs="Palatino Linotype"/>
          <w:sz w:val="22"/>
          <w:szCs w:val="22"/>
        </w:rPr>
        <w:t>requirió al particular, la aclaración, en los siguientes términos:</w:t>
      </w:r>
    </w:p>
    <w:p w14:paraId="75012747" w14:textId="77777777" w:rsidR="006E190E" w:rsidRPr="00840499" w:rsidRDefault="00DF6B5B" w:rsidP="006E190E">
      <w:pPr>
        <w:spacing w:before="240" w:after="240" w:line="276" w:lineRule="auto"/>
        <w:ind w:left="567" w:right="900"/>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sz w:val="22"/>
          <w:szCs w:val="22"/>
        </w:rPr>
        <w:t>“…</w:t>
      </w:r>
      <w:r w:rsidR="006E190E" w:rsidRPr="00840499">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484CC388" w14:textId="77777777" w:rsidR="006E190E" w:rsidRPr="00840499" w:rsidRDefault="006E190E" w:rsidP="006E190E">
      <w:pPr>
        <w:spacing w:before="240" w:after="240" w:line="276" w:lineRule="auto"/>
        <w:ind w:left="567" w:right="900"/>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el horario para trámites en el Módulo de Transparencia es de 9: 00 a 15:00 horas.</w:t>
      </w:r>
    </w:p>
    <w:p w14:paraId="43F6123F" w14:textId="77777777" w:rsidR="007D160C" w:rsidRPr="00840499" w:rsidRDefault="006E190E">
      <w:pPr>
        <w:spacing w:before="240" w:after="240" w:line="276" w:lineRule="auto"/>
        <w:ind w:left="567" w:right="900"/>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DF6B5B" w:rsidRPr="00840499">
        <w:rPr>
          <w:rFonts w:ascii="Palatino Linotype" w:eastAsia="Palatino Linotype" w:hAnsi="Palatino Linotype" w:cs="Palatino Linotype"/>
          <w:i/>
          <w:sz w:val="22"/>
          <w:szCs w:val="22"/>
        </w:rPr>
        <w:t>”</w:t>
      </w:r>
    </w:p>
    <w:p w14:paraId="5226CC8F" w14:textId="77777777" w:rsidR="007D160C" w:rsidRPr="00840499" w:rsidRDefault="00DF6B5B">
      <w:pPr>
        <w:spacing w:before="240" w:after="240" w:line="276" w:lineRule="auto"/>
        <w:ind w:left="567" w:right="900"/>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 xml:space="preserve">Archivos adjuntos: </w:t>
      </w:r>
    </w:p>
    <w:p w14:paraId="35826357" w14:textId="77777777" w:rsidR="007D160C" w:rsidRPr="00840499" w:rsidRDefault="00DF6B5B">
      <w:pPr>
        <w:spacing w:before="240" w:after="240" w:line="360" w:lineRule="auto"/>
        <w:ind w:left="567" w:right="900"/>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i/>
          <w:sz w:val="22"/>
          <w:szCs w:val="22"/>
        </w:rPr>
        <w:lastRenderedPageBreak/>
        <w:t xml:space="preserve">“ACLARACIÓN </w:t>
      </w:r>
      <w:r w:rsidR="006E190E" w:rsidRPr="00840499">
        <w:rPr>
          <w:rFonts w:ascii="Palatino Linotype" w:eastAsia="Palatino Linotype" w:hAnsi="Palatino Linotype" w:cs="Palatino Linotype"/>
          <w:b/>
          <w:i/>
          <w:sz w:val="22"/>
          <w:szCs w:val="22"/>
        </w:rPr>
        <w:t>903</w:t>
      </w:r>
      <w:r w:rsidRPr="00840499">
        <w:rPr>
          <w:rFonts w:ascii="Palatino Linotype" w:eastAsia="Palatino Linotype" w:hAnsi="Palatino Linotype" w:cs="Palatino Linotype"/>
          <w:b/>
          <w:i/>
          <w:sz w:val="22"/>
          <w:szCs w:val="22"/>
        </w:rPr>
        <w:t xml:space="preserve">.AD.2025.pdf”: </w:t>
      </w:r>
      <w:r w:rsidRPr="00840499">
        <w:rPr>
          <w:rFonts w:ascii="Palatino Linotype" w:eastAsia="Palatino Linotype" w:hAnsi="Palatino Linotype" w:cs="Palatino Linotype"/>
          <w:sz w:val="22"/>
          <w:szCs w:val="22"/>
        </w:rPr>
        <w:t>Consiste en un escrito signado por la Jefa del Departamento de Acceso a la Información Institucional a través del cual formuló</w:t>
      </w:r>
      <w:r w:rsidR="006E190E" w:rsidRPr="00840499">
        <w:rPr>
          <w:rFonts w:ascii="Palatino Linotype" w:eastAsia="Calibri" w:hAnsi="Palatino Linotype"/>
          <w:sz w:val="22"/>
          <w:lang w:eastAsia="en-US"/>
        </w:rPr>
        <w:t xml:space="preserve"> una aclaración a la persona solicitante a fin de que presentara el documento mediante el cual acreditara la representación legal de la persona de quien se solicitan los datos; otorgando para tal efecto el plazo de diez días hábiles contados a partir del día hábil siguiente a aquel en que surta sus efectos la notificación respectiva.</w:t>
      </w:r>
    </w:p>
    <w:p w14:paraId="6629CED4" w14:textId="77777777" w:rsidR="007D160C" w:rsidRPr="00840499" w:rsidRDefault="00DF6B5B">
      <w:pPr>
        <w:spacing w:before="240" w:after="240" w:line="360" w:lineRule="auto"/>
        <w:ind w:right="49"/>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 xml:space="preserve">3. Desahogo de la aclaración. </w:t>
      </w:r>
      <w:r w:rsidRPr="00840499">
        <w:rPr>
          <w:rFonts w:ascii="Palatino Linotype" w:eastAsia="Palatino Linotype" w:hAnsi="Palatino Linotype" w:cs="Palatino Linotype"/>
          <w:sz w:val="22"/>
          <w:szCs w:val="22"/>
        </w:rPr>
        <w:t xml:space="preserve">Es de precisar que, de las constancias que obran en </w:t>
      </w:r>
      <w:r w:rsidRPr="00840499">
        <w:rPr>
          <w:rFonts w:ascii="Palatino Linotype" w:eastAsia="Palatino Linotype" w:hAnsi="Palatino Linotype" w:cs="Palatino Linotype"/>
          <w:b/>
          <w:sz w:val="22"/>
          <w:szCs w:val="22"/>
        </w:rPr>
        <w:t>SARCOEM</w:t>
      </w:r>
      <w:r w:rsidRPr="00840499">
        <w:rPr>
          <w:rFonts w:ascii="Palatino Linotype" w:eastAsia="Palatino Linotype" w:hAnsi="Palatino Linotype" w:cs="Palatino Linotype"/>
          <w:sz w:val="22"/>
          <w:szCs w:val="22"/>
        </w:rPr>
        <w:t>, se observa que la persona solicitante fue omisa en desahogar la aclaración solicitada.</w:t>
      </w:r>
    </w:p>
    <w:p w14:paraId="6CF08D21" w14:textId="77777777" w:rsidR="007D160C" w:rsidRPr="00840499" w:rsidRDefault="00DF6B5B">
      <w:pPr>
        <w:spacing w:before="240" w:after="240"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 xml:space="preserve">4. No Presentó Aclaración. </w:t>
      </w:r>
      <w:r w:rsidRPr="00840499">
        <w:rPr>
          <w:rFonts w:ascii="Palatino Linotype" w:eastAsia="Palatino Linotype" w:hAnsi="Palatino Linotype" w:cs="Palatino Linotype"/>
          <w:sz w:val="22"/>
          <w:szCs w:val="22"/>
        </w:rPr>
        <w:t xml:space="preserve">En fecha </w:t>
      </w:r>
      <w:r w:rsidR="006E190E" w:rsidRPr="00840499">
        <w:rPr>
          <w:rFonts w:ascii="Palatino Linotype" w:eastAsia="Palatino Linotype" w:hAnsi="Palatino Linotype" w:cs="Palatino Linotype"/>
          <w:b/>
          <w:sz w:val="22"/>
          <w:szCs w:val="22"/>
        </w:rPr>
        <w:t>veintidós de agosto</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 xml:space="preserve">, atendiendo que la parte </w:t>
      </w:r>
      <w:r w:rsidRPr="00840499">
        <w:rPr>
          <w:rFonts w:ascii="Palatino Linotype" w:eastAsia="Palatino Linotype" w:hAnsi="Palatino Linotype" w:cs="Palatino Linotype"/>
          <w:b/>
          <w:sz w:val="22"/>
          <w:szCs w:val="22"/>
        </w:rPr>
        <w:t xml:space="preserve">Recurrente </w:t>
      </w:r>
      <w:r w:rsidRPr="00840499">
        <w:rPr>
          <w:rFonts w:ascii="Palatino Linotype" w:eastAsia="Palatino Linotype" w:hAnsi="Palatino Linotype" w:cs="Palatino Linotype"/>
          <w:sz w:val="22"/>
          <w:szCs w:val="22"/>
        </w:rPr>
        <w:t xml:space="preserve">fue omisa en desahogar la aclaración solicitada, el </w:t>
      </w:r>
      <w:r w:rsidRPr="00840499">
        <w:rPr>
          <w:rFonts w:ascii="Palatino Linotype" w:eastAsia="Palatino Linotype" w:hAnsi="Palatino Linotype" w:cs="Palatino Linotype"/>
          <w:b/>
          <w:sz w:val="22"/>
          <w:szCs w:val="22"/>
        </w:rPr>
        <w:t xml:space="preserve">Sujeto Obligado </w:t>
      </w:r>
      <w:r w:rsidRPr="00840499">
        <w:rPr>
          <w:rFonts w:ascii="Palatino Linotype" w:eastAsia="Palatino Linotype" w:hAnsi="Palatino Linotype" w:cs="Palatino Linotype"/>
          <w:sz w:val="22"/>
          <w:szCs w:val="22"/>
        </w:rPr>
        <w:t>tuvo por no presentada la solicitud, en los siguientes términos:</w:t>
      </w:r>
    </w:p>
    <w:p w14:paraId="63631D54" w14:textId="77777777" w:rsidR="006E190E" w:rsidRPr="00840499" w:rsidRDefault="00DF6B5B" w:rsidP="006E190E">
      <w:pPr>
        <w:spacing w:before="240" w:after="240" w:line="360" w:lineRule="auto"/>
        <w:ind w:left="567" w:right="616"/>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w:t>
      </w:r>
      <w:r w:rsidR="006E190E" w:rsidRPr="00840499">
        <w:rPr>
          <w:rFonts w:ascii="Palatino Linotype" w:eastAsia="Palatino Linotype" w:hAnsi="Palatino Linotype" w:cs="Palatino Linotype"/>
          <w:i/>
          <w:sz w:val="22"/>
          <w:szCs w:val="22"/>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6C69008C" w14:textId="77777777" w:rsidR="006E190E" w:rsidRPr="00840499" w:rsidRDefault="006E190E" w:rsidP="006E190E">
      <w:pPr>
        <w:spacing w:before="240" w:after="240" w:line="360" w:lineRule="auto"/>
        <w:ind w:left="567" w:right="616"/>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Toluca, México, agosto de 2025.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p w14:paraId="1346DD51" w14:textId="77777777" w:rsidR="007D160C" w:rsidRPr="00840499" w:rsidRDefault="006E190E" w:rsidP="006E190E">
      <w:pPr>
        <w:spacing w:before="240" w:after="240" w:line="360" w:lineRule="auto"/>
        <w:ind w:left="567" w:right="616"/>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sidR="00DF6B5B" w:rsidRPr="00840499">
        <w:rPr>
          <w:rFonts w:ascii="Palatino Linotype" w:eastAsia="Palatino Linotype" w:hAnsi="Palatino Linotype" w:cs="Palatino Linotype"/>
          <w:i/>
          <w:sz w:val="22"/>
          <w:szCs w:val="22"/>
        </w:rPr>
        <w:t>” (Sic)</w:t>
      </w:r>
    </w:p>
    <w:p w14:paraId="20A539FB" w14:textId="77777777" w:rsidR="007D160C" w:rsidRPr="00840499" w:rsidRDefault="00DF6B5B">
      <w:pPr>
        <w:spacing w:before="240" w:after="240" w:line="360" w:lineRule="auto"/>
        <w:ind w:left="567" w:right="616"/>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Anexos adjuntos:</w:t>
      </w:r>
    </w:p>
    <w:p w14:paraId="7DAE0595" w14:textId="77777777" w:rsidR="007D160C" w:rsidRPr="00840499" w:rsidRDefault="00DF6B5B">
      <w:pPr>
        <w:spacing w:line="360" w:lineRule="auto"/>
        <w:ind w:left="567" w:right="616"/>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i/>
          <w:sz w:val="22"/>
          <w:szCs w:val="22"/>
        </w:rPr>
        <w:t xml:space="preserve">“NO PRESENTADA-AD.pdf”: </w:t>
      </w:r>
      <w:r w:rsidRPr="00840499">
        <w:rPr>
          <w:rFonts w:ascii="Palatino Linotype" w:eastAsia="Palatino Linotype" w:hAnsi="Palatino Linotype" w:cs="Palatino Linotype"/>
          <w:sz w:val="22"/>
          <w:szCs w:val="22"/>
        </w:rPr>
        <w:t xml:space="preserve">Oficio a través del cual la Unidad de Transparencia del </w:t>
      </w:r>
      <w:r w:rsidRPr="00840499">
        <w:rPr>
          <w:rFonts w:ascii="Palatino Linotype" w:eastAsia="Palatino Linotype" w:hAnsi="Palatino Linotype" w:cs="Palatino Linotype"/>
          <w:b/>
          <w:sz w:val="22"/>
          <w:szCs w:val="22"/>
        </w:rPr>
        <w:t xml:space="preserve">Sujeto Obligado, </w:t>
      </w:r>
      <w:r w:rsidRPr="00840499">
        <w:rPr>
          <w:rFonts w:ascii="Palatino Linotype" w:eastAsia="Palatino Linotype" w:hAnsi="Palatino Linotype" w:cs="Palatino Linotype"/>
          <w:sz w:val="22"/>
          <w:szCs w:val="22"/>
        </w:rPr>
        <w:t>con fundamento en el artículo 111, segundo párrafo de la Ley de Protección de Datos Personales en Posesión de Sujetos Obligados del Estado de México y Municipios tuvo por no presentada la solicitud, al no haberse desahogado la solicitud de aclaración.</w:t>
      </w:r>
    </w:p>
    <w:p w14:paraId="18191633" w14:textId="77777777" w:rsidR="007D160C" w:rsidRPr="00840499" w:rsidRDefault="00DF6B5B">
      <w:pPr>
        <w:spacing w:before="240" w:after="240" w:line="360" w:lineRule="auto"/>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 xml:space="preserve">5. Interposición del recurso de revisión. </w:t>
      </w:r>
      <w:r w:rsidRPr="00840499">
        <w:rPr>
          <w:rFonts w:ascii="Palatino Linotype" w:eastAsia="Palatino Linotype" w:hAnsi="Palatino Linotype" w:cs="Palatino Linotype"/>
          <w:sz w:val="22"/>
          <w:szCs w:val="22"/>
        </w:rPr>
        <w:t xml:space="preserve">El </w:t>
      </w:r>
      <w:r w:rsidRPr="00840499">
        <w:rPr>
          <w:rFonts w:ascii="Palatino Linotype" w:eastAsia="Palatino Linotype" w:hAnsi="Palatino Linotype" w:cs="Palatino Linotype"/>
          <w:b/>
          <w:sz w:val="22"/>
          <w:szCs w:val="22"/>
        </w:rPr>
        <w:t xml:space="preserve">nueve </w:t>
      </w:r>
      <w:r w:rsidR="007C7386" w:rsidRPr="00840499">
        <w:rPr>
          <w:rFonts w:ascii="Palatino Linotype" w:eastAsia="Palatino Linotype" w:hAnsi="Palatino Linotype" w:cs="Palatino Linotype"/>
          <w:b/>
          <w:sz w:val="22"/>
          <w:szCs w:val="22"/>
        </w:rPr>
        <w:t xml:space="preserve">de </w:t>
      </w:r>
      <w:r w:rsidR="0038276E" w:rsidRPr="00840499">
        <w:rPr>
          <w:rFonts w:ascii="Palatino Linotype" w:eastAsia="Palatino Linotype" w:hAnsi="Palatino Linotype" w:cs="Palatino Linotype"/>
          <w:b/>
          <w:sz w:val="22"/>
          <w:szCs w:val="22"/>
        </w:rPr>
        <w:t>septiembre</w:t>
      </w:r>
      <w:r w:rsidR="007C7386" w:rsidRPr="00840499">
        <w:rPr>
          <w:rFonts w:ascii="Palatino Linotype" w:eastAsia="Palatino Linotype" w:hAnsi="Palatino Linotype" w:cs="Palatino Linotype"/>
          <w:b/>
          <w:sz w:val="22"/>
          <w:szCs w:val="22"/>
        </w:rPr>
        <w:t xml:space="preserve"> </w:t>
      </w:r>
      <w:r w:rsidRPr="00840499">
        <w:rPr>
          <w:rFonts w:ascii="Palatino Linotype" w:eastAsia="Palatino Linotype" w:hAnsi="Palatino Linotype" w:cs="Palatino Linotype"/>
          <w:b/>
          <w:sz w:val="22"/>
          <w:szCs w:val="22"/>
        </w:rPr>
        <w:t>dos mil veinticinco</w:t>
      </w:r>
      <w:r w:rsidR="00EA592B" w:rsidRPr="00840499">
        <w:rPr>
          <w:rFonts w:ascii="Palatino Linotype" w:eastAsia="Palatino Linotype" w:hAnsi="Palatino Linotype" w:cs="Palatino Linotype"/>
          <w:b/>
          <w:sz w:val="22"/>
          <w:szCs w:val="22"/>
        </w:rPr>
        <w:t xml:space="preserve">, </w:t>
      </w:r>
      <w:r w:rsidRPr="00840499">
        <w:rPr>
          <w:rFonts w:ascii="Palatino Linotype" w:eastAsia="Palatino Linotype" w:hAnsi="Palatino Linotype" w:cs="Palatino Linotype"/>
          <w:sz w:val="22"/>
          <w:szCs w:val="22"/>
        </w:rPr>
        <w:t xml:space="preserve">la parte </w:t>
      </w:r>
      <w:r w:rsidRPr="00840499">
        <w:rPr>
          <w:rFonts w:ascii="Palatino Linotype" w:eastAsia="Palatino Linotype" w:hAnsi="Palatino Linotype" w:cs="Palatino Linotype"/>
          <w:b/>
          <w:sz w:val="22"/>
          <w:szCs w:val="22"/>
        </w:rPr>
        <w:t>Recurrente</w:t>
      </w:r>
      <w:r w:rsidRPr="00840499">
        <w:rPr>
          <w:rFonts w:ascii="Palatino Linotype" w:eastAsia="Palatino Linotype" w:hAnsi="Palatino Linotype" w:cs="Palatino Linotype"/>
          <w:sz w:val="22"/>
          <w:szCs w:val="22"/>
        </w:rPr>
        <w:t xml:space="preserve"> interpuso el recurso de revisión a través del </w:t>
      </w:r>
      <w:r w:rsidRPr="00840499">
        <w:rPr>
          <w:rFonts w:ascii="Palatino Linotype" w:eastAsia="Palatino Linotype" w:hAnsi="Palatino Linotype" w:cs="Palatino Linotype"/>
          <w:b/>
          <w:sz w:val="22"/>
          <w:szCs w:val="22"/>
        </w:rPr>
        <w:t xml:space="preserve">SARCOEM, </w:t>
      </w:r>
      <w:r w:rsidRPr="00840499">
        <w:rPr>
          <w:rFonts w:ascii="Palatino Linotype" w:eastAsia="Palatino Linotype" w:hAnsi="Palatino Linotype" w:cs="Palatino Linotype"/>
          <w:sz w:val="22"/>
          <w:szCs w:val="22"/>
        </w:rPr>
        <w:t>en donde se manifestó de la siguiente manera:</w:t>
      </w:r>
    </w:p>
    <w:p w14:paraId="157559C1" w14:textId="77777777" w:rsidR="007D160C" w:rsidRPr="00840499" w:rsidRDefault="00DF6B5B">
      <w:pPr>
        <w:tabs>
          <w:tab w:val="left" w:pos="2745"/>
        </w:tabs>
        <w:spacing w:before="240" w:after="240" w:line="360" w:lineRule="auto"/>
        <w:ind w:left="567"/>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 xml:space="preserve">a) Acto impugnado: </w:t>
      </w:r>
    </w:p>
    <w:p w14:paraId="5200EF91" w14:textId="77777777" w:rsidR="007D160C" w:rsidRPr="00840499" w:rsidRDefault="00DF6B5B">
      <w:pPr>
        <w:tabs>
          <w:tab w:val="left" w:pos="2745"/>
        </w:tabs>
        <w:spacing w:before="240" w:after="240"/>
        <w:ind w:left="851" w:right="900"/>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w:t>
      </w:r>
      <w:r w:rsidR="006E190E" w:rsidRPr="00840499">
        <w:rPr>
          <w:rFonts w:ascii="Palatino Linotype" w:eastAsia="Calibri" w:hAnsi="Palatino Linotype"/>
          <w:i/>
          <w:sz w:val="22"/>
          <w:lang w:eastAsia="en-US"/>
        </w:rPr>
        <w:t>NO ME ENTREGAN LA INFORMACIÓN SOLICITADA</w:t>
      </w:r>
      <w:r w:rsidRPr="00840499">
        <w:rPr>
          <w:rFonts w:ascii="Palatino Linotype" w:eastAsia="Palatino Linotype" w:hAnsi="Palatino Linotype" w:cs="Palatino Linotype"/>
          <w:i/>
          <w:sz w:val="22"/>
          <w:szCs w:val="22"/>
        </w:rPr>
        <w:t>” (sic)</w:t>
      </w:r>
    </w:p>
    <w:p w14:paraId="08F37F32" w14:textId="77777777" w:rsidR="007D160C" w:rsidRPr="00840499" w:rsidRDefault="00DF6B5B">
      <w:pPr>
        <w:spacing w:line="360" w:lineRule="auto"/>
        <w:ind w:left="567"/>
        <w:jc w:val="both"/>
        <w:rPr>
          <w:rFonts w:ascii="Palatino Linotype" w:eastAsia="Palatino Linotype" w:hAnsi="Palatino Linotype" w:cs="Palatino Linotype"/>
          <w:sz w:val="22"/>
          <w:szCs w:val="22"/>
        </w:rPr>
      </w:pPr>
      <w:bookmarkStart w:id="3" w:name="_heading=h.30j0zll" w:colFirst="0" w:colLast="0"/>
      <w:bookmarkEnd w:id="3"/>
      <w:r w:rsidRPr="00840499">
        <w:rPr>
          <w:rFonts w:ascii="Palatino Linotype" w:eastAsia="Palatino Linotype" w:hAnsi="Palatino Linotype" w:cs="Palatino Linotype"/>
          <w:b/>
          <w:sz w:val="22"/>
          <w:szCs w:val="22"/>
        </w:rPr>
        <w:t>b) Razones o motivos de inconformidad</w:t>
      </w:r>
      <w:r w:rsidRPr="00840499">
        <w:rPr>
          <w:rFonts w:ascii="Palatino Linotype" w:eastAsia="Palatino Linotype" w:hAnsi="Palatino Linotype" w:cs="Palatino Linotype"/>
          <w:sz w:val="22"/>
          <w:szCs w:val="22"/>
        </w:rPr>
        <w:t xml:space="preserve">: </w:t>
      </w:r>
    </w:p>
    <w:p w14:paraId="00635BC3" w14:textId="1A0D2015" w:rsidR="007D160C" w:rsidRPr="00840499" w:rsidRDefault="00DF6B5B">
      <w:pPr>
        <w:tabs>
          <w:tab w:val="left" w:pos="2745"/>
        </w:tabs>
        <w:spacing w:before="240" w:after="240"/>
        <w:ind w:left="851" w:right="900"/>
        <w:jc w:val="both"/>
        <w:rPr>
          <w:rFonts w:ascii="Palatino Linotype" w:eastAsia="Palatino Linotype" w:hAnsi="Palatino Linotype" w:cs="Palatino Linotype"/>
          <w:i/>
          <w:sz w:val="22"/>
          <w:szCs w:val="22"/>
        </w:rPr>
      </w:pPr>
      <w:bookmarkStart w:id="4" w:name="_heading=h.2et92p0" w:colFirst="0" w:colLast="0"/>
      <w:bookmarkEnd w:id="4"/>
      <w:r w:rsidRPr="00840499">
        <w:rPr>
          <w:rFonts w:ascii="Palatino Linotype" w:eastAsia="Palatino Linotype" w:hAnsi="Palatino Linotype" w:cs="Palatino Linotype"/>
          <w:i/>
          <w:sz w:val="22"/>
          <w:szCs w:val="22"/>
        </w:rPr>
        <w:t>“</w:t>
      </w:r>
      <w:r w:rsidR="006E190E" w:rsidRPr="00840499">
        <w:rPr>
          <w:rFonts w:ascii="Palatino Linotype" w:eastAsia="Palatino Linotype" w:hAnsi="Palatino Linotype" w:cs="Palatino Linotype"/>
          <w:i/>
          <w:sz w:val="22"/>
          <w:szCs w:val="22"/>
        </w:rPr>
        <w:t xml:space="preserve">Ingrese una solicitud en el SARCOEM, el día 14 de julio del año en curso, para solicitar Copia Certificada del Expediente Clínico de mi esposo fallecido </w:t>
      </w:r>
      <w:r w:rsidR="00B52B36">
        <w:rPr>
          <w:rFonts w:ascii="Palatino Linotype" w:eastAsia="Palatino Linotype" w:hAnsi="Palatino Linotype" w:cs="Palatino Linotype"/>
          <w:i/>
          <w:sz w:val="22"/>
          <w:szCs w:val="22"/>
        </w:rPr>
        <w:t>XXXXXXXX XXXXX XXXXXXXX</w:t>
      </w:r>
      <w:r w:rsidR="006E190E" w:rsidRPr="00840499">
        <w:rPr>
          <w:rFonts w:ascii="Palatino Linotype" w:eastAsia="Palatino Linotype" w:hAnsi="Palatino Linotype" w:cs="Palatino Linotype"/>
          <w:i/>
          <w:sz w:val="22"/>
          <w:szCs w:val="22"/>
        </w:rPr>
        <w:t xml:space="preserve">, clave ISSEMYM </w:t>
      </w:r>
      <w:r w:rsidR="00B52B36">
        <w:rPr>
          <w:rFonts w:ascii="Palatino Linotype" w:eastAsia="Palatino Linotype" w:hAnsi="Palatino Linotype" w:cs="Palatino Linotype"/>
          <w:i/>
          <w:sz w:val="22"/>
          <w:szCs w:val="22"/>
        </w:rPr>
        <w:t>XXXXXXXXX</w:t>
      </w:r>
      <w:r w:rsidR="006E190E" w:rsidRPr="00840499">
        <w:rPr>
          <w:rFonts w:ascii="Palatino Linotype" w:eastAsia="Palatino Linotype" w:hAnsi="Palatino Linotype" w:cs="Palatino Linotype"/>
          <w:i/>
          <w:sz w:val="22"/>
          <w:szCs w:val="22"/>
        </w:rPr>
        <w:t xml:space="preserve">, de la Clínica de Consulta Externa Naucalpan, de los años 2022, 2023, 2024 y 2025, por lo que adjunte la siguiente información: identificaciones de ambos, acta de matrimonio y acta de defunción.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asimismo, adjunto póliza de la aseguradora Inbursa. Por lo anterior, solicito al ISSEMYM, que se me entregue Copia Certificada del Expediente Clínico de mi esposo fallecido </w:t>
      </w:r>
      <w:r w:rsidR="00B52B36" w:rsidRPr="00B52B36">
        <w:rPr>
          <w:rFonts w:ascii="Palatino Linotype" w:eastAsia="Palatino Linotype" w:hAnsi="Palatino Linotype" w:cs="Palatino Linotype"/>
          <w:i/>
          <w:sz w:val="22"/>
          <w:szCs w:val="22"/>
        </w:rPr>
        <w:t>XXXXXXXX XXXXX XXXXXXXX, clave ISSEMYM XXXXXXXXX</w:t>
      </w:r>
      <w:bookmarkStart w:id="5" w:name="_GoBack"/>
      <w:bookmarkEnd w:id="5"/>
      <w:r w:rsidR="006E190E" w:rsidRPr="00840499">
        <w:rPr>
          <w:rFonts w:ascii="Palatino Linotype" w:eastAsia="Palatino Linotype" w:hAnsi="Palatino Linotype" w:cs="Palatino Linotype"/>
          <w:i/>
          <w:sz w:val="22"/>
          <w:szCs w:val="22"/>
        </w:rPr>
        <w:t>, de la Clínica de Consulta Externa Naucalpan, de los años 2022, 2023, 2024 y 2025, lo cual requiero para el cobro de seguro de vida del cual soy beneficiaria.</w:t>
      </w:r>
      <w:r w:rsidRPr="00840499">
        <w:rPr>
          <w:rFonts w:ascii="Palatino Linotype" w:eastAsia="Palatino Linotype" w:hAnsi="Palatino Linotype" w:cs="Palatino Linotype"/>
          <w:i/>
          <w:sz w:val="22"/>
          <w:szCs w:val="22"/>
        </w:rPr>
        <w:t>” (sic)</w:t>
      </w:r>
    </w:p>
    <w:p w14:paraId="7EC3FCF6" w14:textId="77777777" w:rsidR="006E190E" w:rsidRPr="00840499" w:rsidRDefault="006E190E" w:rsidP="006E190E">
      <w:pPr>
        <w:spacing w:after="160" w:line="276" w:lineRule="auto"/>
        <w:ind w:left="720" w:right="993"/>
        <w:contextualSpacing/>
        <w:jc w:val="both"/>
        <w:rPr>
          <w:rFonts w:ascii="Palatino Linotype" w:eastAsia="Calibri" w:hAnsi="Palatino Linotype"/>
          <w:sz w:val="22"/>
          <w:lang w:eastAsia="en-US"/>
        </w:rPr>
      </w:pPr>
      <w:r w:rsidRPr="00840499">
        <w:rPr>
          <w:rFonts w:ascii="Palatino Linotype" w:eastAsia="Calibri" w:hAnsi="Palatino Linotype"/>
          <w:sz w:val="22"/>
          <w:lang w:eastAsia="en-US"/>
        </w:rPr>
        <w:t xml:space="preserve">Adjunto al recurso de revisión, la </w:t>
      </w:r>
      <w:r w:rsidRPr="00840499">
        <w:rPr>
          <w:rFonts w:ascii="Palatino Linotype" w:eastAsia="Calibri" w:hAnsi="Palatino Linotype"/>
          <w:b/>
          <w:sz w:val="22"/>
          <w:lang w:eastAsia="en-US"/>
        </w:rPr>
        <w:t>parte Recurrente</w:t>
      </w:r>
      <w:r w:rsidRPr="00840499">
        <w:rPr>
          <w:rFonts w:ascii="Palatino Linotype" w:eastAsia="Calibri" w:hAnsi="Palatino Linotype"/>
          <w:sz w:val="22"/>
          <w:lang w:eastAsia="en-US"/>
        </w:rPr>
        <w:t xml:space="preserve"> adjuntó una foja correspondiente a la póliza de seguro expedida por Seguros Inbursa, S.A. Grupo Financiero Inbursa donde fue designada como beneficiaria.</w:t>
      </w:r>
    </w:p>
    <w:p w14:paraId="3FCC6141" w14:textId="77777777" w:rsidR="006E190E" w:rsidRPr="00840499" w:rsidRDefault="006E190E">
      <w:pPr>
        <w:tabs>
          <w:tab w:val="left" w:pos="2745"/>
        </w:tabs>
        <w:spacing w:before="240" w:after="240"/>
        <w:ind w:left="851" w:right="900"/>
        <w:jc w:val="both"/>
        <w:rPr>
          <w:rFonts w:ascii="Palatino Linotype" w:eastAsia="Palatino Linotype" w:hAnsi="Palatino Linotype" w:cs="Palatino Linotype"/>
          <w:i/>
          <w:sz w:val="22"/>
          <w:szCs w:val="22"/>
        </w:rPr>
      </w:pPr>
    </w:p>
    <w:p w14:paraId="1EBBD474" w14:textId="77777777" w:rsidR="007D160C" w:rsidRPr="00840499" w:rsidRDefault="00DF6B5B">
      <w:pPr>
        <w:spacing w:line="360" w:lineRule="auto"/>
        <w:ind w:right="51"/>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 xml:space="preserve">6. Turno. </w:t>
      </w:r>
      <w:r w:rsidRPr="00840499">
        <w:rPr>
          <w:rFonts w:ascii="Palatino Linotype" w:eastAsia="Palatino Linotype" w:hAnsi="Palatino Linotype" w:cs="Palatino Linotype"/>
          <w:sz w:val="22"/>
          <w:szCs w:val="22"/>
        </w:rPr>
        <w:t xml:space="preserve">De conformidad con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el presente recurso de revisión se turnó mediante el sistema electrónico </w:t>
      </w:r>
      <w:r w:rsidRPr="00840499">
        <w:rPr>
          <w:rFonts w:ascii="Palatino Linotype" w:eastAsia="Palatino Linotype" w:hAnsi="Palatino Linotype" w:cs="Palatino Linotype"/>
          <w:b/>
          <w:sz w:val="22"/>
          <w:szCs w:val="22"/>
        </w:rPr>
        <w:t>SARCOEM</w:t>
      </w:r>
      <w:r w:rsidRPr="00840499">
        <w:rPr>
          <w:rFonts w:ascii="Palatino Linotype" w:eastAsia="Palatino Linotype" w:hAnsi="Palatino Linotype" w:cs="Palatino Linotype"/>
          <w:sz w:val="22"/>
          <w:szCs w:val="22"/>
        </w:rPr>
        <w:t xml:space="preserve"> del Instituto de Transparencia, Acceso a la Información Pública y Protección de Datos Personales del Estado de México y Municipios, a la </w:t>
      </w:r>
      <w:r w:rsidRPr="00840499">
        <w:rPr>
          <w:rFonts w:ascii="Palatino Linotype" w:eastAsia="Palatino Linotype" w:hAnsi="Palatino Linotype" w:cs="Palatino Linotype"/>
          <w:b/>
          <w:sz w:val="22"/>
          <w:szCs w:val="22"/>
        </w:rPr>
        <w:t xml:space="preserve">Comisionada Guadalupe Ramírez Peña, </w:t>
      </w:r>
      <w:r w:rsidRPr="00840499">
        <w:rPr>
          <w:rFonts w:ascii="Palatino Linotype" w:eastAsia="Palatino Linotype" w:hAnsi="Palatino Linotype" w:cs="Palatino Linotype"/>
          <w:sz w:val="22"/>
          <w:szCs w:val="22"/>
        </w:rPr>
        <w:t>a efecto de que analizara sobre su admisión o su desechamiento.</w:t>
      </w:r>
    </w:p>
    <w:p w14:paraId="26D237D0" w14:textId="77777777" w:rsidR="007D160C" w:rsidRPr="00840499" w:rsidRDefault="007D160C">
      <w:pPr>
        <w:spacing w:line="360" w:lineRule="auto"/>
        <w:ind w:right="51"/>
        <w:jc w:val="both"/>
        <w:rPr>
          <w:rFonts w:ascii="Palatino Linotype" w:eastAsia="Palatino Linotype" w:hAnsi="Palatino Linotype" w:cs="Palatino Linotype"/>
          <w:b/>
          <w:sz w:val="22"/>
          <w:szCs w:val="22"/>
        </w:rPr>
      </w:pPr>
    </w:p>
    <w:p w14:paraId="69B3FFF3"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 xml:space="preserve">7. Admisión. </w:t>
      </w:r>
      <w:r w:rsidRPr="00840499">
        <w:rPr>
          <w:rFonts w:ascii="Palatino Linotype" w:eastAsia="Palatino Linotype" w:hAnsi="Palatino Linotype" w:cs="Palatino Linotype"/>
          <w:sz w:val="22"/>
          <w:szCs w:val="22"/>
        </w:rPr>
        <w:t xml:space="preserve">El </w:t>
      </w:r>
      <w:r w:rsidR="006E190E" w:rsidRPr="00840499">
        <w:rPr>
          <w:rFonts w:ascii="Palatino Linotype" w:eastAsia="Palatino Linotype" w:hAnsi="Palatino Linotype" w:cs="Palatino Linotype"/>
          <w:b/>
          <w:sz w:val="22"/>
          <w:szCs w:val="22"/>
        </w:rPr>
        <w:t>diecinueve de septiembre</w:t>
      </w:r>
      <w:r w:rsidRPr="00840499">
        <w:rPr>
          <w:rFonts w:ascii="Palatino Linotype" w:eastAsia="Palatino Linotype" w:hAnsi="Palatino Linotype" w:cs="Palatino Linotype"/>
          <w:b/>
          <w:sz w:val="22"/>
          <w:szCs w:val="22"/>
        </w:rPr>
        <w:t xml:space="preserve"> de dos mil veinticinco, c</w:t>
      </w:r>
      <w:r w:rsidRPr="00840499">
        <w:rPr>
          <w:rFonts w:ascii="Palatino Linotype" w:eastAsia="Palatino Linotype" w:hAnsi="Palatino Linotype" w:cs="Palatino Linotype"/>
          <w:sz w:val="22"/>
          <w:szCs w:val="22"/>
        </w:rPr>
        <w:t xml:space="preserve">on fundamento en los artículos 128, 129, 130 y 132 de la </w:t>
      </w:r>
      <w:r w:rsidRPr="00840499">
        <w:rPr>
          <w:rFonts w:ascii="Palatino Linotype" w:eastAsia="Palatino Linotype" w:hAnsi="Palatino Linotype" w:cs="Palatino Linotype"/>
          <w:b/>
          <w:sz w:val="22"/>
          <w:szCs w:val="22"/>
        </w:rPr>
        <w:t>Ley de Protección de Datos Personales en Posesión de Sujetos Obligados del Estado de México y Municipios</w:t>
      </w:r>
      <w:r w:rsidRPr="00840499">
        <w:rPr>
          <w:rFonts w:ascii="Palatino Linotype" w:eastAsia="Palatino Linotype" w:hAnsi="Palatino Linotype" w:cs="Palatino Linotype"/>
          <w:sz w:val="22"/>
          <w:szCs w:val="22"/>
        </w:rPr>
        <w:t xml:space="preserve"> y 185 fracciones I, II y IV de la Ley de Transparencia y Acceso a la Información Pública del Estado de México y Municipios de aplicación supletoria, se acordó lo siguiente:</w:t>
      </w:r>
    </w:p>
    <w:p w14:paraId="396F01DE" w14:textId="77777777" w:rsidR="007D160C" w:rsidRPr="00840499" w:rsidRDefault="00DF6B5B">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La admisión a trámite del referido recurso de revisión;</w:t>
      </w:r>
    </w:p>
    <w:p w14:paraId="72A76D66" w14:textId="77777777" w:rsidR="007D160C" w:rsidRPr="00840499"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C1CD466" w14:textId="77777777" w:rsidR="007D160C" w:rsidRPr="00840499" w:rsidRDefault="00DF6B5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La integración del expediente a fin de ponerlo a disposición de las partes para la consulta.</w:t>
      </w:r>
    </w:p>
    <w:p w14:paraId="190D07BA" w14:textId="77777777" w:rsidR="007D160C" w:rsidRPr="00840499" w:rsidRDefault="007D160C">
      <w:pPr>
        <w:pBdr>
          <w:top w:val="nil"/>
          <w:left w:val="nil"/>
          <w:bottom w:val="nil"/>
          <w:right w:val="nil"/>
          <w:between w:val="nil"/>
        </w:pBdr>
        <w:ind w:left="720"/>
        <w:rPr>
          <w:rFonts w:ascii="Palatino Linotype" w:eastAsia="Palatino Linotype" w:hAnsi="Palatino Linotype" w:cs="Palatino Linotype"/>
          <w:sz w:val="22"/>
          <w:szCs w:val="22"/>
        </w:rPr>
      </w:pPr>
    </w:p>
    <w:p w14:paraId="23EE26AA" w14:textId="77777777" w:rsidR="007D160C" w:rsidRPr="00840499" w:rsidRDefault="00DF6B5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El requerimiento</w:t>
      </w:r>
      <w:r w:rsidRPr="00840499">
        <w:rPr>
          <w:rFonts w:ascii="Palatino Linotype" w:eastAsia="Palatino Linotype" w:hAnsi="Palatino Linotype" w:cs="Palatino Linotype"/>
          <w:b/>
          <w:sz w:val="22"/>
          <w:szCs w:val="22"/>
        </w:rPr>
        <w:t xml:space="preserve"> </w:t>
      </w:r>
      <w:r w:rsidRPr="00840499">
        <w:rPr>
          <w:rFonts w:ascii="Palatino Linotype" w:eastAsia="Palatino Linotype" w:hAnsi="Palatino Linotype" w:cs="Palatino Linotype"/>
          <w:sz w:val="22"/>
          <w:szCs w:val="22"/>
        </w:rPr>
        <w:t xml:space="preserve">a las partes para que en un plazo no mayor a siete días manifestaran, por cualquier medio, su voluntad de conciliar, con el apercibimiento de que, en caso de no hacerlo, se tendría por precluido su derecho, para tales efectos. </w:t>
      </w:r>
    </w:p>
    <w:p w14:paraId="024E152A" w14:textId="77777777" w:rsidR="007D160C" w:rsidRPr="00840499" w:rsidRDefault="00DF6B5B">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088E91BA" w14:textId="77777777" w:rsidR="007D160C" w:rsidRPr="00840499" w:rsidRDefault="007D160C">
      <w:pPr>
        <w:pBdr>
          <w:top w:val="nil"/>
          <w:left w:val="nil"/>
          <w:bottom w:val="nil"/>
          <w:right w:val="nil"/>
          <w:between w:val="nil"/>
        </w:pBdr>
        <w:spacing w:line="360" w:lineRule="auto"/>
        <w:ind w:right="193"/>
        <w:jc w:val="both"/>
        <w:rPr>
          <w:rFonts w:ascii="Palatino Linotype" w:eastAsia="Palatino Linotype" w:hAnsi="Palatino Linotype" w:cs="Palatino Linotype"/>
          <w:sz w:val="22"/>
          <w:szCs w:val="22"/>
        </w:rPr>
      </w:pPr>
    </w:p>
    <w:p w14:paraId="60793927" w14:textId="77777777" w:rsidR="006E190E" w:rsidRPr="00840499" w:rsidRDefault="00DF6B5B">
      <w:pPr>
        <w:spacing w:line="360" w:lineRule="auto"/>
        <w:jc w:val="both"/>
        <w:rPr>
          <w:rFonts w:ascii="Palatino Linotype" w:eastAsia="Palatino Linotype" w:hAnsi="Palatino Linotype" w:cs="Palatino Linotype"/>
          <w:sz w:val="22"/>
          <w:szCs w:val="22"/>
        </w:rPr>
      </w:pPr>
      <w:bookmarkStart w:id="6" w:name="_heading=h.2s8eyo1" w:colFirst="0" w:colLast="0"/>
      <w:bookmarkEnd w:id="6"/>
      <w:r w:rsidRPr="00840499">
        <w:rPr>
          <w:rFonts w:ascii="Palatino Linotype" w:eastAsia="Palatino Linotype" w:hAnsi="Palatino Linotype" w:cs="Palatino Linotype"/>
          <w:b/>
          <w:sz w:val="22"/>
          <w:szCs w:val="22"/>
        </w:rPr>
        <w:t>8. Etapa de Conciliación.</w:t>
      </w:r>
      <w:r w:rsidRPr="00840499">
        <w:rPr>
          <w:rFonts w:ascii="Palatino Linotype" w:eastAsia="Palatino Linotype" w:hAnsi="Palatino Linotype" w:cs="Palatino Linotype"/>
          <w:sz w:val="22"/>
          <w:szCs w:val="22"/>
        </w:rPr>
        <w:t xml:space="preserve"> El </w:t>
      </w:r>
      <w:r w:rsidR="006E190E" w:rsidRPr="00840499">
        <w:rPr>
          <w:rFonts w:ascii="Palatino Linotype" w:eastAsia="Palatino Linotype" w:hAnsi="Palatino Linotype" w:cs="Palatino Linotype"/>
          <w:b/>
          <w:sz w:val="22"/>
          <w:szCs w:val="22"/>
        </w:rPr>
        <w:t>veinticinco de septiembre</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 xml:space="preserve">, </w:t>
      </w:r>
      <w:r w:rsidR="006E190E" w:rsidRPr="00840499">
        <w:rPr>
          <w:rFonts w:ascii="Palatino Linotype" w:eastAsia="Palatino Linotype" w:hAnsi="Palatino Linotype" w:cs="Palatino Linotype"/>
          <w:sz w:val="22"/>
          <w:szCs w:val="22"/>
        </w:rPr>
        <w:t xml:space="preserve">se recibió a través del Sistema de Acceso, Rectificación, Cancelación y Oposición de Datos Personales del Estado de México (SARCOEM), escrito mediante el cual, </w:t>
      </w:r>
      <w:r w:rsidR="006E190E" w:rsidRPr="00840499">
        <w:rPr>
          <w:rFonts w:ascii="Palatino Linotype" w:eastAsia="Palatino Linotype" w:hAnsi="Palatino Linotype" w:cs="Palatino Linotype"/>
          <w:b/>
          <w:sz w:val="22"/>
          <w:szCs w:val="22"/>
        </w:rPr>
        <w:t>el Instituto de Seguridad Social del Estado  de México y Municipios</w:t>
      </w:r>
      <w:r w:rsidR="006E190E" w:rsidRPr="00840499">
        <w:rPr>
          <w:rFonts w:ascii="Palatino Linotype" w:eastAsia="Palatino Linotype" w:hAnsi="Palatino Linotype" w:cs="Palatino Linotype"/>
          <w:sz w:val="22"/>
          <w:szCs w:val="22"/>
        </w:rPr>
        <w:t>, en calidad de Responsable de los datos personales, exteriorizó su voluntad de conciliar en el presente asunto.</w:t>
      </w:r>
    </w:p>
    <w:p w14:paraId="259280ED" w14:textId="77777777" w:rsidR="006E190E" w:rsidRPr="00840499" w:rsidRDefault="006E190E">
      <w:pPr>
        <w:spacing w:line="360" w:lineRule="auto"/>
        <w:jc w:val="both"/>
        <w:rPr>
          <w:rFonts w:ascii="Palatino Linotype" w:eastAsia="Palatino Linotype" w:hAnsi="Palatino Linotype" w:cs="Palatino Linotype"/>
          <w:sz w:val="22"/>
          <w:szCs w:val="22"/>
        </w:rPr>
      </w:pPr>
    </w:p>
    <w:p w14:paraId="0068C0A5" w14:textId="77777777" w:rsidR="006E190E" w:rsidRPr="00840499" w:rsidRDefault="0038276E" w:rsidP="006E190E">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El </w:t>
      </w:r>
      <w:r w:rsidR="006E190E" w:rsidRPr="00840499">
        <w:rPr>
          <w:rFonts w:ascii="Palatino Linotype" w:eastAsia="Palatino Linotype" w:hAnsi="Palatino Linotype" w:cs="Palatino Linotype"/>
          <w:b/>
          <w:sz w:val="22"/>
          <w:szCs w:val="22"/>
        </w:rPr>
        <w:t>treinta de septiembre</w:t>
      </w:r>
      <w:r w:rsidR="00DF6B5B" w:rsidRPr="00840499">
        <w:rPr>
          <w:rFonts w:ascii="Palatino Linotype" w:eastAsia="Palatino Linotype" w:hAnsi="Palatino Linotype" w:cs="Palatino Linotype"/>
          <w:b/>
          <w:sz w:val="22"/>
          <w:szCs w:val="22"/>
        </w:rPr>
        <w:t xml:space="preserve"> de dos mil veinticinco</w:t>
      </w:r>
      <w:r w:rsidR="00DF6B5B" w:rsidRPr="00840499">
        <w:rPr>
          <w:rFonts w:ascii="Palatino Linotype" w:eastAsia="Palatino Linotype" w:hAnsi="Palatino Linotype" w:cs="Palatino Linotype"/>
          <w:sz w:val="22"/>
          <w:szCs w:val="22"/>
        </w:rPr>
        <w:t xml:space="preserve">, </w:t>
      </w:r>
      <w:r w:rsidR="006E190E" w:rsidRPr="00840499">
        <w:rPr>
          <w:rFonts w:ascii="Palatino Linotype" w:eastAsia="Palatino Linotype" w:hAnsi="Palatino Linotype" w:cs="Palatino Linotype"/>
          <w:sz w:val="22"/>
          <w:szCs w:val="22"/>
        </w:rPr>
        <w:t xml:space="preserve">se recibió a través del Sistema de Acceso, Rectificación, Cancelación y Oposición de Datos Personales del Estado de México (SARCOEM), la manifestación de </w:t>
      </w:r>
      <w:r w:rsidR="006E190E" w:rsidRPr="00840499">
        <w:rPr>
          <w:rFonts w:ascii="Palatino Linotype" w:eastAsia="Palatino Linotype" w:hAnsi="Palatino Linotype" w:cs="Palatino Linotype"/>
          <w:b/>
          <w:sz w:val="22"/>
          <w:szCs w:val="22"/>
        </w:rPr>
        <w:t>la parte</w:t>
      </w:r>
      <w:r w:rsidR="006E190E" w:rsidRPr="00840499">
        <w:rPr>
          <w:rFonts w:ascii="Palatino Linotype" w:eastAsia="Palatino Linotype" w:hAnsi="Palatino Linotype" w:cs="Palatino Linotype"/>
          <w:sz w:val="22"/>
          <w:szCs w:val="22"/>
        </w:rPr>
        <w:t xml:space="preserve"> </w:t>
      </w:r>
      <w:r w:rsidR="006E190E" w:rsidRPr="00840499">
        <w:rPr>
          <w:rFonts w:ascii="Palatino Linotype" w:eastAsia="Palatino Linotype" w:hAnsi="Palatino Linotype" w:cs="Palatino Linotype"/>
          <w:b/>
          <w:sz w:val="22"/>
          <w:szCs w:val="22"/>
        </w:rPr>
        <w:t xml:space="preserve">Recurrente, </w:t>
      </w:r>
      <w:r w:rsidR="006E190E" w:rsidRPr="00840499">
        <w:rPr>
          <w:rFonts w:ascii="Palatino Linotype" w:eastAsia="Palatino Linotype" w:hAnsi="Palatino Linotype" w:cs="Palatino Linotype"/>
          <w:sz w:val="22"/>
          <w:szCs w:val="22"/>
        </w:rPr>
        <w:t>mediante la cual, exteriorizó su voluntad de conciliar el presente asunto.</w:t>
      </w:r>
    </w:p>
    <w:p w14:paraId="4DB3246D"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6C894310"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Por consiguiente, tomando en consideración que ambas partes manifestaron su voluntad para conciliar el Recurso de Revisión en el que se actúa, mediante acuerdo del </w:t>
      </w:r>
      <w:r w:rsidR="006E190E" w:rsidRPr="00840499">
        <w:rPr>
          <w:rFonts w:ascii="Palatino Linotype" w:eastAsia="Palatino Linotype" w:hAnsi="Palatino Linotype" w:cs="Palatino Linotype"/>
          <w:b/>
          <w:sz w:val="22"/>
          <w:szCs w:val="22"/>
        </w:rPr>
        <w:t>siete de octubre</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 xml:space="preserve"> se citó a las partes a fin de que tuviera verificativo la Audiencia de conciliación por medio de la plataforma ZOOM (software para reuniones y videoconferencias), el día </w:t>
      </w:r>
      <w:r w:rsidRPr="00840499">
        <w:rPr>
          <w:rFonts w:ascii="Palatino Linotype" w:eastAsia="Palatino Linotype" w:hAnsi="Palatino Linotype" w:cs="Palatino Linotype"/>
          <w:b/>
          <w:sz w:val="22"/>
          <w:szCs w:val="22"/>
        </w:rPr>
        <w:t xml:space="preserve">viernes, </w:t>
      </w:r>
      <w:r w:rsidR="006E190E" w:rsidRPr="00840499">
        <w:rPr>
          <w:rFonts w:ascii="Palatino Linotype" w:eastAsia="Palatino Linotype" w:hAnsi="Palatino Linotype" w:cs="Palatino Linotype"/>
          <w:b/>
          <w:sz w:val="22"/>
          <w:szCs w:val="22"/>
        </w:rPr>
        <w:t>diez de octubre</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w:t>
      </w:r>
    </w:p>
    <w:p w14:paraId="68DEA064"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3FBC059A"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De esta manera, el </w:t>
      </w:r>
      <w:r w:rsidR="006E190E" w:rsidRPr="00840499">
        <w:rPr>
          <w:rFonts w:ascii="Palatino Linotype" w:eastAsia="Palatino Linotype" w:hAnsi="Palatino Linotype" w:cs="Palatino Linotype"/>
          <w:b/>
          <w:sz w:val="22"/>
          <w:szCs w:val="22"/>
        </w:rPr>
        <w:t>diez de octubre</w:t>
      </w:r>
      <w:r w:rsidRPr="00840499">
        <w:rPr>
          <w:rFonts w:ascii="Palatino Linotype" w:eastAsia="Palatino Linotype" w:hAnsi="Palatino Linotype" w:cs="Palatino Linotype"/>
          <w:b/>
          <w:sz w:val="22"/>
          <w:szCs w:val="22"/>
        </w:rPr>
        <w:t xml:space="preserve"> de dos mil veinticinco, a las diez horas </w:t>
      </w:r>
      <w:r w:rsidRPr="00840499">
        <w:rPr>
          <w:rFonts w:ascii="Palatino Linotype" w:eastAsia="Palatino Linotype" w:hAnsi="Palatino Linotype" w:cs="Palatino Linotype"/>
          <w:sz w:val="22"/>
          <w:szCs w:val="22"/>
        </w:rPr>
        <w:t xml:space="preserve">se procedió al desahogo de la Audiencia de conciliación, a través de la plataforma ZOOM, con la presencia del Instituto de Transparencia, Acceso a la Información Pública y Protección de Datos Personales del Estado de México y Municipios, INFOEM, así como del </w:t>
      </w:r>
      <w:r w:rsidRPr="00840499">
        <w:rPr>
          <w:rFonts w:ascii="Palatino Linotype" w:eastAsia="Palatino Linotype" w:hAnsi="Palatino Linotype" w:cs="Palatino Linotype"/>
          <w:b/>
          <w:sz w:val="22"/>
          <w:szCs w:val="22"/>
        </w:rPr>
        <w:t>Sujeto Obligado o Responsable</w:t>
      </w:r>
      <w:r w:rsidRPr="00840499">
        <w:rPr>
          <w:rFonts w:ascii="Palatino Linotype" w:eastAsia="Palatino Linotype" w:hAnsi="Palatino Linotype" w:cs="Palatino Linotype"/>
          <w:sz w:val="22"/>
          <w:szCs w:val="22"/>
        </w:rPr>
        <w:t xml:space="preserve"> y de </w:t>
      </w:r>
      <w:r w:rsidRPr="00840499">
        <w:rPr>
          <w:rFonts w:ascii="Palatino Linotype" w:eastAsia="Palatino Linotype" w:hAnsi="Palatino Linotype" w:cs="Palatino Linotype"/>
          <w:b/>
          <w:sz w:val="22"/>
          <w:szCs w:val="22"/>
        </w:rPr>
        <w:t>la parte Recurrente</w:t>
      </w:r>
      <w:r w:rsidRPr="00840499">
        <w:rPr>
          <w:rFonts w:ascii="Palatino Linotype" w:eastAsia="Palatino Linotype" w:hAnsi="Palatino Linotype" w:cs="Palatino Linotype"/>
          <w:sz w:val="22"/>
          <w:szCs w:val="22"/>
        </w:rPr>
        <w:t xml:space="preserve">, quienes se identificaron debidamente ante esta autoridad, expusieron sus posturas </w:t>
      </w:r>
      <w:r w:rsidRPr="00840499">
        <w:rPr>
          <w:rFonts w:ascii="Palatino Linotype" w:eastAsia="Palatino Linotype" w:hAnsi="Palatino Linotype" w:cs="Palatino Linotype"/>
          <w:b/>
          <w:sz w:val="22"/>
          <w:szCs w:val="22"/>
        </w:rPr>
        <w:t xml:space="preserve">y </w:t>
      </w:r>
      <w:r w:rsidRPr="00840499">
        <w:rPr>
          <w:rFonts w:ascii="Palatino Linotype" w:eastAsia="Palatino Linotype" w:hAnsi="Palatino Linotype" w:cs="Palatino Linotype"/>
          <w:sz w:val="22"/>
          <w:szCs w:val="22"/>
        </w:rPr>
        <w:t xml:space="preserve">como resultado de estas, se levantó el acta correspondiente. </w:t>
      </w:r>
    </w:p>
    <w:p w14:paraId="2B2FC6A7"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62E4C91C"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Es de precisar que medularmente en esta audiencia se expresaron las siguientes consideraciones:</w:t>
      </w:r>
    </w:p>
    <w:p w14:paraId="7E042C35"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Por parte de la Jefa de Departamento de Acceso a la Información Institucional, se señaló medularmente lo siguiente:</w:t>
      </w:r>
    </w:p>
    <w:p w14:paraId="0120E2D2"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65AA459D" w14:textId="77777777" w:rsidR="007449B5" w:rsidRPr="00840499" w:rsidRDefault="007449B5" w:rsidP="007449B5">
      <w:pPr>
        <w:pStyle w:val="Prrafodelista"/>
        <w:numPr>
          <w:ilvl w:val="0"/>
          <w:numId w:val="7"/>
        </w:numPr>
        <w:spacing w:line="360" w:lineRule="auto"/>
        <w:ind w:right="900"/>
        <w:jc w:val="both"/>
        <w:rPr>
          <w:rFonts w:ascii="Palatino Linotype" w:hAnsi="Palatino Linotype"/>
          <w:sz w:val="22"/>
        </w:rPr>
      </w:pPr>
      <w:r w:rsidRPr="00840499">
        <w:rPr>
          <w:rFonts w:ascii="Palatino Linotype" w:hAnsi="Palatino Linotype"/>
          <w:sz w:val="22"/>
        </w:rPr>
        <w:t>Que, por parte del ente público, se tenía por acreditada la identidad de la promovente, así como el interés que tiene en el presente asunto para acceder a la información solicitada relativa al expediente clínico de la persona fallecida, referida en la solicitud.</w:t>
      </w:r>
    </w:p>
    <w:p w14:paraId="503D8222" w14:textId="77777777" w:rsidR="007449B5" w:rsidRPr="00840499" w:rsidRDefault="007449B5" w:rsidP="007449B5">
      <w:pPr>
        <w:pStyle w:val="Prrafodelista"/>
        <w:spacing w:line="360" w:lineRule="auto"/>
        <w:ind w:right="900"/>
        <w:rPr>
          <w:rFonts w:ascii="Palatino Linotype" w:hAnsi="Palatino Linotype"/>
          <w:sz w:val="22"/>
        </w:rPr>
      </w:pPr>
    </w:p>
    <w:p w14:paraId="62B63F72" w14:textId="77777777" w:rsidR="007449B5" w:rsidRPr="00840499" w:rsidRDefault="007449B5" w:rsidP="007449B5">
      <w:pPr>
        <w:pStyle w:val="Prrafodelista"/>
        <w:numPr>
          <w:ilvl w:val="0"/>
          <w:numId w:val="7"/>
        </w:numPr>
        <w:spacing w:line="360" w:lineRule="auto"/>
        <w:ind w:right="900"/>
        <w:jc w:val="both"/>
        <w:rPr>
          <w:rFonts w:ascii="Palatino Linotype" w:hAnsi="Palatino Linotype"/>
          <w:sz w:val="22"/>
        </w:rPr>
      </w:pPr>
      <w:r w:rsidRPr="00840499">
        <w:rPr>
          <w:rFonts w:ascii="Palatino Linotype" w:hAnsi="Palatino Linotype"/>
          <w:sz w:val="22"/>
        </w:rPr>
        <w:t xml:space="preserve">Que, el expediente clínico requerido se ponía a la vista de la parte </w:t>
      </w:r>
      <w:r w:rsidRPr="00840499">
        <w:rPr>
          <w:rFonts w:ascii="Palatino Linotype" w:hAnsi="Palatino Linotype"/>
          <w:b/>
          <w:sz w:val="22"/>
        </w:rPr>
        <w:t xml:space="preserve">Recurrente </w:t>
      </w:r>
      <w:r w:rsidRPr="00840499">
        <w:rPr>
          <w:rFonts w:ascii="Palatino Linotype" w:hAnsi="Palatino Linotype"/>
          <w:sz w:val="22"/>
        </w:rPr>
        <w:t>a fin de que verificara que el mismo correspondiera con el solicitado.</w:t>
      </w:r>
    </w:p>
    <w:p w14:paraId="04ACE43D" w14:textId="77777777" w:rsidR="007449B5" w:rsidRPr="00840499" w:rsidRDefault="007449B5" w:rsidP="007449B5">
      <w:pPr>
        <w:pStyle w:val="Prrafodelista"/>
        <w:rPr>
          <w:rFonts w:ascii="Palatino Linotype" w:hAnsi="Palatino Linotype"/>
          <w:sz w:val="22"/>
        </w:rPr>
      </w:pPr>
    </w:p>
    <w:p w14:paraId="77BCBA3E" w14:textId="77777777" w:rsidR="007449B5" w:rsidRPr="00840499" w:rsidRDefault="007449B5" w:rsidP="007449B5">
      <w:pPr>
        <w:pStyle w:val="Prrafodelista"/>
        <w:numPr>
          <w:ilvl w:val="0"/>
          <w:numId w:val="7"/>
        </w:numPr>
        <w:spacing w:line="360" w:lineRule="auto"/>
        <w:ind w:right="900"/>
        <w:jc w:val="both"/>
        <w:rPr>
          <w:rFonts w:ascii="Palatino Linotype" w:hAnsi="Palatino Linotype"/>
          <w:sz w:val="22"/>
        </w:rPr>
      </w:pPr>
      <w:r w:rsidRPr="00840499">
        <w:rPr>
          <w:rFonts w:ascii="Palatino Linotype" w:hAnsi="Palatino Linotype"/>
          <w:sz w:val="22"/>
        </w:rPr>
        <w:t xml:space="preserve">Que, no se tenía inconveniente en hacer entrega a la parte </w:t>
      </w:r>
      <w:r w:rsidRPr="00840499">
        <w:rPr>
          <w:rFonts w:ascii="Palatino Linotype" w:hAnsi="Palatino Linotype"/>
          <w:b/>
          <w:sz w:val="22"/>
        </w:rPr>
        <w:t>Recurrente,</w:t>
      </w:r>
      <w:r w:rsidRPr="00840499">
        <w:rPr>
          <w:rFonts w:ascii="Palatino Linotype" w:hAnsi="Palatino Linotype"/>
          <w:sz w:val="22"/>
        </w:rPr>
        <w:t xml:space="preserve"> del expediente clínico requerido en la modalidad solicitada –copias certificadas-; ello, previo pago de los derechos correspondientes cuyo cálculo se realizó conforme lo previsto en el Código Financiero del Estado de México y Municipios,</w:t>
      </w:r>
      <w:r w:rsidRPr="00840499">
        <w:rPr>
          <w:rFonts w:ascii="Palatino Linotype" w:hAnsi="Palatino Linotype"/>
          <w:b/>
          <w:sz w:val="22"/>
        </w:rPr>
        <w:t xml:space="preserve"> </w:t>
      </w:r>
      <w:r w:rsidRPr="00840499">
        <w:rPr>
          <w:rFonts w:ascii="Palatino Linotype" w:hAnsi="Palatino Linotype"/>
          <w:b/>
          <w:sz w:val="22"/>
          <w:u w:val="single"/>
        </w:rPr>
        <w:t>exceptuando el cobro de las primeras veinte hojas</w:t>
      </w:r>
      <w:r w:rsidRPr="00840499">
        <w:rPr>
          <w:rFonts w:ascii="Palatino Linotype" w:hAnsi="Palatino Linotype"/>
          <w:sz w:val="22"/>
        </w:rPr>
        <w:t>, aplicando el costo a las 112 hojas subsecuentes, en razón de que el expediente indicado consta de un total de 132 hojas.</w:t>
      </w:r>
    </w:p>
    <w:p w14:paraId="1E41E4AC" w14:textId="77777777" w:rsidR="007449B5" w:rsidRPr="00840499" w:rsidRDefault="007449B5" w:rsidP="007449B5">
      <w:pPr>
        <w:pStyle w:val="Prrafodelista"/>
        <w:rPr>
          <w:rFonts w:ascii="Palatino Linotype" w:hAnsi="Palatino Linotype"/>
          <w:sz w:val="22"/>
        </w:rPr>
      </w:pPr>
    </w:p>
    <w:p w14:paraId="60EE4F9B" w14:textId="77777777" w:rsidR="007449B5" w:rsidRPr="00840499" w:rsidRDefault="007449B5" w:rsidP="007449B5">
      <w:pPr>
        <w:pStyle w:val="Prrafodelista"/>
        <w:numPr>
          <w:ilvl w:val="0"/>
          <w:numId w:val="7"/>
        </w:numPr>
        <w:spacing w:line="360" w:lineRule="auto"/>
        <w:ind w:right="900"/>
        <w:jc w:val="both"/>
        <w:rPr>
          <w:rFonts w:ascii="Palatino Linotype" w:hAnsi="Palatino Linotype"/>
          <w:sz w:val="22"/>
        </w:rPr>
      </w:pPr>
      <w:r w:rsidRPr="00840499">
        <w:rPr>
          <w:rFonts w:ascii="Palatino Linotype" w:hAnsi="Palatino Linotype"/>
          <w:sz w:val="22"/>
        </w:rPr>
        <w:t xml:space="preserve">Que, se le indicaba a la </w:t>
      </w:r>
      <w:r w:rsidRPr="00840499">
        <w:rPr>
          <w:rFonts w:ascii="Palatino Linotype" w:hAnsi="Palatino Linotype"/>
          <w:b/>
          <w:sz w:val="22"/>
        </w:rPr>
        <w:t>parte el Recurrente</w:t>
      </w:r>
      <w:r w:rsidRPr="00840499">
        <w:rPr>
          <w:rFonts w:ascii="Palatino Linotype" w:hAnsi="Palatino Linotype"/>
          <w:sz w:val="22"/>
        </w:rPr>
        <w:t xml:space="preserve"> el procedimiento para realizar el pago de las copias certificadas en la Tesorería del </w:t>
      </w:r>
      <w:r w:rsidRPr="00840499">
        <w:rPr>
          <w:rFonts w:ascii="Palatino Linotype" w:hAnsi="Palatino Linotype"/>
          <w:b/>
          <w:sz w:val="22"/>
        </w:rPr>
        <w:t>Sujeto Obligado</w:t>
      </w:r>
      <w:r w:rsidRPr="00840499">
        <w:rPr>
          <w:rFonts w:ascii="Palatino Linotype" w:hAnsi="Palatino Linotype"/>
          <w:sz w:val="22"/>
        </w:rPr>
        <w:t>, para proceder a hacer la entrega de la información.</w:t>
      </w:r>
    </w:p>
    <w:p w14:paraId="3170E532" w14:textId="77777777" w:rsidR="007D160C" w:rsidRPr="00840499" w:rsidRDefault="007D160C">
      <w:pPr>
        <w:spacing w:line="360" w:lineRule="auto"/>
        <w:rPr>
          <w:rFonts w:ascii="Palatino Linotype" w:eastAsia="Palatino Linotype" w:hAnsi="Palatino Linotype" w:cs="Palatino Linotype"/>
          <w:sz w:val="22"/>
          <w:szCs w:val="22"/>
        </w:rPr>
      </w:pPr>
    </w:p>
    <w:p w14:paraId="53157A9E"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Expuesto lo anterior, se procedió a iniciar el diálogo de la </w:t>
      </w:r>
      <w:r w:rsidRPr="00840499">
        <w:rPr>
          <w:rFonts w:ascii="Palatino Linotype" w:eastAsia="Palatino Linotype" w:hAnsi="Palatino Linotype" w:cs="Palatino Linotype"/>
          <w:b/>
          <w:sz w:val="22"/>
          <w:szCs w:val="22"/>
        </w:rPr>
        <w:t>parte Recurrente</w:t>
      </w:r>
      <w:r w:rsidRPr="00840499">
        <w:rPr>
          <w:rFonts w:ascii="Palatino Linotype" w:eastAsia="Palatino Linotype" w:hAnsi="Palatino Linotype" w:cs="Palatino Linotype"/>
          <w:sz w:val="22"/>
          <w:szCs w:val="22"/>
        </w:rPr>
        <w:t>, quien señaló lo siguiente:</w:t>
      </w:r>
    </w:p>
    <w:p w14:paraId="7A0DD5DD" w14:textId="77777777" w:rsidR="007449B5" w:rsidRPr="00840499" w:rsidRDefault="007449B5" w:rsidP="007449B5">
      <w:pPr>
        <w:spacing w:line="360" w:lineRule="auto"/>
        <w:ind w:left="567" w:right="616"/>
        <w:contextualSpacing/>
        <w:jc w:val="both"/>
        <w:rPr>
          <w:rFonts w:ascii="Palatino Linotype" w:hAnsi="Palatino Linotype"/>
          <w:sz w:val="22"/>
        </w:rPr>
      </w:pPr>
      <w:r w:rsidRPr="00840499">
        <w:rPr>
          <w:rFonts w:ascii="Palatino Linotype" w:hAnsi="Palatino Linotype"/>
          <w:sz w:val="22"/>
        </w:rPr>
        <w:t xml:space="preserve">1.- Que, una vez revisado el expediente clínico de la persona fallecida referida en la solicitud, que le había sido puesto a la vista por el </w:t>
      </w:r>
      <w:r w:rsidRPr="00840499">
        <w:rPr>
          <w:rFonts w:ascii="Palatino Linotype" w:hAnsi="Palatino Linotype"/>
          <w:b/>
          <w:sz w:val="22"/>
        </w:rPr>
        <w:t xml:space="preserve">Sujeto Obligado, </w:t>
      </w:r>
      <w:r w:rsidRPr="00840499">
        <w:rPr>
          <w:rFonts w:ascii="Palatino Linotype" w:hAnsi="Palatino Linotype"/>
          <w:sz w:val="22"/>
        </w:rPr>
        <w:t>asumía que corresponde con el requerido.</w:t>
      </w:r>
    </w:p>
    <w:p w14:paraId="7FD270A6" w14:textId="77777777" w:rsidR="007449B5" w:rsidRPr="00840499" w:rsidRDefault="007449B5" w:rsidP="007449B5">
      <w:pPr>
        <w:spacing w:line="360" w:lineRule="auto"/>
        <w:ind w:left="567" w:right="616"/>
        <w:contextualSpacing/>
        <w:jc w:val="both"/>
        <w:rPr>
          <w:rFonts w:ascii="Palatino Linotype" w:hAnsi="Palatino Linotype"/>
          <w:sz w:val="22"/>
        </w:rPr>
      </w:pPr>
    </w:p>
    <w:p w14:paraId="473889C3" w14:textId="77777777" w:rsidR="007449B5" w:rsidRPr="00840499" w:rsidRDefault="007449B5" w:rsidP="007449B5">
      <w:pPr>
        <w:spacing w:line="360" w:lineRule="auto"/>
        <w:ind w:left="567" w:right="616"/>
        <w:contextualSpacing/>
        <w:jc w:val="both"/>
        <w:rPr>
          <w:rFonts w:ascii="Palatino Linotype" w:hAnsi="Palatino Linotype"/>
          <w:sz w:val="22"/>
        </w:rPr>
      </w:pPr>
      <w:r w:rsidRPr="00840499">
        <w:rPr>
          <w:rFonts w:ascii="Palatino Linotype" w:hAnsi="Palatino Linotype"/>
          <w:sz w:val="22"/>
        </w:rPr>
        <w:t>2.- Que estaba de acuerdo con el procedimiento de entrega de la información en la modalidad que había sido solicitada.</w:t>
      </w:r>
    </w:p>
    <w:p w14:paraId="5F09E89C" w14:textId="77777777" w:rsidR="007449B5" w:rsidRPr="00840499" w:rsidRDefault="007449B5" w:rsidP="007449B5">
      <w:pPr>
        <w:spacing w:line="360" w:lineRule="auto"/>
        <w:ind w:left="567" w:right="616"/>
        <w:contextualSpacing/>
        <w:jc w:val="both"/>
        <w:rPr>
          <w:rFonts w:ascii="Palatino Linotype" w:hAnsi="Palatino Linotype"/>
          <w:sz w:val="22"/>
        </w:rPr>
      </w:pPr>
    </w:p>
    <w:p w14:paraId="1A2DA2A8" w14:textId="77777777" w:rsidR="007449B5" w:rsidRPr="00840499" w:rsidRDefault="007449B5" w:rsidP="007449B5">
      <w:pPr>
        <w:spacing w:line="360" w:lineRule="auto"/>
        <w:ind w:left="567" w:right="616"/>
        <w:contextualSpacing/>
        <w:jc w:val="both"/>
        <w:rPr>
          <w:rFonts w:ascii="Palatino Linotype" w:hAnsi="Palatino Linotype"/>
          <w:sz w:val="22"/>
        </w:rPr>
      </w:pPr>
      <w:r w:rsidRPr="00840499">
        <w:rPr>
          <w:rFonts w:ascii="Palatino Linotype" w:hAnsi="Palatino Linotype"/>
          <w:sz w:val="22"/>
        </w:rPr>
        <w:t>3.- Que, no tenía ningún comentario adicional sobre la información requerida y con la modalidad en que le sería entregada.</w:t>
      </w:r>
    </w:p>
    <w:p w14:paraId="63C5D5C7" w14:textId="77777777" w:rsidR="007D160C" w:rsidRPr="00840499" w:rsidRDefault="007D160C">
      <w:pPr>
        <w:spacing w:line="360" w:lineRule="auto"/>
        <w:ind w:right="900"/>
        <w:jc w:val="both"/>
        <w:rPr>
          <w:rFonts w:ascii="Palatino Linotype" w:eastAsia="Palatino Linotype" w:hAnsi="Palatino Linotype" w:cs="Palatino Linotype"/>
          <w:sz w:val="22"/>
          <w:szCs w:val="22"/>
        </w:rPr>
      </w:pPr>
    </w:p>
    <w:p w14:paraId="37A72FD3" w14:textId="77777777" w:rsidR="007D160C" w:rsidRPr="00840499" w:rsidRDefault="00DF6B5B">
      <w:pPr>
        <w:spacing w:line="360" w:lineRule="auto"/>
        <w:ind w:left="-4" w:right="43" w:hanging="9"/>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Una vez concluida esta etapa, el </w:t>
      </w:r>
      <w:r w:rsidRPr="00840499">
        <w:rPr>
          <w:rFonts w:ascii="Palatino Linotype" w:eastAsia="Palatino Linotype" w:hAnsi="Palatino Linotype" w:cs="Palatino Linotype"/>
          <w:b/>
          <w:sz w:val="22"/>
          <w:szCs w:val="22"/>
        </w:rPr>
        <w:t>Sujeto Obligado</w:t>
      </w:r>
      <w:r w:rsidRPr="00840499">
        <w:rPr>
          <w:rFonts w:ascii="Palatino Linotype" w:eastAsia="Palatino Linotype" w:hAnsi="Palatino Linotype" w:cs="Palatino Linotype"/>
          <w:sz w:val="22"/>
          <w:szCs w:val="22"/>
        </w:rPr>
        <w:t xml:space="preserve"> manifestó que procedería a la carga del acuse de recibo de </w:t>
      </w:r>
      <w:r w:rsidRPr="00840499">
        <w:rPr>
          <w:rFonts w:ascii="Palatino Linotype" w:eastAsia="Palatino Linotype" w:hAnsi="Palatino Linotype" w:cs="Palatino Linotype"/>
          <w:b/>
          <w:sz w:val="22"/>
          <w:szCs w:val="22"/>
        </w:rPr>
        <w:t xml:space="preserve">la parte Recurrente, </w:t>
      </w:r>
      <w:r w:rsidR="007449B5" w:rsidRPr="00840499">
        <w:rPr>
          <w:rFonts w:ascii="Palatino Linotype" w:hAnsi="Palatino Linotype"/>
          <w:sz w:val="22"/>
        </w:rPr>
        <w:t>donde se haría constar la entrega del expediente clínico requerido que obra en los archivos del ente público, en la modalidad requerida.</w:t>
      </w:r>
    </w:p>
    <w:p w14:paraId="23E28726" w14:textId="77777777" w:rsidR="007D160C" w:rsidRPr="00840499" w:rsidRDefault="007D160C">
      <w:pPr>
        <w:spacing w:line="360" w:lineRule="auto"/>
        <w:ind w:left="-4" w:right="43" w:hanging="9"/>
        <w:jc w:val="both"/>
        <w:rPr>
          <w:rFonts w:ascii="Palatino Linotype" w:eastAsia="Palatino Linotype" w:hAnsi="Palatino Linotype" w:cs="Palatino Linotype"/>
          <w:sz w:val="22"/>
          <w:szCs w:val="22"/>
        </w:rPr>
      </w:pPr>
    </w:p>
    <w:p w14:paraId="446779F2" w14:textId="77777777" w:rsidR="007D160C" w:rsidRPr="00840499" w:rsidRDefault="00DF6B5B">
      <w:pPr>
        <w:spacing w:line="360" w:lineRule="auto"/>
        <w:ind w:left="11" w:right="43" w:hanging="10"/>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Posteriormente, se procedió a preguntar a </w:t>
      </w:r>
      <w:r w:rsidRPr="00840499">
        <w:rPr>
          <w:rFonts w:ascii="Palatino Linotype" w:eastAsia="Palatino Linotype" w:hAnsi="Palatino Linotype" w:cs="Palatino Linotype"/>
          <w:b/>
          <w:sz w:val="22"/>
          <w:szCs w:val="22"/>
        </w:rPr>
        <w:t>la parte Recurrente</w:t>
      </w:r>
      <w:r w:rsidRPr="00840499">
        <w:rPr>
          <w:rFonts w:ascii="Palatino Linotype" w:eastAsia="Palatino Linotype" w:hAnsi="Palatino Linotype" w:cs="Palatino Linotype"/>
          <w:sz w:val="22"/>
          <w:szCs w:val="22"/>
        </w:rPr>
        <w:t xml:space="preserve"> si se encontraba conforme con lo expresado por el </w:t>
      </w:r>
      <w:r w:rsidRPr="00840499">
        <w:rPr>
          <w:rFonts w:ascii="Palatino Linotype" w:eastAsia="Palatino Linotype" w:hAnsi="Palatino Linotype" w:cs="Palatino Linotype"/>
          <w:b/>
          <w:sz w:val="22"/>
          <w:szCs w:val="22"/>
        </w:rPr>
        <w:t>Sujeto Obligado</w:t>
      </w:r>
      <w:r w:rsidRPr="00840499">
        <w:rPr>
          <w:rFonts w:ascii="Palatino Linotype" w:eastAsia="Palatino Linotype" w:hAnsi="Palatino Linotype" w:cs="Palatino Linotype"/>
          <w:sz w:val="22"/>
          <w:szCs w:val="22"/>
        </w:rPr>
        <w:t xml:space="preserve">, a lo cual, respondió en sentido afirmativo. </w:t>
      </w:r>
    </w:p>
    <w:p w14:paraId="50BE1B25" w14:textId="77777777" w:rsidR="007449B5" w:rsidRPr="00840499" w:rsidRDefault="007449B5">
      <w:pPr>
        <w:spacing w:line="360" w:lineRule="auto"/>
        <w:ind w:left="11" w:right="43" w:hanging="10"/>
        <w:jc w:val="both"/>
        <w:rPr>
          <w:rFonts w:ascii="Palatino Linotype" w:eastAsia="Palatino Linotype" w:hAnsi="Palatino Linotype" w:cs="Palatino Linotype"/>
          <w:sz w:val="22"/>
          <w:szCs w:val="22"/>
        </w:rPr>
      </w:pPr>
    </w:p>
    <w:p w14:paraId="2824394D" w14:textId="77777777" w:rsidR="007D160C" w:rsidRPr="00840499" w:rsidRDefault="00DF6B5B">
      <w:pPr>
        <w:spacing w:line="360" w:lineRule="auto"/>
        <w:ind w:left="11" w:right="43" w:hanging="10"/>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10. De la recepción de la información.</w:t>
      </w:r>
      <w:r w:rsidRPr="00840499">
        <w:rPr>
          <w:rFonts w:ascii="Palatino Linotype" w:eastAsia="Palatino Linotype" w:hAnsi="Palatino Linotype" w:cs="Palatino Linotype"/>
          <w:sz w:val="22"/>
          <w:szCs w:val="22"/>
        </w:rPr>
        <w:t xml:space="preserve"> En fecha </w:t>
      </w:r>
      <w:r w:rsidR="007449B5" w:rsidRPr="00840499">
        <w:rPr>
          <w:rFonts w:ascii="Palatino Linotype" w:eastAsia="Palatino Linotype" w:hAnsi="Palatino Linotype" w:cs="Palatino Linotype"/>
          <w:b/>
          <w:sz w:val="22"/>
          <w:szCs w:val="22"/>
        </w:rPr>
        <w:t>diez de octubre</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 xml:space="preserve">, el </w:t>
      </w:r>
      <w:r w:rsidRPr="00840499">
        <w:rPr>
          <w:rFonts w:ascii="Palatino Linotype" w:eastAsia="Palatino Linotype" w:hAnsi="Palatino Linotype" w:cs="Palatino Linotype"/>
          <w:b/>
          <w:sz w:val="22"/>
          <w:szCs w:val="22"/>
        </w:rPr>
        <w:t>Sujeto Obligado</w:t>
      </w:r>
      <w:r w:rsidRPr="00840499">
        <w:rPr>
          <w:rFonts w:ascii="Palatino Linotype" w:eastAsia="Palatino Linotype" w:hAnsi="Palatino Linotype" w:cs="Palatino Linotype"/>
          <w:sz w:val="22"/>
          <w:szCs w:val="22"/>
        </w:rPr>
        <w:t xml:space="preserve"> remitió a este Instituto Garante a través del Sistema de Acceso, Rectificación, Cancelación y Oposición del Estado de México (SARCOEM)</w:t>
      </w:r>
      <w:r w:rsidRPr="00840499">
        <w:rPr>
          <w:rFonts w:ascii="Palatino Linotype" w:eastAsia="Palatino Linotype" w:hAnsi="Palatino Linotype" w:cs="Palatino Linotype"/>
          <w:b/>
          <w:sz w:val="22"/>
          <w:szCs w:val="22"/>
        </w:rPr>
        <w:t xml:space="preserve">, </w:t>
      </w:r>
      <w:r w:rsidRPr="00840499">
        <w:rPr>
          <w:rFonts w:ascii="Palatino Linotype" w:eastAsia="Palatino Linotype" w:hAnsi="Palatino Linotype" w:cs="Palatino Linotype"/>
          <w:sz w:val="22"/>
          <w:szCs w:val="22"/>
        </w:rPr>
        <w:t xml:space="preserve">el acuse signado por el Particular, en el que se da cuenta, que esta última, recibió </w:t>
      </w:r>
      <w:r w:rsidR="007449B5" w:rsidRPr="00840499">
        <w:rPr>
          <w:rFonts w:ascii="Palatino Linotype" w:eastAsia="Palatino Linotype" w:hAnsi="Palatino Linotype" w:cs="Palatino Linotype"/>
          <w:sz w:val="22"/>
          <w:szCs w:val="22"/>
        </w:rPr>
        <w:t xml:space="preserve">el expediente clínico requerido e la modalidad que solicitó, </w:t>
      </w:r>
      <w:r w:rsidRPr="00840499">
        <w:rPr>
          <w:rFonts w:ascii="Palatino Linotype" w:eastAsia="Palatino Linotype" w:hAnsi="Palatino Linotype" w:cs="Palatino Linotype"/>
          <w:sz w:val="22"/>
          <w:szCs w:val="22"/>
        </w:rPr>
        <w:t>a su entera satisfacción.</w:t>
      </w:r>
    </w:p>
    <w:p w14:paraId="10B7172B" w14:textId="77777777" w:rsidR="007D160C" w:rsidRPr="00840499" w:rsidRDefault="007D160C">
      <w:pPr>
        <w:spacing w:line="360" w:lineRule="auto"/>
        <w:ind w:left="11" w:right="43" w:hanging="10"/>
        <w:jc w:val="both"/>
        <w:rPr>
          <w:rFonts w:ascii="Palatino Linotype" w:eastAsia="Palatino Linotype" w:hAnsi="Palatino Linotype" w:cs="Palatino Linotype"/>
          <w:sz w:val="22"/>
          <w:szCs w:val="22"/>
        </w:rPr>
      </w:pPr>
    </w:p>
    <w:p w14:paraId="5B007814" w14:textId="77777777" w:rsidR="007D160C" w:rsidRPr="00840499" w:rsidRDefault="00DF6B5B">
      <w:pPr>
        <w:spacing w:line="360" w:lineRule="auto"/>
        <w:ind w:left="11" w:right="43" w:hanging="10"/>
        <w:jc w:val="both"/>
        <w:rPr>
          <w:rFonts w:ascii="Palatino Linotype" w:eastAsia="Palatino Linotype" w:hAnsi="Palatino Linotype" w:cs="Palatino Linotype"/>
          <w:sz w:val="22"/>
          <w:szCs w:val="22"/>
        </w:rPr>
      </w:pPr>
      <w:bookmarkStart w:id="7" w:name="_heading=h.jas0wh4gep06" w:colFirst="0" w:colLast="0"/>
      <w:bookmarkEnd w:id="7"/>
      <w:r w:rsidRPr="00840499">
        <w:rPr>
          <w:rFonts w:ascii="Palatino Linotype" w:eastAsia="Palatino Linotype" w:hAnsi="Palatino Linotype" w:cs="Palatino Linotype"/>
          <w:b/>
          <w:sz w:val="22"/>
          <w:szCs w:val="22"/>
        </w:rPr>
        <w:t xml:space="preserve">11. Cierre de instrucción. </w:t>
      </w:r>
      <w:r w:rsidRPr="00840499">
        <w:rPr>
          <w:rFonts w:ascii="Palatino Linotype" w:eastAsia="Palatino Linotype" w:hAnsi="Palatino Linotype" w:cs="Palatino Linotype"/>
          <w:sz w:val="22"/>
          <w:szCs w:val="22"/>
        </w:rPr>
        <w:t xml:space="preserve">Atendiendo que se llegó a un acuerdo en etapa de conciliación y se dio cumplimiento al mismo, el </w:t>
      </w:r>
      <w:r w:rsidR="007449B5" w:rsidRPr="00840499">
        <w:rPr>
          <w:rFonts w:ascii="Palatino Linotype" w:eastAsia="Palatino Linotype" w:hAnsi="Palatino Linotype" w:cs="Palatino Linotype"/>
          <w:b/>
          <w:sz w:val="22"/>
          <w:szCs w:val="22"/>
        </w:rPr>
        <w:t>dieciséis de octubre</w:t>
      </w:r>
      <w:r w:rsidRPr="00840499">
        <w:rPr>
          <w:rFonts w:ascii="Palatino Linotype" w:eastAsia="Palatino Linotype" w:hAnsi="Palatino Linotype" w:cs="Palatino Linotype"/>
          <w:b/>
          <w:sz w:val="22"/>
          <w:szCs w:val="22"/>
        </w:rPr>
        <w:t xml:space="preserve"> de dos mil veinticinco, </w:t>
      </w:r>
      <w:r w:rsidRPr="00840499">
        <w:rPr>
          <w:rFonts w:ascii="Palatino Linotype" w:eastAsia="Palatino Linotype" w:hAnsi="Palatino Linotype" w:cs="Palatino Linotype"/>
          <w:sz w:val="22"/>
          <w:szCs w:val="22"/>
        </w:rPr>
        <w:t>la Comisionada Ponente determinó el cierre de instrucción en términos de los artículos 127, 132 fracción VI de la Ley de Protección de Datos Personales en Posesión de Sujetos Obligados del Estado de México y Municipios, y 185, fracción VI del artículo de la Ley de Transparencia y Acceso a la Información Pública del Estado de México y Municipios, de aplicación supletoria.</w:t>
      </w:r>
    </w:p>
    <w:p w14:paraId="3C0B7E98" w14:textId="77777777" w:rsidR="007D160C" w:rsidRPr="00840499" w:rsidRDefault="00DF6B5B">
      <w:pPr>
        <w:spacing w:before="240" w:after="240"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0045334" w14:textId="77777777" w:rsidR="007D160C" w:rsidRPr="00840499" w:rsidRDefault="00DF6B5B">
      <w:pPr>
        <w:widowControl w:val="0"/>
        <w:spacing w:before="240" w:after="240" w:line="360" w:lineRule="auto"/>
        <w:jc w:val="center"/>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II. C O N S I D E R A N D O S</w:t>
      </w:r>
    </w:p>
    <w:p w14:paraId="60F8BE64" w14:textId="77777777" w:rsidR="007D160C" w:rsidRPr="00840499" w:rsidRDefault="00DF6B5B">
      <w:pPr>
        <w:spacing w:before="240" w:after="240"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Primero. Competencia.</w:t>
      </w:r>
      <w:r w:rsidRPr="0084049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840499">
        <w:rPr>
          <w:rFonts w:ascii="Palatino Linotype" w:eastAsia="Palatino Linotype" w:hAnsi="Palatino Linotype" w:cs="Palatino Linotype"/>
          <w:b/>
          <w:sz w:val="22"/>
          <w:szCs w:val="22"/>
        </w:rPr>
        <w:t>la parte Recurrente</w:t>
      </w:r>
      <w:r w:rsidRPr="00840499">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noveno, cuadragésimo y cuadragésimo primero, fracción IV de la Constitución Política del Estado Libre y Soberano de México;  1, 8, 9, 10, 34 y 35 fracciones I, II y III, de la Ley General de Transparencia y Acceso a la Información Pública, vigente a la fecha de la solicitud; 1, 2, fracciones II y IV; 13, 29, 36, fracciones I y II; 176, 178, 179, 181 párrafo tercero, 185, 188 y 189 de la Ley de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vigente a la fecha de la solicitud;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41ACEDA0" w14:textId="77777777" w:rsidR="007D160C" w:rsidRPr="00840499" w:rsidRDefault="00DF6B5B">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Segundo. Causales de Improcedencia y Sobreseimiento</w:t>
      </w:r>
      <w:r w:rsidRPr="00840499">
        <w:rPr>
          <w:rFonts w:ascii="Palatino Linotype" w:eastAsia="Palatino Linotype" w:hAnsi="Palatino Linotype" w:cs="Palatino Linotype"/>
          <w:sz w:val="22"/>
          <w:szCs w:val="22"/>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2224F12A"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7E448A28"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Noto Sans Symbols" w:eastAsia="Noto Sans Symbols" w:hAnsi="Noto Sans Symbols" w:cs="Noto Sans Symbols"/>
          <w:sz w:val="22"/>
          <w:szCs w:val="22"/>
        </w:rPr>
        <w:t>∙</w:t>
      </w:r>
      <w:r w:rsidRPr="00840499">
        <w:rPr>
          <w:rFonts w:ascii="Palatino Linotype" w:eastAsia="Palatino Linotype" w:hAnsi="Palatino Linotype" w:cs="Palatino Linotype"/>
          <w:b/>
          <w:sz w:val="22"/>
          <w:szCs w:val="22"/>
        </w:rPr>
        <w:t xml:space="preserve"> Causales de improcedencia</w:t>
      </w:r>
      <w:r w:rsidRPr="00840499">
        <w:rPr>
          <w:rFonts w:ascii="Palatino Linotype" w:eastAsia="Palatino Linotype" w:hAnsi="Palatino Linotype" w:cs="Palatino Linotype"/>
          <w:sz w:val="22"/>
          <w:szCs w:val="22"/>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14:paraId="26751FB0"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764D5FDA"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Noto Sans Symbols" w:eastAsia="Noto Sans Symbols" w:hAnsi="Noto Sans Symbols" w:cs="Noto Sans Symbols"/>
          <w:b/>
          <w:sz w:val="22"/>
          <w:szCs w:val="22"/>
        </w:rPr>
        <w:t>∙</w:t>
      </w:r>
      <w:r w:rsidRPr="00840499">
        <w:rPr>
          <w:rFonts w:ascii="Palatino Linotype" w:eastAsia="Palatino Linotype" w:hAnsi="Palatino Linotype" w:cs="Palatino Linotype"/>
          <w:b/>
          <w:sz w:val="22"/>
          <w:szCs w:val="22"/>
        </w:rPr>
        <w:t xml:space="preserve"> Causales de sobreseimiento.</w:t>
      </w:r>
      <w:r w:rsidRPr="00840499">
        <w:rPr>
          <w:rFonts w:ascii="Palatino Linotype" w:eastAsia="Palatino Linotype" w:hAnsi="Palatino Linotype" w:cs="Palatino Linotype"/>
          <w:sz w:val="22"/>
          <w:szCs w:val="22"/>
        </w:rPr>
        <w:t xml:space="preserve"> 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14:paraId="116321E3" w14:textId="77777777" w:rsidR="00BD7329" w:rsidRPr="00840499" w:rsidRDefault="00BD7329">
      <w:pPr>
        <w:spacing w:line="360" w:lineRule="auto"/>
        <w:jc w:val="both"/>
        <w:rPr>
          <w:rFonts w:ascii="Palatino Linotype" w:eastAsia="Palatino Linotype" w:hAnsi="Palatino Linotype" w:cs="Palatino Linotype"/>
          <w:sz w:val="22"/>
          <w:szCs w:val="22"/>
        </w:rPr>
      </w:pPr>
    </w:p>
    <w:p w14:paraId="2317C653" w14:textId="77777777" w:rsidR="007D160C" w:rsidRPr="00840499"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El recurrente se desista expresamente.</w:t>
      </w:r>
    </w:p>
    <w:p w14:paraId="62203538" w14:textId="77777777" w:rsidR="007D160C" w:rsidRPr="00840499"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El recurrente fallezca. </w:t>
      </w:r>
    </w:p>
    <w:p w14:paraId="08A681BC" w14:textId="77777777" w:rsidR="007D160C" w:rsidRPr="00840499"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Admitido el recurso de revisión, se actualice alguna causal de improcedencia en los términos de la presente Ley. </w:t>
      </w:r>
    </w:p>
    <w:p w14:paraId="76CBBB59" w14:textId="77777777" w:rsidR="007D160C" w:rsidRPr="00840499" w:rsidRDefault="00DF6B5B">
      <w:pPr>
        <w:numPr>
          <w:ilvl w:val="0"/>
          <w:numId w:val="2"/>
        </w:numPr>
        <w:spacing w:line="360" w:lineRule="auto"/>
        <w:ind w:left="567" w:hanging="283"/>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El responsable modifique o revoque su respuesta de tal manera que el recurso de revisión quede sin materia. </w:t>
      </w:r>
    </w:p>
    <w:p w14:paraId="00DF2C10" w14:textId="77777777" w:rsidR="007D160C" w:rsidRPr="00840499" w:rsidRDefault="00DF6B5B">
      <w:pPr>
        <w:numPr>
          <w:ilvl w:val="0"/>
          <w:numId w:val="2"/>
        </w:numPr>
        <w:spacing w:line="360" w:lineRule="auto"/>
        <w:ind w:left="567" w:hanging="283"/>
        <w:jc w:val="both"/>
        <w:rPr>
          <w:rFonts w:ascii="Palatino Linotype" w:eastAsia="Palatino Linotype" w:hAnsi="Palatino Linotype" w:cs="Palatino Linotype"/>
          <w:b/>
          <w:sz w:val="22"/>
          <w:szCs w:val="22"/>
          <w:u w:val="single"/>
        </w:rPr>
      </w:pPr>
      <w:r w:rsidRPr="00840499">
        <w:rPr>
          <w:rFonts w:ascii="Palatino Linotype" w:eastAsia="Palatino Linotype" w:hAnsi="Palatino Linotype" w:cs="Palatino Linotype"/>
          <w:b/>
          <w:sz w:val="22"/>
          <w:szCs w:val="22"/>
          <w:u w:val="single"/>
        </w:rPr>
        <w:t xml:space="preserve">Quede sin materia el recurso de revisión. </w:t>
      </w:r>
    </w:p>
    <w:p w14:paraId="0CAA167E"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742D877C"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Es de señalar que toda vez que admitido el recurso de revisión, se actualiza una causal de sobreseimiento en términos de la Ley, es procedente analizar el supuesto previsto en la fracción V del artículo en cita, en el siguiente considerando.</w:t>
      </w:r>
    </w:p>
    <w:p w14:paraId="11B38FBB"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309DB58D"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 xml:space="preserve">Tercero. Análisis de la Causal de sobreseimiento. </w:t>
      </w:r>
      <w:r w:rsidRPr="00840499">
        <w:rPr>
          <w:rFonts w:ascii="Palatino Linotype" w:eastAsia="Palatino Linotype" w:hAnsi="Palatino Linotype" w:cs="Palatino Linotype"/>
          <w:sz w:val="22"/>
          <w:szCs w:val="22"/>
        </w:rPr>
        <w:t>Para el asunto que nos ocupa, es importante establecer de manera clara, el trámite que debe llevar el tratamiento de una solicitud de Acceso, Rectificación, Cancelación, Oposición o Portabilidad de Datos Personales, de los cuales, se hace la precisión del derecho de Acceso, como es en el caso que nos ocupa.</w:t>
      </w:r>
    </w:p>
    <w:p w14:paraId="2D4ABA0A"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26CFE6FA" w14:textId="77777777" w:rsidR="007D160C" w:rsidRPr="00840499"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Los particulares podrán ejercer su derecho de Acceso, ante los Sujetos Obligados del Estado de México, por diversos medios, entre los que se contempla el ejercicio a través del Sistema de Acceso, Rectificación, Cancelación y Oposición de Datos Personales del Estado de México, como aconteció en el presente asunto.</w:t>
      </w:r>
    </w:p>
    <w:p w14:paraId="10DCDA64" w14:textId="77777777" w:rsidR="007D160C" w:rsidRPr="00840499"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3B2F271" w14:textId="77777777" w:rsidR="007D160C" w:rsidRPr="00840499"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Una vez recibida la solicitud, el Responsable, deberá identificar si cuenta con los elementos necesarios para dar trámite a la solicitud los cuales son:</w:t>
      </w:r>
    </w:p>
    <w:p w14:paraId="030B90CD" w14:textId="77777777" w:rsidR="007D160C" w:rsidRPr="00840499"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DBEC157" w14:textId="77777777" w:rsidR="007D160C" w:rsidRPr="00840499"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El nombre del titular y su domicilio, o cualquier otro medio para recibir notificaciones.</w:t>
      </w:r>
    </w:p>
    <w:p w14:paraId="4A0C21A4" w14:textId="77777777" w:rsidR="007D160C" w:rsidRPr="00840499"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Los documentos que acrediten la identidad del titular y en su caso, la personalidad e identidad de su representante.</w:t>
      </w:r>
    </w:p>
    <w:p w14:paraId="4E7364DF" w14:textId="77777777" w:rsidR="007D160C" w:rsidRPr="00840499"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De ser posible, el área responsable que trata los datos personales y ante el cual se presenta la  solicitud. </w:t>
      </w:r>
    </w:p>
    <w:p w14:paraId="3BF1A61D" w14:textId="77777777" w:rsidR="007D160C" w:rsidRPr="00840499"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La descripción clara y precisa de los datos personales respecto de los que se busca ejercer alguno de los derechos ARCO, salvo que se trate del derecho de acceso. </w:t>
      </w:r>
    </w:p>
    <w:p w14:paraId="407E7DFA" w14:textId="77777777" w:rsidR="007D160C" w:rsidRPr="00840499"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La descripción del derecho ARCO que se pretende ejercer, o bien, lo que solicita el titular.</w:t>
      </w:r>
    </w:p>
    <w:p w14:paraId="4FB3B8AF" w14:textId="77777777" w:rsidR="007D160C" w:rsidRPr="00840499"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Cualquier otro elemento o documento que facilite la localización de los datos personales, en su caso.</w:t>
      </w:r>
    </w:p>
    <w:p w14:paraId="3CC0FBC0" w14:textId="77777777" w:rsidR="007D160C" w:rsidRPr="00840499" w:rsidRDefault="00DF6B5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Señalar la modalidad en la que el titular prefiere se otorgue éste, la cual podrá ser por consulta directa, copias simples, certificadas, digitalizadas u otro tipo de medio electrónico.</w:t>
      </w:r>
    </w:p>
    <w:p w14:paraId="5286B6FC" w14:textId="77777777" w:rsidR="007D160C" w:rsidRPr="00840499"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Para el caso de que se solicite acceder a datos de personas fallecidas, se debe acreditar que el Titular de los datos, expresó a través de testamento o documento de similar naturaleza, la expresión de voluntad para que el Solicitante, pueda acceder a sus datos personales.</w:t>
      </w:r>
    </w:p>
    <w:p w14:paraId="1526D145" w14:textId="77777777" w:rsidR="007D160C" w:rsidRPr="00840499"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D36F0E1" w14:textId="77777777" w:rsidR="007D160C" w:rsidRPr="00840499"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En caso de identificar, que alguno de estos requisitos no es subsanable, el Responsable en un periodo de cinco días hábiles prevendrá al Titular de los Datos o a su representante, para que los subsane, quien, a su vez, tendrá un periodo de diez días hábiles para subsanarlos, contados a partir del día siguiente de la notificación; en caso de que no se subsanen, se tendrá por no interpuesta.</w:t>
      </w:r>
    </w:p>
    <w:p w14:paraId="0FC38CAE" w14:textId="77777777" w:rsidR="007D160C" w:rsidRPr="00840499" w:rsidRDefault="007D160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BF8B7BD" w14:textId="77777777" w:rsidR="007D160C" w:rsidRPr="00840499" w:rsidRDefault="00DF6B5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El Responsable cuenta con un periodo de veinte días hábiles para dar trámite al ejercicio del Derecho ARCO y en el caso del derecho de acceso a Datos Personales, de hacer entrega de la información solicitada.</w:t>
      </w:r>
    </w:p>
    <w:p w14:paraId="6FADC744" w14:textId="77777777" w:rsidR="007D160C" w:rsidRPr="00840499" w:rsidRDefault="007D160C">
      <w:pPr>
        <w:tabs>
          <w:tab w:val="left" w:pos="4667"/>
        </w:tabs>
        <w:spacing w:line="360" w:lineRule="auto"/>
        <w:jc w:val="both"/>
        <w:rPr>
          <w:rFonts w:ascii="Palatino Linotype" w:eastAsia="Palatino Linotype" w:hAnsi="Palatino Linotype" w:cs="Palatino Linotype"/>
          <w:b/>
          <w:sz w:val="22"/>
          <w:szCs w:val="22"/>
        </w:rPr>
      </w:pPr>
    </w:p>
    <w:p w14:paraId="78C27456" w14:textId="77777777" w:rsidR="007D160C" w:rsidRPr="00840499" w:rsidRDefault="00DF6B5B">
      <w:pPr>
        <w:tabs>
          <w:tab w:val="left" w:pos="4667"/>
        </w:tabs>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Dicho esto, debemos puntualizar que la parte solicitante requirió información de un tercero, esto es, quien solicitó la información no fue el Titular de los Datos sino un familiar.</w:t>
      </w:r>
    </w:p>
    <w:p w14:paraId="56F5F22A" w14:textId="77777777" w:rsidR="007D160C" w:rsidRPr="00840499" w:rsidRDefault="007D160C">
      <w:pPr>
        <w:tabs>
          <w:tab w:val="left" w:pos="4667"/>
        </w:tabs>
        <w:spacing w:line="360" w:lineRule="auto"/>
        <w:jc w:val="both"/>
        <w:rPr>
          <w:rFonts w:ascii="Palatino Linotype" w:eastAsia="Palatino Linotype" w:hAnsi="Palatino Linotype" w:cs="Palatino Linotype"/>
          <w:sz w:val="22"/>
          <w:szCs w:val="22"/>
        </w:rPr>
      </w:pPr>
    </w:p>
    <w:p w14:paraId="345816E4" w14:textId="77777777" w:rsidR="007D160C" w:rsidRPr="00840499" w:rsidRDefault="00DF6B5B">
      <w:pPr>
        <w:tabs>
          <w:tab w:val="left" w:pos="4667"/>
        </w:tabs>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El ejercicio de derechos ARCO, contempla como uno de sus derechos el Acceso a los Datos Personales, para lo cual, se deberá acreditar la titularidad de los datos personales o bien, la calidad de representante, a través documento de identidad, o de cualquiera de los mecanismos que contempla la Ley de Protección de Datos Personales vigente en el Estado de México.</w:t>
      </w:r>
    </w:p>
    <w:p w14:paraId="3272F64E" w14:textId="77777777" w:rsidR="007D160C" w:rsidRPr="00840499" w:rsidRDefault="007D160C">
      <w:pPr>
        <w:tabs>
          <w:tab w:val="left" w:pos="4667"/>
        </w:tabs>
        <w:spacing w:line="360" w:lineRule="auto"/>
        <w:jc w:val="both"/>
        <w:rPr>
          <w:rFonts w:ascii="Palatino Linotype" w:eastAsia="Palatino Linotype" w:hAnsi="Palatino Linotype" w:cs="Palatino Linotype"/>
          <w:sz w:val="22"/>
          <w:szCs w:val="22"/>
        </w:rPr>
      </w:pPr>
    </w:p>
    <w:p w14:paraId="7F5FE121" w14:textId="77777777" w:rsidR="007D160C" w:rsidRPr="00840499" w:rsidRDefault="00DF6B5B">
      <w:pPr>
        <w:tabs>
          <w:tab w:val="left" w:pos="4667"/>
        </w:tabs>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Hasta este punto, resulta claro la forma de acceder a datos personales, cuando la persona se encuentra con vida, ya sea a través de sí mismo o de representante; sin embargo, existe una dificultad, cuando nos encontramos ante información de personas que fallecieron, pues conforme a la teoría del patrimonio, aun cuando una persona fallece, su patrimonio sigue siendo objeto de derechos y obligaciones.</w:t>
      </w:r>
    </w:p>
    <w:p w14:paraId="1C4CA42E" w14:textId="77777777" w:rsidR="007D160C" w:rsidRPr="00840499" w:rsidRDefault="007D160C">
      <w:pPr>
        <w:tabs>
          <w:tab w:val="left" w:pos="4667"/>
        </w:tabs>
        <w:spacing w:line="360" w:lineRule="auto"/>
        <w:jc w:val="both"/>
        <w:rPr>
          <w:rFonts w:ascii="Palatino Linotype" w:eastAsia="Palatino Linotype" w:hAnsi="Palatino Linotype" w:cs="Palatino Linotype"/>
          <w:sz w:val="22"/>
          <w:szCs w:val="22"/>
        </w:rPr>
      </w:pPr>
    </w:p>
    <w:p w14:paraId="43432F7C" w14:textId="77777777" w:rsidR="007D160C" w:rsidRPr="00840499" w:rsidRDefault="00DF6B5B">
      <w:pPr>
        <w:tabs>
          <w:tab w:val="left" w:pos="4667"/>
        </w:tabs>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La Ley de Protección de Datos Personales, contempla que cuando nos encontremos ante el ejercicio de derechos ARCO de personas fallecidas, se entiende que se podrá acceder, cuando se acredite la existencia de interés jurídico, como se contempla en su artículo 106, que señala:</w:t>
      </w:r>
    </w:p>
    <w:p w14:paraId="0381796C" w14:textId="77777777" w:rsidR="007D160C" w:rsidRPr="00840499" w:rsidRDefault="007D160C">
      <w:pPr>
        <w:tabs>
          <w:tab w:val="left" w:pos="4667"/>
        </w:tabs>
        <w:spacing w:line="360" w:lineRule="auto"/>
        <w:jc w:val="both"/>
        <w:rPr>
          <w:rFonts w:ascii="Palatino Linotype" w:eastAsia="Palatino Linotype" w:hAnsi="Palatino Linotype" w:cs="Palatino Linotype"/>
          <w:sz w:val="22"/>
          <w:szCs w:val="22"/>
        </w:rPr>
      </w:pPr>
    </w:p>
    <w:p w14:paraId="191BE1C1"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 xml:space="preserve">Legitimación para Ejercer los Derechos ARCO </w:t>
      </w:r>
    </w:p>
    <w:p w14:paraId="5DB06175"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5297B61F" w14:textId="77777777" w:rsidR="007D160C" w:rsidRPr="00840499"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21329D54"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2DCA5FBB" w14:textId="77777777" w:rsidR="007D160C" w:rsidRPr="00840499"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47C755F6"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 xml:space="preserve">Para el ejercicio de los derechos ARCO solicitados será necesario acreditar la identidad de titular y en su caso la identidad y personalidad con la que actúe el representante. </w:t>
      </w:r>
    </w:p>
    <w:p w14:paraId="45398DB7" w14:textId="77777777" w:rsidR="007D160C" w:rsidRPr="00840499"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4BFE8D08"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b/>
          <w:i/>
          <w:sz w:val="22"/>
          <w:szCs w:val="22"/>
        </w:rPr>
      </w:pPr>
      <w:r w:rsidRPr="00840499">
        <w:rPr>
          <w:rFonts w:ascii="Palatino Linotype" w:eastAsia="Palatino Linotype" w:hAnsi="Palatino Linotype" w:cs="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7F7546CA" w14:textId="77777777" w:rsidR="007D160C" w:rsidRPr="00840499"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5129C03F"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b/>
          <w:i/>
          <w:sz w:val="22"/>
          <w:szCs w:val="22"/>
        </w:rPr>
      </w:pPr>
      <w:r w:rsidRPr="00840499">
        <w:rPr>
          <w:rFonts w:ascii="Palatino Linotype" w:eastAsia="Palatino Linotype" w:hAnsi="Palatino Linotype" w:cs="Palatino Linotype"/>
          <w:b/>
          <w:i/>
          <w:sz w:val="22"/>
          <w:szCs w:val="22"/>
        </w:rPr>
        <w:t>El titular podrá autorizar dentro de una cláusula del testamento a las personas que podrán ejercer sus derechos ARCO al momento del fallecimiento.</w:t>
      </w:r>
    </w:p>
    <w:p w14:paraId="49C11D4F" w14:textId="77777777" w:rsidR="007D160C" w:rsidRPr="00840499"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108E332C"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 xml:space="preserve">El ejercicio de los derechos ARCO por persona distinta a su titular o a su representante, será posible, excepcionalmente, en aquellos supuestos previstos por disposición legal, o en su caso, por mandato judicial. </w:t>
      </w:r>
    </w:p>
    <w:p w14:paraId="3A4DDFCC" w14:textId="77777777" w:rsidR="007D160C" w:rsidRPr="00840499"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588F7385"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14:paraId="124F8A10"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(Énfasis añadido)</w:t>
      </w:r>
    </w:p>
    <w:p w14:paraId="10704C00" w14:textId="77777777" w:rsidR="007D160C" w:rsidRPr="00840499" w:rsidRDefault="007D160C">
      <w:pPr>
        <w:tabs>
          <w:tab w:val="left" w:pos="4667"/>
        </w:tabs>
        <w:spacing w:line="360" w:lineRule="auto"/>
        <w:jc w:val="both"/>
        <w:rPr>
          <w:rFonts w:ascii="Palatino Linotype" w:eastAsia="Palatino Linotype" w:hAnsi="Palatino Linotype" w:cs="Palatino Linotype"/>
          <w:sz w:val="22"/>
          <w:szCs w:val="22"/>
        </w:rPr>
      </w:pPr>
    </w:p>
    <w:p w14:paraId="3F205AB7" w14:textId="77777777" w:rsidR="007D160C" w:rsidRPr="00840499" w:rsidRDefault="00DF6B5B">
      <w:pPr>
        <w:tabs>
          <w:tab w:val="left" w:pos="4667"/>
        </w:tabs>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El artículo antes señalado, contempla la procedencia del derecho de acceso a datos de una persona fallecida, si se acredita interés jurídico, pero no es sino hasta el artículo 122 de la Ley de Protección de Datos Personales en Posesión de Sujetos Obligados del Estado de México y Municipios, que considera la procedencia del recurso de revisión a nombre de personas finadas, cuando se acredite tener un interés jurídico o legítimo en los siguientes términos:</w:t>
      </w:r>
    </w:p>
    <w:p w14:paraId="5744F998"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 xml:space="preserve">Interposición respecto a datos de personas fallecidas </w:t>
      </w:r>
    </w:p>
    <w:p w14:paraId="0C281144" w14:textId="77777777" w:rsidR="007D160C" w:rsidRPr="00840499" w:rsidRDefault="00DF6B5B">
      <w:pPr>
        <w:tabs>
          <w:tab w:val="left" w:pos="4667"/>
        </w:tabs>
        <w:spacing w:line="276" w:lineRule="auto"/>
        <w:ind w:left="851" w:right="567"/>
        <w:jc w:val="both"/>
        <w:rPr>
          <w:rFonts w:ascii="Palatino Linotype" w:eastAsia="Palatino Linotype" w:hAnsi="Palatino Linotype" w:cs="Palatino Linotype"/>
          <w:i/>
          <w:sz w:val="22"/>
          <w:szCs w:val="22"/>
        </w:rPr>
      </w:pPr>
      <w:r w:rsidRPr="00840499">
        <w:rPr>
          <w:rFonts w:ascii="Palatino Linotype" w:eastAsia="Palatino Linotype" w:hAnsi="Palatino Linotype" w:cs="Palatino Linotype"/>
          <w:i/>
          <w:sz w:val="22"/>
          <w:szCs w:val="22"/>
        </w:rPr>
        <w:t>Artículo 122. La interposición de un recurso de revisión de datos personales concernientes a personas fallecidas, podrá realizarla la persona que acredite tener un interés jurídico o legítimo.</w:t>
      </w:r>
    </w:p>
    <w:p w14:paraId="782B1765" w14:textId="77777777" w:rsidR="007D160C" w:rsidRPr="00840499" w:rsidRDefault="007D160C">
      <w:pPr>
        <w:tabs>
          <w:tab w:val="left" w:pos="4667"/>
        </w:tabs>
        <w:spacing w:line="276" w:lineRule="auto"/>
        <w:ind w:left="851" w:right="567"/>
        <w:jc w:val="both"/>
        <w:rPr>
          <w:rFonts w:ascii="Palatino Linotype" w:eastAsia="Palatino Linotype" w:hAnsi="Palatino Linotype" w:cs="Palatino Linotype"/>
          <w:i/>
          <w:sz w:val="22"/>
          <w:szCs w:val="22"/>
        </w:rPr>
      </w:pPr>
    </w:p>
    <w:p w14:paraId="282D78A7" w14:textId="77777777" w:rsidR="007449B5"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Así, en el presente asunto,</w:t>
      </w:r>
      <w:r w:rsidRPr="00840499">
        <w:t xml:space="preserve"> </w:t>
      </w:r>
      <w:r w:rsidRPr="00840499">
        <w:rPr>
          <w:rFonts w:ascii="Palatino Linotype" w:eastAsia="Palatino Linotype" w:hAnsi="Palatino Linotype" w:cs="Palatino Linotype"/>
          <w:sz w:val="22"/>
          <w:szCs w:val="22"/>
        </w:rPr>
        <w:t xml:space="preserve">en el expediente digital sustanciado en el SARCOEM, se dejó constancia de que la persona solicitante, tiene calidad de </w:t>
      </w:r>
      <w:r w:rsidR="007449B5" w:rsidRPr="00840499">
        <w:rPr>
          <w:rFonts w:ascii="Palatino Linotype" w:eastAsia="Palatino Linotype" w:hAnsi="Palatino Linotype" w:cs="Palatino Linotype"/>
          <w:sz w:val="22"/>
          <w:szCs w:val="22"/>
        </w:rPr>
        <w:t>cónyuge</w:t>
      </w:r>
      <w:r w:rsidRPr="00840499">
        <w:rPr>
          <w:rFonts w:ascii="Palatino Linotype" w:eastAsia="Palatino Linotype" w:hAnsi="Palatino Linotype" w:cs="Palatino Linotype"/>
          <w:sz w:val="22"/>
          <w:szCs w:val="22"/>
        </w:rPr>
        <w:t>, quien s</w:t>
      </w:r>
      <w:r w:rsidR="007449B5" w:rsidRPr="00840499">
        <w:rPr>
          <w:rFonts w:ascii="Palatino Linotype" w:eastAsia="Palatino Linotype" w:hAnsi="Palatino Linotype" w:cs="Palatino Linotype"/>
          <w:sz w:val="22"/>
          <w:szCs w:val="22"/>
        </w:rPr>
        <w:t>e acreditó a través de las siguientes documentales:</w:t>
      </w:r>
    </w:p>
    <w:p w14:paraId="737A54FD" w14:textId="77777777" w:rsidR="007449B5" w:rsidRPr="00840499" w:rsidRDefault="007449B5">
      <w:pPr>
        <w:spacing w:line="360" w:lineRule="auto"/>
        <w:jc w:val="both"/>
        <w:rPr>
          <w:rFonts w:ascii="Palatino Linotype" w:eastAsia="Palatino Linotype" w:hAnsi="Palatino Linotype" w:cs="Palatino Linotype"/>
          <w:sz w:val="22"/>
          <w:szCs w:val="22"/>
        </w:rPr>
      </w:pPr>
    </w:p>
    <w:p w14:paraId="371B6233" w14:textId="77777777" w:rsidR="007449B5" w:rsidRPr="00840499" w:rsidRDefault="007449B5" w:rsidP="007449B5">
      <w:pPr>
        <w:spacing w:line="360" w:lineRule="auto"/>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-Credenciales para votar expedidas por el Instituto Nacional Electoral a favor de la solicitante y la persona fallecida referida en la solicitud.</w:t>
      </w:r>
    </w:p>
    <w:p w14:paraId="309314C5" w14:textId="77777777" w:rsidR="007449B5" w:rsidRPr="00840499" w:rsidRDefault="007449B5" w:rsidP="007449B5">
      <w:pPr>
        <w:spacing w:line="360" w:lineRule="auto"/>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-Acta de defunción de la persona fallecida.</w:t>
      </w:r>
    </w:p>
    <w:p w14:paraId="1590A608" w14:textId="77777777" w:rsidR="007449B5" w:rsidRPr="00840499" w:rsidRDefault="007449B5" w:rsidP="007449B5">
      <w:pPr>
        <w:spacing w:line="360" w:lineRule="auto"/>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-Acta de matrimonio entre la persona fallecida y la solicitante.</w:t>
      </w:r>
    </w:p>
    <w:p w14:paraId="693E39ED" w14:textId="77777777" w:rsidR="007449B5" w:rsidRPr="00840499" w:rsidRDefault="007449B5" w:rsidP="007449B5">
      <w:pPr>
        <w:spacing w:line="360" w:lineRule="auto"/>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 Foja correspondiente a la póliza de seguro expedida por Seguros Inbursa, S.A. Grupo Financiero Inbursa donde la parte Recurrente fue designada como beneficiaria.</w:t>
      </w:r>
    </w:p>
    <w:p w14:paraId="13411BB5" w14:textId="77777777" w:rsidR="007449B5" w:rsidRPr="00840499" w:rsidRDefault="007449B5" w:rsidP="007449B5">
      <w:pPr>
        <w:spacing w:line="360" w:lineRule="auto"/>
        <w:jc w:val="both"/>
        <w:rPr>
          <w:rFonts w:ascii="Palatino Linotype" w:eastAsia="Palatino Linotype" w:hAnsi="Palatino Linotype" w:cs="Palatino Linotype"/>
          <w:b/>
          <w:sz w:val="22"/>
          <w:szCs w:val="22"/>
        </w:rPr>
      </w:pPr>
    </w:p>
    <w:p w14:paraId="43D0A3BA" w14:textId="77777777" w:rsidR="007D160C" w:rsidRPr="00840499" w:rsidRDefault="007449B5">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P</w:t>
      </w:r>
      <w:r w:rsidR="00DF6B5B" w:rsidRPr="00840499">
        <w:rPr>
          <w:rFonts w:ascii="Palatino Linotype" w:eastAsia="Palatino Linotype" w:hAnsi="Palatino Linotype" w:cs="Palatino Linotype"/>
          <w:sz w:val="22"/>
          <w:szCs w:val="22"/>
        </w:rPr>
        <w:t>or lo que el interés jurídico, quedó acreditado.</w:t>
      </w:r>
    </w:p>
    <w:p w14:paraId="36260085"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6AEEC202"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Ahora bien, con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14:paraId="6495C2CE"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605F513E"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Tal y como quedó asentado</w:t>
      </w:r>
      <w:r w:rsidRPr="00840499">
        <w:rPr>
          <w:rFonts w:ascii="Palatino Linotype" w:eastAsia="Palatino Linotype" w:hAnsi="Palatino Linotype" w:cs="Palatino Linotype"/>
          <w:b/>
          <w:sz w:val="22"/>
          <w:szCs w:val="22"/>
        </w:rPr>
        <w:t xml:space="preserve"> </w:t>
      </w:r>
      <w:r w:rsidRPr="00840499">
        <w:rPr>
          <w:rFonts w:ascii="Palatino Linotype" w:eastAsia="Palatino Linotype" w:hAnsi="Palatino Linotype" w:cs="Palatino Linotype"/>
          <w:sz w:val="22"/>
          <w:szCs w:val="22"/>
        </w:rPr>
        <w:t xml:space="preserve">en el antecedente uno de la presente resolución, la </w:t>
      </w:r>
      <w:r w:rsidRPr="00840499">
        <w:rPr>
          <w:rFonts w:ascii="Palatino Linotype" w:eastAsia="Palatino Linotype" w:hAnsi="Palatino Linotype" w:cs="Palatino Linotype"/>
          <w:b/>
          <w:sz w:val="22"/>
          <w:szCs w:val="22"/>
        </w:rPr>
        <w:t>parte Recurrente</w:t>
      </w:r>
      <w:r w:rsidRPr="00840499">
        <w:rPr>
          <w:rFonts w:ascii="Palatino Linotype" w:eastAsia="Palatino Linotype" w:hAnsi="Palatino Linotype" w:cs="Palatino Linotype"/>
          <w:sz w:val="22"/>
          <w:szCs w:val="22"/>
        </w:rPr>
        <w:t xml:space="preserve"> requirió al </w:t>
      </w:r>
      <w:r w:rsidRPr="00840499">
        <w:rPr>
          <w:rFonts w:ascii="Palatino Linotype" w:eastAsia="Palatino Linotype" w:hAnsi="Palatino Linotype" w:cs="Palatino Linotype"/>
          <w:b/>
          <w:sz w:val="22"/>
          <w:szCs w:val="22"/>
        </w:rPr>
        <w:t>Sujeto Obligado</w:t>
      </w:r>
      <w:r w:rsidRPr="00840499">
        <w:rPr>
          <w:rFonts w:ascii="Palatino Linotype" w:eastAsia="Palatino Linotype" w:hAnsi="Palatino Linotype" w:cs="Palatino Linotype"/>
          <w:sz w:val="22"/>
          <w:szCs w:val="22"/>
        </w:rPr>
        <w:t xml:space="preserve">, en copias certificadas, </w:t>
      </w:r>
      <w:r w:rsidR="007449B5" w:rsidRPr="00840499">
        <w:rPr>
          <w:rFonts w:ascii="Palatino Linotype" w:eastAsia="Palatino Linotype" w:hAnsi="Palatino Linotype" w:cs="Palatino Linotype"/>
          <w:sz w:val="22"/>
          <w:szCs w:val="22"/>
        </w:rPr>
        <w:t>el expediente clínico de la CC Naucalpan, de los años 2022, 2023, 2024 y 2025,</w:t>
      </w:r>
      <w:r w:rsidRPr="00840499">
        <w:rPr>
          <w:rFonts w:ascii="Palatino Linotype" w:eastAsia="Palatino Linotype" w:hAnsi="Palatino Linotype" w:cs="Palatino Linotype"/>
          <w:sz w:val="22"/>
          <w:szCs w:val="22"/>
        </w:rPr>
        <w:t xml:space="preserve"> a nombre de su finado </w:t>
      </w:r>
      <w:r w:rsidR="007449B5" w:rsidRPr="00840499">
        <w:rPr>
          <w:rFonts w:ascii="Palatino Linotype" w:eastAsia="Palatino Linotype" w:hAnsi="Palatino Linotype" w:cs="Palatino Linotype"/>
          <w:sz w:val="22"/>
          <w:szCs w:val="22"/>
        </w:rPr>
        <w:t>c</w:t>
      </w:r>
      <w:r w:rsidR="00E7506E" w:rsidRPr="00840499">
        <w:rPr>
          <w:rFonts w:ascii="Palatino Linotype" w:eastAsia="Palatino Linotype" w:hAnsi="Palatino Linotype" w:cs="Palatino Linotype"/>
          <w:sz w:val="22"/>
          <w:szCs w:val="22"/>
        </w:rPr>
        <w:t>ó</w:t>
      </w:r>
      <w:r w:rsidR="007449B5" w:rsidRPr="00840499">
        <w:rPr>
          <w:rFonts w:ascii="Palatino Linotype" w:eastAsia="Palatino Linotype" w:hAnsi="Palatino Linotype" w:cs="Palatino Linotype"/>
          <w:sz w:val="22"/>
          <w:szCs w:val="22"/>
        </w:rPr>
        <w:t>nyug</w:t>
      </w:r>
      <w:r w:rsidR="00E7506E" w:rsidRPr="00840499">
        <w:rPr>
          <w:rFonts w:ascii="Palatino Linotype" w:eastAsia="Palatino Linotype" w:hAnsi="Palatino Linotype" w:cs="Palatino Linotype"/>
          <w:sz w:val="22"/>
          <w:szCs w:val="22"/>
        </w:rPr>
        <w:t>e</w:t>
      </w:r>
      <w:r w:rsidRPr="00840499">
        <w:rPr>
          <w:rFonts w:ascii="Palatino Linotype" w:eastAsia="Palatino Linotype" w:hAnsi="Palatino Linotype" w:cs="Palatino Linotype"/>
          <w:sz w:val="22"/>
          <w:szCs w:val="22"/>
        </w:rPr>
        <w:t>.</w:t>
      </w:r>
    </w:p>
    <w:p w14:paraId="43BCB3C1"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3948D319"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Posteriormente</w:t>
      </w:r>
      <w:r w:rsidRPr="00840499">
        <w:rPr>
          <w:rFonts w:ascii="Palatino Linotype" w:eastAsia="Palatino Linotype" w:hAnsi="Palatino Linotype" w:cs="Palatino Linotype"/>
          <w:b/>
          <w:sz w:val="22"/>
          <w:szCs w:val="22"/>
        </w:rPr>
        <w:t xml:space="preserve"> el</w:t>
      </w:r>
      <w:r w:rsidRPr="00840499">
        <w:rPr>
          <w:rFonts w:ascii="Palatino Linotype" w:eastAsia="Palatino Linotype" w:hAnsi="Palatino Linotype" w:cs="Palatino Linotype"/>
          <w:sz w:val="22"/>
          <w:szCs w:val="22"/>
        </w:rPr>
        <w:t xml:space="preserve"> </w:t>
      </w:r>
      <w:r w:rsidRPr="00840499">
        <w:rPr>
          <w:rFonts w:ascii="Palatino Linotype" w:eastAsia="Palatino Linotype" w:hAnsi="Palatino Linotype" w:cs="Palatino Linotype"/>
          <w:b/>
          <w:sz w:val="22"/>
          <w:szCs w:val="22"/>
        </w:rPr>
        <w:t>Sujeto Obligado</w:t>
      </w:r>
      <w:r w:rsidRPr="00840499">
        <w:rPr>
          <w:rFonts w:ascii="Palatino Linotype" w:eastAsia="Palatino Linotype" w:hAnsi="Palatino Linotype" w:cs="Palatino Linotype"/>
          <w:sz w:val="22"/>
          <w:szCs w:val="22"/>
        </w:rPr>
        <w:t xml:space="preserve"> requiere a la persona solicitante, el desahogo de la aclaración para efecto de que </w:t>
      </w:r>
      <w:r w:rsidR="00E7506E" w:rsidRPr="00840499">
        <w:rPr>
          <w:rFonts w:ascii="Palatino Linotype" w:eastAsia="Calibri" w:hAnsi="Palatino Linotype"/>
          <w:sz w:val="22"/>
          <w:lang w:eastAsia="en-US"/>
        </w:rPr>
        <w:t>presentara el documento mediante el cual acreditara la representación legal de la persona de quien se solicitan los datos; otorgando para tal efecto el plazo de diez días hábiles contados a partir del día hábil siguiente a aquel en que surta sus efectos la notificación respectiva</w:t>
      </w:r>
      <w:r w:rsidRPr="00840499">
        <w:rPr>
          <w:rFonts w:ascii="Palatino Linotype" w:eastAsia="Palatino Linotype" w:hAnsi="Palatino Linotype" w:cs="Palatino Linotype"/>
          <w:sz w:val="22"/>
          <w:szCs w:val="22"/>
        </w:rPr>
        <w:t>; no obstante, la persona solicitante fue omisa en aten</w:t>
      </w:r>
      <w:r w:rsidR="00E7506E" w:rsidRPr="00840499">
        <w:rPr>
          <w:rFonts w:ascii="Palatino Linotype" w:eastAsia="Palatino Linotype" w:hAnsi="Palatino Linotype" w:cs="Palatino Linotype"/>
          <w:sz w:val="22"/>
          <w:szCs w:val="22"/>
        </w:rPr>
        <w:t>der la aclaración de solicitud.</w:t>
      </w:r>
    </w:p>
    <w:p w14:paraId="39D733B5"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0FE7877D"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De esta manera, atendiendo que la persona solicitante fue omisa en desahogar la solicitud de aclaración dentro del plazo legal otorgado, el </w:t>
      </w:r>
      <w:r w:rsidRPr="00840499">
        <w:rPr>
          <w:rFonts w:ascii="Palatino Linotype" w:eastAsia="Palatino Linotype" w:hAnsi="Palatino Linotype" w:cs="Palatino Linotype"/>
          <w:b/>
          <w:sz w:val="22"/>
          <w:szCs w:val="22"/>
        </w:rPr>
        <w:t>Sujeto Obligado</w:t>
      </w:r>
      <w:r w:rsidRPr="00840499">
        <w:rPr>
          <w:rFonts w:ascii="Palatino Linotype" w:eastAsia="Palatino Linotype" w:hAnsi="Palatino Linotype" w:cs="Palatino Linotype"/>
          <w:sz w:val="22"/>
          <w:szCs w:val="22"/>
        </w:rPr>
        <w:t xml:space="preserve"> procedió a tener por no presentada la solicitud de acceso a datos, dejando a salvo los derechos del particular para volverla a presentar.</w:t>
      </w:r>
    </w:p>
    <w:p w14:paraId="40458CFE"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473ECA29"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Inconforme con lo anterior, </w:t>
      </w:r>
      <w:r w:rsidRPr="00840499">
        <w:rPr>
          <w:rFonts w:ascii="Palatino Linotype" w:eastAsia="Palatino Linotype" w:hAnsi="Palatino Linotype" w:cs="Palatino Linotype"/>
          <w:b/>
          <w:sz w:val="22"/>
          <w:szCs w:val="22"/>
        </w:rPr>
        <w:t>la</w:t>
      </w:r>
      <w:r w:rsidRPr="00840499">
        <w:rPr>
          <w:rFonts w:ascii="Palatino Linotype" w:eastAsia="Palatino Linotype" w:hAnsi="Palatino Linotype" w:cs="Palatino Linotype"/>
          <w:sz w:val="22"/>
          <w:szCs w:val="22"/>
        </w:rPr>
        <w:t xml:space="preserve"> </w:t>
      </w:r>
      <w:r w:rsidRPr="00840499">
        <w:rPr>
          <w:rFonts w:ascii="Palatino Linotype" w:eastAsia="Palatino Linotype" w:hAnsi="Palatino Linotype" w:cs="Palatino Linotype"/>
          <w:b/>
          <w:sz w:val="22"/>
          <w:szCs w:val="22"/>
        </w:rPr>
        <w:t xml:space="preserve">parte Recurrente </w:t>
      </w:r>
      <w:r w:rsidRPr="00840499">
        <w:rPr>
          <w:rFonts w:ascii="Palatino Linotype" w:eastAsia="Palatino Linotype" w:hAnsi="Palatino Linotype" w:cs="Palatino Linotype"/>
          <w:sz w:val="22"/>
          <w:szCs w:val="22"/>
        </w:rPr>
        <w:t>promovió el recurso de revisión citado al rubro, manifestando como agravios en lo medular la negativa a entregar la información solicitada, ya que a su consideración se acreditó el interés legítimo para acceder al documento requerido.</w:t>
      </w:r>
    </w:p>
    <w:p w14:paraId="4EDE5139"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41DED8BD" w14:textId="77777777" w:rsidR="007D160C" w:rsidRPr="00840499" w:rsidRDefault="00DF6B5B">
      <w:pPr>
        <w:spacing w:line="360" w:lineRule="auto"/>
        <w:ind w:right="49"/>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Por lo que, este Organismo Garante, citó a las partes a comparecer a audiencia de conciliación, quienes aceptaron someterse a dicho procedimiento.</w:t>
      </w:r>
    </w:p>
    <w:p w14:paraId="1D2DAD1E" w14:textId="77777777" w:rsidR="007D160C" w:rsidRPr="00840499" w:rsidRDefault="007D160C">
      <w:pPr>
        <w:spacing w:line="360" w:lineRule="auto"/>
        <w:ind w:right="49"/>
        <w:jc w:val="both"/>
        <w:rPr>
          <w:rFonts w:ascii="Palatino Linotype" w:eastAsia="Palatino Linotype" w:hAnsi="Palatino Linotype" w:cs="Palatino Linotype"/>
          <w:sz w:val="22"/>
          <w:szCs w:val="22"/>
        </w:rPr>
      </w:pPr>
    </w:p>
    <w:p w14:paraId="7C57254C" w14:textId="77777777" w:rsidR="007D160C" w:rsidRPr="00840499" w:rsidRDefault="00DF6B5B" w:rsidP="00BD7329">
      <w:pPr>
        <w:spacing w:line="360" w:lineRule="auto"/>
        <w:ind w:right="49"/>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En este tenor, una vez que se cotejaron las identidades de las personas intervinientes en la audiencia, durante la celebración de la misma se tuvo a bien mediar la entrega de la información solicitada, esto, en ajuste a las formalidades señaladas en el acta f</w:t>
      </w:r>
      <w:r w:rsidR="00BD7329" w:rsidRPr="00840499">
        <w:rPr>
          <w:rFonts w:ascii="Palatino Linotype" w:eastAsia="Palatino Linotype" w:hAnsi="Palatino Linotype" w:cs="Palatino Linotype"/>
          <w:sz w:val="22"/>
          <w:szCs w:val="22"/>
        </w:rPr>
        <w:t xml:space="preserve">ormada por el desahogo de esta. </w:t>
      </w:r>
    </w:p>
    <w:p w14:paraId="363EC6CD" w14:textId="77777777" w:rsidR="00BD7329" w:rsidRPr="00840499" w:rsidRDefault="00BD7329" w:rsidP="00BD7329">
      <w:pPr>
        <w:spacing w:line="360" w:lineRule="auto"/>
        <w:ind w:right="49"/>
        <w:jc w:val="both"/>
        <w:rPr>
          <w:rFonts w:ascii="Palatino Linotype" w:eastAsia="Palatino Linotype" w:hAnsi="Palatino Linotype" w:cs="Palatino Linotype"/>
          <w:sz w:val="22"/>
          <w:szCs w:val="22"/>
        </w:rPr>
      </w:pPr>
    </w:p>
    <w:p w14:paraId="215D796C"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Con base en lo anterior, se acredita que las partes llegaron al acuerdo que establece el artículo 132 fracción V de la Ley de Protección de Datos Personales en Posesión de los Sujetos Obligados del Estado de México y Municipios</w:t>
      </w:r>
      <w:r w:rsidRPr="00840499">
        <w:rPr>
          <w:rFonts w:ascii="Palatino Linotype" w:eastAsia="Palatino Linotype" w:hAnsi="Palatino Linotype" w:cs="Palatino Linotype"/>
          <w:sz w:val="22"/>
          <w:szCs w:val="22"/>
          <w:vertAlign w:val="superscript"/>
        </w:rPr>
        <w:footnoteReference w:id="1"/>
      </w:r>
      <w:r w:rsidRPr="00840499">
        <w:rPr>
          <w:rFonts w:ascii="Palatino Linotype" w:eastAsia="Palatino Linotype" w:hAnsi="Palatino Linotype" w:cs="Palatino Linotype"/>
          <w:sz w:val="22"/>
          <w:szCs w:val="22"/>
        </w:rPr>
        <w:t xml:space="preserve">. </w:t>
      </w:r>
    </w:p>
    <w:p w14:paraId="1A07DAA3"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3A5B4DBF" w14:textId="77777777" w:rsidR="007D160C" w:rsidRPr="00840499" w:rsidRDefault="00DF6B5B">
      <w:pPr>
        <w:spacing w:line="360" w:lineRule="auto"/>
        <w:jc w:val="both"/>
        <w:rPr>
          <w:rFonts w:ascii="Palatino Linotype" w:eastAsia="Palatino Linotype" w:hAnsi="Palatino Linotype" w:cs="Palatino Linotype"/>
          <w:b/>
          <w:sz w:val="22"/>
          <w:szCs w:val="22"/>
        </w:rPr>
      </w:pPr>
      <w:r w:rsidRPr="00840499">
        <w:rPr>
          <w:rFonts w:ascii="Palatino Linotype" w:eastAsia="Palatino Linotype" w:hAnsi="Palatino Linotype" w:cs="Palatino Linotype"/>
          <w:sz w:val="22"/>
          <w:szCs w:val="22"/>
        </w:rPr>
        <w:t xml:space="preserve">Se afirma lo anterior, pues atendiendo lo acordado en la audiencia de conciliación, la parte </w:t>
      </w:r>
      <w:r w:rsidRPr="00840499">
        <w:rPr>
          <w:rFonts w:ascii="Palatino Linotype" w:eastAsia="Palatino Linotype" w:hAnsi="Palatino Linotype" w:cs="Palatino Linotype"/>
          <w:b/>
          <w:sz w:val="22"/>
          <w:szCs w:val="22"/>
        </w:rPr>
        <w:t xml:space="preserve">Recurrente </w:t>
      </w:r>
      <w:r w:rsidRPr="00840499">
        <w:rPr>
          <w:rFonts w:ascii="Palatino Linotype" w:eastAsia="Palatino Linotype" w:hAnsi="Palatino Linotype" w:cs="Palatino Linotype"/>
          <w:sz w:val="22"/>
          <w:szCs w:val="22"/>
        </w:rPr>
        <w:t xml:space="preserve">estuvo conforme con la información que se le haría entrega por parte del </w:t>
      </w:r>
      <w:r w:rsidRPr="00840499">
        <w:rPr>
          <w:rFonts w:ascii="Palatino Linotype" w:eastAsia="Palatino Linotype" w:hAnsi="Palatino Linotype" w:cs="Palatino Linotype"/>
          <w:b/>
          <w:sz w:val="22"/>
          <w:szCs w:val="22"/>
        </w:rPr>
        <w:t>Sujeto Obligado</w:t>
      </w:r>
      <w:r w:rsidR="00C37376" w:rsidRPr="00840499">
        <w:rPr>
          <w:rFonts w:ascii="Palatino Linotype" w:eastAsia="Palatino Linotype" w:hAnsi="Palatino Linotype" w:cs="Palatino Linotype"/>
          <w:sz w:val="22"/>
          <w:szCs w:val="22"/>
        </w:rPr>
        <w:t xml:space="preserve"> y en la modalidad requerida.</w:t>
      </w:r>
    </w:p>
    <w:p w14:paraId="5BC26A82"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4C7CDA10" w14:textId="77777777" w:rsidR="007D160C" w:rsidRPr="00840499" w:rsidRDefault="00DF6B5B">
      <w:pPr>
        <w:spacing w:line="360" w:lineRule="auto"/>
        <w:ind w:right="49"/>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Además, el </w:t>
      </w:r>
      <w:r w:rsidR="00C37376" w:rsidRPr="00840499">
        <w:rPr>
          <w:rFonts w:ascii="Palatino Linotype" w:eastAsia="Palatino Linotype" w:hAnsi="Palatino Linotype" w:cs="Palatino Linotype"/>
          <w:b/>
          <w:sz w:val="22"/>
          <w:szCs w:val="22"/>
        </w:rPr>
        <w:t>diez de octubre</w:t>
      </w:r>
      <w:r w:rsidRPr="00840499">
        <w:rPr>
          <w:rFonts w:ascii="Palatino Linotype" w:eastAsia="Palatino Linotype" w:hAnsi="Palatino Linotype" w:cs="Palatino Linotype"/>
          <w:b/>
          <w:sz w:val="22"/>
          <w:szCs w:val="22"/>
        </w:rPr>
        <w:t xml:space="preserve"> de dos mil veinticinco</w:t>
      </w:r>
      <w:r w:rsidRPr="00840499">
        <w:rPr>
          <w:rFonts w:ascii="Palatino Linotype" w:eastAsia="Palatino Linotype" w:hAnsi="Palatino Linotype" w:cs="Palatino Linotype"/>
          <w:sz w:val="22"/>
          <w:szCs w:val="22"/>
        </w:rPr>
        <w:t xml:space="preserve">, este Instituto constató mediante el acuse de recibido, que la información mencionada </w:t>
      </w:r>
      <w:r w:rsidR="00C37376" w:rsidRPr="00840499">
        <w:rPr>
          <w:rFonts w:ascii="Palatino Linotype" w:eastAsia="Palatino Linotype" w:hAnsi="Palatino Linotype" w:cs="Palatino Linotype"/>
          <w:sz w:val="22"/>
          <w:szCs w:val="22"/>
        </w:rPr>
        <w:t>en la audiencia de conciliación consistente en el expediente clínico</w:t>
      </w:r>
      <w:r w:rsidRPr="00840499">
        <w:rPr>
          <w:rFonts w:ascii="Palatino Linotype" w:eastAsia="Palatino Linotype" w:hAnsi="Palatino Linotype" w:cs="Palatino Linotype"/>
          <w:sz w:val="22"/>
          <w:szCs w:val="22"/>
        </w:rPr>
        <w:t xml:space="preserve"> del titular de los datos, en la modalidad de copias certificadas- ya se encuentra en posesión de</w:t>
      </w:r>
      <w:r w:rsidR="00C37376" w:rsidRPr="00840499">
        <w:rPr>
          <w:rFonts w:ascii="Palatino Linotype" w:eastAsia="Palatino Linotype" w:hAnsi="Palatino Linotype" w:cs="Palatino Linotype"/>
          <w:sz w:val="22"/>
          <w:szCs w:val="22"/>
        </w:rPr>
        <w:t xml:space="preserve"> la</w:t>
      </w:r>
      <w:r w:rsidRPr="00840499">
        <w:rPr>
          <w:rFonts w:ascii="Palatino Linotype" w:eastAsia="Palatino Linotype" w:hAnsi="Palatino Linotype" w:cs="Palatino Linotype"/>
          <w:sz w:val="22"/>
          <w:szCs w:val="22"/>
        </w:rPr>
        <w:t xml:space="preserve"> Particular, tal y como obra en el expediente electrónico. </w:t>
      </w:r>
    </w:p>
    <w:p w14:paraId="6CC673AC" w14:textId="77777777" w:rsidR="007D160C" w:rsidRPr="00840499" w:rsidRDefault="007D160C">
      <w:pPr>
        <w:spacing w:line="360" w:lineRule="auto"/>
        <w:ind w:right="49"/>
        <w:jc w:val="both"/>
        <w:rPr>
          <w:rFonts w:ascii="Palatino Linotype" w:eastAsia="Palatino Linotype" w:hAnsi="Palatino Linotype" w:cs="Palatino Linotype"/>
          <w:sz w:val="22"/>
          <w:szCs w:val="22"/>
        </w:rPr>
      </w:pPr>
    </w:p>
    <w:p w14:paraId="145081DA" w14:textId="77777777" w:rsidR="007D160C" w:rsidRPr="00840499" w:rsidRDefault="00DF6B5B">
      <w:pPr>
        <w:spacing w:line="360" w:lineRule="auto"/>
        <w:ind w:right="49"/>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Indicado lo anterior, lo procedente es sobreseer el presente asunto, en virtud de haberse dado cumplimiento al acuerdo obtenido en la audiencia de conciliación y con ello, quedar sin materia que resolver. </w:t>
      </w:r>
    </w:p>
    <w:p w14:paraId="6F923F1D" w14:textId="77777777" w:rsidR="007D160C" w:rsidRPr="00840499" w:rsidRDefault="007D160C">
      <w:pPr>
        <w:spacing w:line="360" w:lineRule="auto"/>
        <w:ind w:right="49"/>
        <w:jc w:val="both"/>
        <w:rPr>
          <w:rFonts w:ascii="Palatino Linotype" w:eastAsia="Palatino Linotype" w:hAnsi="Palatino Linotype" w:cs="Palatino Linotype"/>
          <w:sz w:val="22"/>
          <w:szCs w:val="22"/>
        </w:rPr>
      </w:pPr>
    </w:p>
    <w:p w14:paraId="588C4135" w14:textId="77777777" w:rsidR="007D160C" w:rsidRPr="00840499" w:rsidRDefault="00DF6B5B">
      <w:pPr>
        <w:spacing w:line="360" w:lineRule="auto"/>
        <w:jc w:val="both"/>
        <w:rPr>
          <w:rFonts w:ascii="Palatino Linotype" w:eastAsia="Palatino Linotype" w:hAnsi="Palatino Linotype" w:cs="Palatino Linotype"/>
          <w:sz w:val="22"/>
          <w:szCs w:val="22"/>
        </w:rPr>
      </w:pPr>
      <w:bookmarkStart w:id="8" w:name="_heading=h.4d34og8" w:colFirst="0" w:colLast="0"/>
      <w:bookmarkEnd w:id="8"/>
      <w:r w:rsidRPr="00840499">
        <w:rPr>
          <w:rFonts w:ascii="Palatino Linotype" w:eastAsia="Palatino Linotype" w:hAnsi="Palatino Linotype" w:cs="Palatino Linotype"/>
          <w:sz w:val="22"/>
          <w:szCs w:val="22"/>
        </w:rPr>
        <w:t xml:space="preserve">Por consiguiente, de conformidad con los artículos 137, fracción I y 139, fracción V, de la Ley de Protección de Datos Personales en Posesión de Sujetos Obligados del Estado de México y Municipios, este Pleno determina el </w:t>
      </w:r>
      <w:r w:rsidRPr="00840499">
        <w:rPr>
          <w:rFonts w:ascii="Palatino Linotype" w:eastAsia="Palatino Linotype" w:hAnsi="Palatino Linotype" w:cs="Palatino Linotype"/>
          <w:b/>
          <w:sz w:val="22"/>
          <w:szCs w:val="22"/>
        </w:rPr>
        <w:t>SOBRESEIMIENTO</w:t>
      </w:r>
      <w:r w:rsidRPr="00840499">
        <w:rPr>
          <w:rFonts w:ascii="Palatino Linotype" w:eastAsia="Palatino Linotype" w:hAnsi="Palatino Linotype" w:cs="Palatino Linotype"/>
          <w:sz w:val="22"/>
          <w:szCs w:val="22"/>
        </w:rPr>
        <w:t xml:space="preserve"> del presente Recurso de Revisión, toda vez que, el</w:t>
      </w:r>
      <w:r w:rsidRPr="00840499">
        <w:rPr>
          <w:rFonts w:ascii="Palatino Linotype" w:eastAsia="Palatino Linotype" w:hAnsi="Palatino Linotype" w:cs="Palatino Linotype"/>
          <w:b/>
          <w:sz w:val="22"/>
          <w:szCs w:val="22"/>
        </w:rPr>
        <w:t xml:space="preserve"> Sujeto Obligado</w:t>
      </w:r>
      <w:r w:rsidRPr="00840499">
        <w:rPr>
          <w:rFonts w:ascii="Palatino Linotype" w:eastAsia="Palatino Linotype" w:hAnsi="Palatino Linotype" w:cs="Palatino Linotype"/>
          <w:sz w:val="22"/>
          <w:szCs w:val="22"/>
        </w:rPr>
        <w:t xml:space="preserve"> entregó la información que obra en sus archivos, y en la modalidad acordada por las partes en la audiencia de conciliación, por lo tanto, se dejó sin materia el presente Recurso de Revisión. </w:t>
      </w:r>
    </w:p>
    <w:p w14:paraId="17AE69E5" w14:textId="77777777" w:rsidR="007D160C" w:rsidRPr="00840499" w:rsidRDefault="007D160C">
      <w:pPr>
        <w:spacing w:line="360" w:lineRule="auto"/>
        <w:jc w:val="both"/>
        <w:rPr>
          <w:rFonts w:ascii="Palatino Linotype" w:eastAsia="Palatino Linotype" w:hAnsi="Palatino Linotype" w:cs="Palatino Linotype"/>
          <w:sz w:val="22"/>
          <w:szCs w:val="22"/>
        </w:rPr>
      </w:pPr>
      <w:bookmarkStart w:id="9" w:name="_heading=h.1ex1ok8a6wp" w:colFirst="0" w:colLast="0"/>
      <w:bookmarkEnd w:id="9"/>
    </w:p>
    <w:p w14:paraId="19212F4A" w14:textId="77777777" w:rsidR="007D160C" w:rsidRPr="00840499" w:rsidRDefault="00DF6B5B">
      <w:pPr>
        <w:shd w:val="clear" w:color="auto" w:fill="FFFFFF"/>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132, 133, y 137 de la Ley de Protección de Datos Personales en Posesión de Sujetos Obligados del Estado de México y Municipios, este Pleno:</w:t>
      </w:r>
    </w:p>
    <w:p w14:paraId="291FED18" w14:textId="77777777" w:rsidR="007D160C" w:rsidRPr="00840499" w:rsidRDefault="007D160C">
      <w:pPr>
        <w:shd w:val="clear" w:color="auto" w:fill="FFFFFF"/>
        <w:spacing w:line="360" w:lineRule="auto"/>
        <w:jc w:val="both"/>
        <w:rPr>
          <w:rFonts w:ascii="Palatino Linotype" w:eastAsia="Palatino Linotype" w:hAnsi="Palatino Linotype" w:cs="Palatino Linotype"/>
          <w:sz w:val="22"/>
          <w:szCs w:val="22"/>
        </w:rPr>
      </w:pPr>
    </w:p>
    <w:p w14:paraId="48D788EF" w14:textId="77777777" w:rsidR="0038276E" w:rsidRPr="00840499" w:rsidRDefault="0038276E">
      <w:pPr>
        <w:shd w:val="clear" w:color="auto" w:fill="FFFFFF"/>
        <w:spacing w:line="360" w:lineRule="auto"/>
        <w:jc w:val="both"/>
        <w:rPr>
          <w:rFonts w:ascii="Palatino Linotype" w:eastAsia="Palatino Linotype" w:hAnsi="Palatino Linotype" w:cs="Palatino Linotype"/>
          <w:sz w:val="22"/>
          <w:szCs w:val="22"/>
        </w:rPr>
      </w:pPr>
    </w:p>
    <w:p w14:paraId="0FAD2327" w14:textId="77777777" w:rsidR="007D160C" w:rsidRPr="00840499" w:rsidRDefault="00DF6B5B">
      <w:pPr>
        <w:spacing w:line="360" w:lineRule="auto"/>
        <w:jc w:val="center"/>
        <w:rPr>
          <w:rFonts w:ascii="Palatino Linotype" w:eastAsia="Palatino Linotype" w:hAnsi="Palatino Linotype" w:cs="Palatino Linotype"/>
          <w:b/>
          <w:sz w:val="22"/>
          <w:szCs w:val="22"/>
        </w:rPr>
      </w:pPr>
      <w:r w:rsidRPr="00840499">
        <w:rPr>
          <w:rFonts w:ascii="Palatino Linotype" w:eastAsia="Palatino Linotype" w:hAnsi="Palatino Linotype" w:cs="Palatino Linotype"/>
          <w:b/>
          <w:sz w:val="22"/>
          <w:szCs w:val="22"/>
        </w:rPr>
        <w:t>R E S U E L V E:</w:t>
      </w:r>
    </w:p>
    <w:p w14:paraId="002A38FB" w14:textId="77777777" w:rsidR="007D160C" w:rsidRPr="00840499" w:rsidRDefault="007D160C">
      <w:pPr>
        <w:spacing w:line="360" w:lineRule="auto"/>
        <w:jc w:val="center"/>
        <w:rPr>
          <w:rFonts w:ascii="Palatino Linotype" w:eastAsia="Palatino Linotype" w:hAnsi="Palatino Linotype" w:cs="Palatino Linotype"/>
          <w:sz w:val="22"/>
          <w:szCs w:val="22"/>
        </w:rPr>
      </w:pPr>
    </w:p>
    <w:p w14:paraId="6ED8B64B"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 xml:space="preserve">Primero. </w:t>
      </w:r>
      <w:r w:rsidRPr="00840499">
        <w:rPr>
          <w:rFonts w:ascii="Palatino Linotype" w:eastAsia="Palatino Linotype" w:hAnsi="Palatino Linotype" w:cs="Palatino Linotype"/>
          <w:sz w:val="22"/>
          <w:szCs w:val="22"/>
        </w:rPr>
        <w:t xml:space="preserve">Se </w:t>
      </w:r>
      <w:r w:rsidRPr="00840499">
        <w:rPr>
          <w:rFonts w:ascii="Palatino Linotype" w:eastAsia="Palatino Linotype" w:hAnsi="Palatino Linotype" w:cs="Palatino Linotype"/>
          <w:b/>
          <w:sz w:val="22"/>
          <w:szCs w:val="22"/>
        </w:rPr>
        <w:t xml:space="preserve">SOBRESEE </w:t>
      </w:r>
      <w:r w:rsidRPr="00840499">
        <w:rPr>
          <w:rFonts w:ascii="Palatino Linotype" w:eastAsia="Palatino Linotype" w:hAnsi="Palatino Linotype" w:cs="Palatino Linotype"/>
          <w:sz w:val="22"/>
          <w:szCs w:val="22"/>
        </w:rPr>
        <w:t xml:space="preserve">el recurso de revisión </w:t>
      </w:r>
      <w:r w:rsidR="00C37376" w:rsidRPr="00840499">
        <w:rPr>
          <w:rFonts w:ascii="Palatino Linotype" w:eastAsia="Palatino Linotype" w:hAnsi="Palatino Linotype" w:cs="Palatino Linotype"/>
          <w:b/>
          <w:sz w:val="22"/>
          <w:szCs w:val="22"/>
        </w:rPr>
        <w:t>10534</w:t>
      </w:r>
      <w:r w:rsidRPr="00840499">
        <w:rPr>
          <w:rFonts w:ascii="Palatino Linotype" w:eastAsia="Palatino Linotype" w:hAnsi="Palatino Linotype" w:cs="Palatino Linotype"/>
          <w:b/>
          <w:sz w:val="22"/>
          <w:szCs w:val="22"/>
        </w:rPr>
        <w:t>/INFOEM/AD/RR/2025,</w:t>
      </w:r>
      <w:r w:rsidRPr="00840499">
        <w:rPr>
          <w:rFonts w:ascii="Palatino Linotype" w:eastAsia="Palatino Linotype" w:hAnsi="Palatino Linotype" w:cs="Palatino Linotype"/>
          <w:sz w:val="22"/>
          <w:szCs w:val="22"/>
        </w:rPr>
        <w:t xml:space="preserve"> porque al dar cumplimiento al acuerdo de conciliación, el medio de impugnación quedó sin materia en términos de los artículos 137, fracción I y 139, fracción V, de la Ley de Protección de Datos Personales en Posesión de Sujetos Obligados del Estado de México y Municipios, de conformidad con el </w:t>
      </w:r>
      <w:r w:rsidRPr="00840499">
        <w:rPr>
          <w:rFonts w:ascii="Palatino Linotype" w:eastAsia="Palatino Linotype" w:hAnsi="Palatino Linotype" w:cs="Palatino Linotype"/>
          <w:b/>
          <w:sz w:val="22"/>
          <w:szCs w:val="22"/>
        </w:rPr>
        <w:t>Considerando Tercero</w:t>
      </w:r>
      <w:r w:rsidRPr="00840499">
        <w:rPr>
          <w:rFonts w:ascii="Palatino Linotype" w:eastAsia="Palatino Linotype" w:hAnsi="Palatino Linotype" w:cs="Palatino Linotype"/>
          <w:sz w:val="22"/>
          <w:szCs w:val="22"/>
        </w:rPr>
        <w:t xml:space="preserve"> de la presente resolución.</w:t>
      </w:r>
    </w:p>
    <w:p w14:paraId="0AD65589" w14:textId="77777777" w:rsidR="007D160C" w:rsidRPr="00840499" w:rsidRDefault="00DF6B5B">
      <w:pPr>
        <w:spacing w:line="360" w:lineRule="auto"/>
        <w:jc w:val="both"/>
        <w:rPr>
          <w:rFonts w:ascii="Palatino Linotype" w:eastAsia="Palatino Linotype" w:hAnsi="Palatino Linotype" w:cs="Palatino Linotype"/>
          <w:sz w:val="22"/>
          <w:szCs w:val="22"/>
        </w:rPr>
      </w:pPr>
      <w:bookmarkStart w:id="10" w:name="_heading=h.o1br582gcvgr" w:colFirst="0" w:colLast="0"/>
      <w:bookmarkEnd w:id="10"/>
      <w:r w:rsidRPr="00840499">
        <w:rPr>
          <w:rFonts w:ascii="Palatino Linotype" w:eastAsia="Palatino Linotype" w:hAnsi="Palatino Linotype" w:cs="Palatino Linotype"/>
          <w:sz w:val="22"/>
          <w:szCs w:val="22"/>
        </w:rPr>
        <w:t xml:space="preserve"> </w:t>
      </w:r>
    </w:p>
    <w:p w14:paraId="5B9C150D" w14:textId="77777777" w:rsidR="007D160C" w:rsidRPr="00840499" w:rsidRDefault="00DF6B5B">
      <w:pPr>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 xml:space="preserve">Segundo. Notifíquese </w:t>
      </w:r>
      <w:r w:rsidRPr="00840499">
        <w:rPr>
          <w:rFonts w:ascii="Palatino Linotype" w:eastAsia="Palatino Linotype" w:hAnsi="Palatino Linotype" w:cs="Palatino Linotype"/>
          <w:sz w:val="22"/>
          <w:szCs w:val="22"/>
        </w:rPr>
        <w:t>la presente resolución</w:t>
      </w:r>
      <w:r w:rsidRPr="00840499">
        <w:rPr>
          <w:rFonts w:ascii="Palatino Linotype" w:eastAsia="Palatino Linotype" w:hAnsi="Palatino Linotype" w:cs="Palatino Linotype"/>
          <w:b/>
          <w:sz w:val="22"/>
          <w:szCs w:val="22"/>
        </w:rPr>
        <w:t xml:space="preserve"> vía SARCOEM,</w:t>
      </w:r>
      <w:r w:rsidRPr="00840499">
        <w:rPr>
          <w:rFonts w:ascii="Palatino Linotype" w:eastAsia="Palatino Linotype" w:hAnsi="Palatino Linotype" w:cs="Palatino Linotype"/>
          <w:b/>
          <w:i/>
          <w:sz w:val="22"/>
          <w:szCs w:val="22"/>
        </w:rPr>
        <w:t xml:space="preserve"> </w:t>
      </w:r>
      <w:r w:rsidRPr="00840499">
        <w:rPr>
          <w:rFonts w:ascii="Palatino Linotype" w:eastAsia="Palatino Linotype" w:hAnsi="Palatino Linotype" w:cs="Palatino Linotype"/>
          <w:sz w:val="22"/>
          <w:szCs w:val="22"/>
        </w:rPr>
        <w:t xml:space="preserve">al Responsable de la Unidad de Transparencia del </w:t>
      </w:r>
      <w:r w:rsidRPr="00840499">
        <w:rPr>
          <w:rFonts w:ascii="Palatino Linotype" w:eastAsia="Palatino Linotype" w:hAnsi="Palatino Linotype" w:cs="Palatino Linotype"/>
          <w:b/>
          <w:sz w:val="22"/>
          <w:szCs w:val="22"/>
        </w:rPr>
        <w:t>Sujeto Obligado</w:t>
      </w:r>
      <w:r w:rsidRPr="00840499">
        <w:rPr>
          <w:rFonts w:ascii="Palatino Linotype" w:eastAsia="Palatino Linotype" w:hAnsi="Palatino Linotype" w:cs="Palatino Linotype"/>
          <w:sz w:val="22"/>
          <w:szCs w:val="22"/>
        </w:rPr>
        <w:t xml:space="preserve"> la presente resolución, para su conocimiento.</w:t>
      </w:r>
    </w:p>
    <w:p w14:paraId="0DE07AFA" w14:textId="77777777" w:rsidR="007D160C" w:rsidRPr="00840499" w:rsidRDefault="007D160C">
      <w:pPr>
        <w:spacing w:line="360" w:lineRule="auto"/>
        <w:jc w:val="both"/>
        <w:rPr>
          <w:rFonts w:ascii="Palatino Linotype" w:eastAsia="Palatino Linotype" w:hAnsi="Palatino Linotype" w:cs="Palatino Linotype"/>
          <w:sz w:val="22"/>
          <w:szCs w:val="22"/>
        </w:rPr>
      </w:pPr>
    </w:p>
    <w:p w14:paraId="77DA87D5" w14:textId="77777777" w:rsidR="007D160C" w:rsidRPr="00840499" w:rsidRDefault="00DF6B5B">
      <w:pPr>
        <w:tabs>
          <w:tab w:val="left" w:pos="4667"/>
        </w:tabs>
        <w:spacing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b/>
          <w:sz w:val="22"/>
          <w:szCs w:val="22"/>
        </w:rPr>
        <w:t>Tercero. Notifíquese vía SARCOEM y correo electrónico</w:t>
      </w:r>
      <w:r w:rsidRPr="00840499">
        <w:rPr>
          <w:rFonts w:ascii="Palatino Linotype" w:eastAsia="Palatino Linotype" w:hAnsi="Palatino Linotype" w:cs="Palatino Linotype"/>
          <w:b/>
          <w:i/>
          <w:sz w:val="22"/>
          <w:szCs w:val="22"/>
        </w:rPr>
        <w:t xml:space="preserve"> </w:t>
      </w:r>
      <w:r w:rsidRPr="00840499">
        <w:rPr>
          <w:rFonts w:ascii="Palatino Linotype" w:eastAsia="Palatino Linotype" w:hAnsi="Palatino Linotype" w:cs="Palatino Linotype"/>
          <w:sz w:val="22"/>
          <w:szCs w:val="22"/>
        </w:rPr>
        <w:t xml:space="preserve">a </w:t>
      </w:r>
      <w:r w:rsidRPr="00840499">
        <w:rPr>
          <w:rFonts w:ascii="Palatino Linotype" w:eastAsia="Palatino Linotype" w:hAnsi="Palatino Linotype" w:cs="Palatino Linotype"/>
          <w:b/>
          <w:sz w:val="22"/>
          <w:szCs w:val="22"/>
        </w:rPr>
        <w:t>la parte</w:t>
      </w:r>
      <w:r w:rsidRPr="00840499">
        <w:rPr>
          <w:rFonts w:ascii="Palatino Linotype" w:eastAsia="Palatino Linotype" w:hAnsi="Palatino Linotype" w:cs="Palatino Linotype"/>
          <w:sz w:val="22"/>
          <w:szCs w:val="22"/>
        </w:rPr>
        <w:t xml:space="preserve"> </w:t>
      </w:r>
      <w:r w:rsidRPr="00840499">
        <w:rPr>
          <w:rFonts w:ascii="Palatino Linotype" w:eastAsia="Palatino Linotype" w:hAnsi="Palatino Linotype" w:cs="Palatino Linotype"/>
          <w:b/>
          <w:sz w:val="22"/>
          <w:szCs w:val="22"/>
        </w:rPr>
        <w:t>Recurrente</w:t>
      </w:r>
      <w:r w:rsidRPr="00840499">
        <w:rPr>
          <w:rFonts w:ascii="Palatino Linotype" w:eastAsia="Palatino Linotype" w:hAnsi="Palatino Linotype" w:cs="Palatino Linotype"/>
          <w:sz w:val="22"/>
          <w:szCs w:val="22"/>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14:paraId="2DF7EB92" w14:textId="2433A578" w:rsidR="007D160C" w:rsidRPr="00CA03C7" w:rsidRDefault="00DF6B5B" w:rsidP="00CA03C7">
      <w:pPr>
        <w:spacing w:before="240" w:after="240" w:line="360" w:lineRule="auto"/>
        <w:jc w:val="both"/>
        <w:rPr>
          <w:rFonts w:ascii="Palatino Linotype" w:eastAsia="Palatino Linotype" w:hAnsi="Palatino Linotype" w:cs="Palatino Linotype"/>
          <w:sz w:val="22"/>
          <w:szCs w:val="22"/>
        </w:rPr>
      </w:pPr>
      <w:r w:rsidRPr="0084049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37376" w:rsidRPr="00840499">
        <w:rPr>
          <w:rFonts w:ascii="Palatino Linotype" w:eastAsia="Palatino Linotype" w:hAnsi="Palatino Linotype" w:cs="Palatino Linotype"/>
          <w:sz w:val="22"/>
          <w:szCs w:val="22"/>
        </w:rPr>
        <w:t>TRIGÉSIMA OCTAVA</w:t>
      </w:r>
      <w:r w:rsidRPr="00840499">
        <w:rPr>
          <w:rFonts w:ascii="Palatino Linotype" w:eastAsia="Palatino Linotype" w:hAnsi="Palatino Linotype" w:cs="Palatino Linotype"/>
          <w:sz w:val="22"/>
          <w:szCs w:val="22"/>
        </w:rPr>
        <w:t xml:space="preserve"> SESIÓN ORDINARIA, CELEBRADA EL</w:t>
      </w:r>
      <w:r w:rsidRPr="00840499">
        <w:rPr>
          <w:sz w:val="22"/>
          <w:szCs w:val="22"/>
        </w:rPr>
        <w:t xml:space="preserve"> </w:t>
      </w:r>
      <w:r w:rsidR="00C37376" w:rsidRPr="00840499">
        <w:rPr>
          <w:rFonts w:ascii="Palatino Linotype" w:eastAsia="Palatino Linotype" w:hAnsi="Palatino Linotype" w:cs="Palatino Linotype"/>
          <w:sz w:val="22"/>
          <w:szCs w:val="22"/>
        </w:rPr>
        <w:t xml:space="preserve">VEINTIDÓS DE </w:t>
      </w:r>
      <w:r w:rsidR="00D67986" w:rsidRPr="00840499">
        <w:rPr>
          <w:rFonts w:ascii="Palatino Linotype" w:eastAsia="Palatino Linotype" w:hAnsi="Palatino Linotype" w:cs="Palatino Linotype"/>
          <w:sz w:val="22"/>
          <w:szCs w:val="22"/>
        </w:rPr>
        <w:t>OCTUBRE</w:t>
      </w:r>
      <w:r w:rsidRPr="00840499">
        <w:rPr>
          <w:rFonts w:ascii="Palatino Linotype" w:eastAsia="Palatino Linotype" w:hAnsi="Palatino Linotype" w:cs="Palatino Linotype"/>
          <w:sz w:val="22"/>
          <w:szCs w:val="22"/>
        </w:rPr>
        <w:t xml:space="preserve"> DE DOS MIL VEINTICINCO, ANTE EL SECRETARIO TÉCNICO DEL PLENO ALEXIS TAPIA RAMÍREZ.</w:t>
      </w:r>
      <w:bookmarkStart w:id="11" w:name="_heading=h.1t3h5sf" w:colFirst="0" w:colLast="0"/>
      <w:bookmarkEnd w:id="11"/>
    </w:p>
    <w:p w14:paraId="1B1516F5"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131E8375"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14A5D9CD"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39A14D16"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7C1726FF"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1F3FF4F5"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73A51944"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1FC743BC"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3A7E4ADB"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1A0A78F2"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1ECE9709"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7684F3CE"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658A273C"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00101D51"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05414ADA"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34E136EF"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3F0536A0"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460D6A8C"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0BBD4F36"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78946FA1"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718B6959"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0C5570E6"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44D8DAE1" w14:textId="77777777" w:rsidR="007D160C" w:rsidRPr="00CA03C7" w:rsidRDefault="007D160C">
      <w:pPr>
        <w:spacing w:line="360" w:lineRule="auto"/>
        <w:jc w:val="both"/>
        <w:rPr>
          <w:rFonts w:ascii="Palatino Linotype" w:eastAsia="Palatino Linotype" w:hAnsi="Palatino Linotype" w:cs="Palatino Linotype"/>
          <w:sz w:val="22"/>
          <w:szCs w:val="22"/>
        </w:rPr>
      </w:pPr>
    </w:p>
    <w:p w14:paraId="4E51D3D6" w14:textId="77777777" w:rsidR="007D160C" w:rsidRPr="00CA03C7" w:rsidRDefault="007D160C">
      <w:pPr>
        <w:spacing w:line="360" w:lineRule="auto"/>
        <w:jc w:val="both"/>
        <w:rPr>
          <w:rFonts w:ascii="Palatino Linotype" w:eastAsia="Palatino Linotype" w:hAnsi="Palatino Linotype" w:cs="Palatino Linotype"/>
          <w:sz w:val="22"/>
          <w:szCs w:val="22"/>
        </w:rPr>
      </w:pPr>
    </w:p>
    <w:sectPr w:rsidR="007D160C" w:rsidRPr="00CA03C7">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B1221" w14:textId="77777777" w:rsidR="00CD7D8F" w:rsidRDefault="00CD7D8F">
      <w:r>
        <w:separator/>
      </w:r>
    </w:p>
  </w:endnote>
  <w:endnote w:type="continuationSeparator" w:id="0">
    <w:p w14:paraId="4319D3FE" w14:textId="77777777" w:rsidR="00CD7D8F" w:rsidRDefault="00CD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0AC9" w14:textId="2B93EA25" w:rsidR="007D160C" w:rsidRDefault="00DF6B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5265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5265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1C36ADD1" w14:textId="77777777" w:rsidR="007D160C" w:rsidRDefault="007D160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4D5D" w14:textId="767125EF" w:rsidR="007D160C" w:rsidRDefault="00DF6B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52B3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52B3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1E4DD403" w14:textId="77777777" w:rsidR="007D160C" w:rsidRDefault="007D160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6101E" w14:textId="77777777" w:rsidR="00CD7D8F" w:rsidRDefault="00CD7D8F">
      <w:r>
        <w:separator/>
      </w:r>
    </w:p>
  </w:footnote>
  <w:footnote w:type="continuationSeparator" w:id="0">
    <w:p w14:paraId="6E849363" w14:textId="77777777" w:rsidR="00CD7D8F" w:rsidRDefault="00CD7D8F">
      <w:r>
        <w:continuationSeparator/>
      </w:r>
    </w:p>
  </w:footnote>
  <w:footnote w:id="1">
    <w:p w14:paraId="4B953AB1" w14:textId="77777777" w:rsidR="007D160C" w:rsidRDefault="00DF6B5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36F96C25" w14:textId="77777777" w:rsidR="007D160C" w:rsidRDefault="00DF6B5B">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19B6AB19" w14:textId="77777777" w:rsidR="007D160C" w:rsidRDefault="00DF6B5B">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D4A03" w14:textId="77777777" w:rsidR="007D160C" w:rsidRDefault="00DF6B5B">
    <w:pPr>
      <w:rPr>
        <w:rFonts w:ascii="Cambria" w:eastAsia="Cambria" w:hAnsi="Cambria" w:cs="Cambria"/>
        <w:color w:val="000000"/>
      </w:rPr>
    </w:pPr>
    <w:r>
      <w:rPr>
        <w:noProof/>
      </w:rPr>
      <w:drawing>
        <wp:anchor distT="0" distB="0" distL="0" distR="0" simplePos="0" relativeHeight="251658240" behindDoc="1" locked="0" layoutInCell="1" hidden="0" allowOverlap="1" wp14:anchorId="14C7B7C5" wp14:editId="4CE1C0EE">
          <wp:simplePos x="0" y="0"/>
          <wp:positionH relativeFrom="column">
            <wp:posOffset>-1080116</wp:posOffset>
          </wp:positionH>
          <wp:positionV relativeFrom="paragraph">
            <wp:posOffset>-488294</wp:posOffset>
          </wp:positionV>
          <wp:extent cx="7809865" cy="10165715"/>
          <wp:effectExtent l="0" t="0" r="0" b="0"/>
          <wp:wrapNone/>
          <wp:docPr id="20197576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7D160C" w14:paraId="5159B0AE" w14:textId="77777777">
      <w:tc>
        <w:tcPr>
          <w:tcW w:w="2489" w:type="dxa"/>
          <w:shd w:val="clear" w:color="auto" w:fill="auto"/>
        </w:tcPr>
        <w:p w14:paraId="3A4D3107"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E5EAE83" w14:textId="77777777" w:rsidR="007D160C" w:rsidRDefault="006E190E" w:rsidP="006E190E">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10534</w:t>
          </w:r>
          <w:r w:rsidR="00DF6B5B">
            <w:rPr>
              <w:rFonts w:ascii="Palatino Linotype" w:eastAsia="Palatino Linotype" w:hAnsi="Palatino Linotype" w:cs="Palatino Linotype"/>
              <w:b/>
              <w:sz w:val="22"/>
              <w:szCs w:val="22"/>
            </w:rPr>
            <w:t>/INFOEM/AD/RR/2025</w:t>
          </w:r>
        </w:p>
      </w:tc>
    </w:tr>
    <w:tr w:rsidR="007D160C" w14:paraId="443A80CC" w14:textId="77777777">
      <w:trPr>
        <w:trHeight w:val="228"/>
      </w:trPr>
      <w:tc>
        <w:tcPr>
          <w:tcW w:w="2489" w:type="dxa"/>
          <w:shd w:val="clear" w:color="auto" w:fill="auto"/>
          <w:vAlign w:val="center"/>
        </w:tcPr>
        <w:p w14:paraId="78DBDBEC"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90EF56" w14:textId="77777777" w:rsidR="007D160C" w:rsidRDefault="00DF6B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7D160C" w14:paraId="08618AA6" w14:textId="77777777">
      <w:tc>
        <w:tcPr>
          <w:tcW w:w="2489" w:type="dxa"/>
          <w:shd w:val="clear" w:color="auto" w:fill="auto"/>
          <w:vAlign w:val="center"/>
        </w:tcPr>
        <w:p w14:paraId="136BE1B0" w14:textId="77777777" w:rsidR="007D160C" w:rsidRDefault="00DF6B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CBDCCAB" w14:textId="77777777" w:rsidR="007D160C" w:rsidRDefault="00DF6B5B">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110C392" w14:textId="77777777" w:rsidR="007D160C" w:rsidRDefault="00DF6B5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35F3" w14:textId="77777777" w:rsidR="007D160C" w:rsidRDefault="007D16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5"/>
      <w:tblW w:w="5670" w:type="dxa"/>
      <w:tblInd w:w="3261" w:type="dxa"/>
      <w:tblLayout w:type="fixed"/>
      <w:tblLook w:val="0400" w:firstRow="0" w:lastRow="0" w:firstColumn="0" w:lastColumn="0" w:noHBand="0" w:noVBand="1"/>
    </w:tblPr>
    <w:tblGrid>
      <w:gridCol w:w="2551"/>
      <w:gridCol w:w="3119"/>
    </w:tblGrid>
    <w:tr w:rsidR="007D160C" w14:paraId="1CC7D5CA" w14:textId="77777777">
      <w:tc>
        <w:tcPr>
          <w:tcW w:w="2551" w:type="dxa"/>
          <w:shd w:val="clear" w:color="auto" w:fill="auto"/>
          <w:vAlign w:val="center"/>
        </w:tcPr>
        <w:p w14:paraId="41F96559"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7B1D868" w14:textId="77777777" w:rsidR="007D160C" w:rsidRDefault="006E190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10534</w:t>
          </w:r>
          <w:r w:rsidR="00DF6B5B">
            <w:rPr>
              <w:rFonts w:ascii="Palatino Linotype" w:eastAsia="Palatino Linotype" w:hAnsi="Palatino Linotype" w:cs="Palatino Linotype"/>
              <w:b/>
              <w:sz w:val="22"/>
              <w:szCs w:val="22"/>
            </w:rPr>
            <w:t>/INFOEM/AD/RR/2025</w:t>
          </w:r>
        </w:p>
      </w:tc>
    </w:tr>
    <w:tr w:rsidR="007D160C" w14:paraId="5E236972" w14:textId="77777777">
      <w:trPr>
        <w:trHeight w:val="130"/>
      </w:trPr>
      <w:tc>
        <w:tcPr>
          <w:tcW w:w="2551" w:type="dxa"/>
          <w:shd w:val="clear" w:color="auto" w:fill="auto"/>
          <w:vAlign w:val="center"/>
        </w:tcPr>
        <w:p w14:paraId="39616F37"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9F459BC" w14:textId="3481057B" w:rsidR="007D160C" w:rsidRPr="006E190E" w:rsidRDefault="00B52B36" w:rsidP="00B52B3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 xml:space="preserve">XXXXXX XXXXX XXXX XXXXXX </w:t>
          </w:r>
        </w:p>
      </w:tc>
    </w:tr>
    <w:tr w:rsidR="007D160C" w14:paraId="03DA3204" w14:textId="77777777">
      <w:trPr>
        <w:trHeight w:val="228"/>
      </w:trPr>
      <w:tc>
        <w:tcPr>
          <w:tcW w:w="2551" w:type="dxa"/>
          <w:shd w:val="clear" w:color="auto" w:fill="auto"/>
          <w:vAlign w:val="center"/>
        </w:tcPr>
        <w:p w14:paraId="0F9126B0"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E85F378" w14:textId="77777777" w:rsidR="007D160C" w:rsidRDefault="00DF6B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r>
            <w:rPr>
              <w:noProof/>
            </w:rPr>
            <w:drawing>
              <wp:anchor distT="0" distB="0" distL="0" distR="0" simplePos="0" relativeHeight="251659264" behindDoc="1" locked="0" layoutInCell="1" hidden="0" allowOverlap="1" wp14:anchorId="0BB3456D" wp14:editId="777B2DB4">
                <wp:simplePos x="0" y="0"/>
                <wp:positionH relativeFrom="column">
                  <wp:posOffset>-4875529</wp:posOffset>
                </wp:positionH>
                <wp:positionV relativeFrom="paragraph">
                  <wp:posOffset>-1099184</wp:posOffset>
                </wp:positionV>
                <wp:extent cx="7809865" cy="10165715"/>
                <wp:effectExtent l="0" t="0" r="0" b="0"/>
                <wp:wrapNone/>
                <wp:docPr id="20197576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7D160C" w14:paraId="28FDBC2B" w14:textId="77777777">
      <w:tc>
        <w:tcPr>
          <w:tcW w:w="2551" w:type="dxa"/>
          <w:shd w:val="clear" w:color="auto" w:fill="auto"/>
          <w:vAlign w:val="center"/>
        </w:tcPr>
        <w:p w14:paraId="64BD7AC0" w14:textId="77777777" w:rsidR="007D160C" w:rsidRDefault="00DF6B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41AF389" w14:textId="77777777" w:rsidR="007D160C" w:rsidRDefault="00DF6B5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287897" w14:textId="77777777" w:rsidR="007D160C" w:rsidRDefault="007D160C">
    <w:pPr>
      <w:pBdr>
        <w:top w:val="nil"/>
        <w:left w:val="nil"/>
        <w:bottom w:val="nil"/>
        <w:right w:val="nil"/>
        <w:between w:val="nil"/>
      </w:pBdr>
      <w:tabs>
        <w:tab w:val="center" w:pos="4252"/>
        <w:tab w:val="right" w:pos="8504"/>
      </w:tabs>
      <w:rPr>
        <w:rFonts w:ascii="Cambria" w:eastAsia="Cambria" w:hAnsi="Cambria" w:cs="Cambria"/>
        <w:color w:val="000000"/>
      </w:rPr>
    </w:pPr>
  </w:p>
  <w:p w14:paraId="10A710D3" w14:textId="77777777" w:rsidR="007D160C" w:rsidRDefault="007D16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00D"/>
    <w:multiLevelType w:val="multilevel"/>
    <w:tmpl w:val="8EC0D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E401F"/>
    <w:multiLevelType w:val="multilevel"/>
    <w:tmpl w:val="6D8E6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84AA0"/>
    <w:multiLevelType w:val="multilevel"/>
    <w:tmpl w:val="3C22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113688"/>
    <w:multiLevelType w:val="multilevel"/>
    <w:tmpl w:val="82C2D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DB0CB1"/>
    <w:multiLevelType w:val="hybridMultilevel"/>
    <w:tmpl w:val="B7D27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225429"/>
    <w:multiLevelType w:val="multilevel"/>
    <w:tmpl w:val="C07ABDB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5CA27501"/>
    <w:multiLevelType w:val="multilevel"/>
    <w:tmpl w:val="EBE09FC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0C"/>
    <w:rsid w:val="0025265A"/>
    <w:rsid w:val="002E0EAE"/>
    <w:rsid w:val="0038276E"/>
    <w:rsid w:val="004255AE"/>
    <w:rsid w:val="00480521"/>
    <w:rsid w:val="00571E2F"/>
    <w:rsid w:val="00616A12"/>
    <w:rsid w:val="006E190E"/>
    <w:rsid w:val="00727262"/>
    <w:rsid w:val="007449B5"/>
    <w:rsid w:val="007C7386"/>
    <w:rsid w:val="007D160C"/>
    <w:rsid w:val="00840499"/>
    <w:rsid w:val="008C58A9"/>
    <w:rsid w:val="009845F4"/>
    <w:rsid w:val="009901EB"/>
    <w:rsid w:val="00B52B36"/>
    <w:rsid w:val="00BD7329"/>
    <w:rsid w:val="00C37376"/>
    <w:rsid w:val="00C466C0"/>
    <w:rsid w:val="00CA03C7"/>
    <w:rsid w:val="00CD7D8F"/>
    <w:rsid w:val="00D67986"/>
    <w:rsid w:val="00DF6B5B"/>
    <w:rsid w:val="00E129BA"/>
    <w:rsid w:val="00E7506E"/>
    <w:rsid w:val="00EA592B"/>
    <w:rsid w:val="00ED6A51"/>
    <w:rsid w:val="00FD10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AC93"/>
  <w15:docId w15:val="{B0497C38-F424-46EC-948B-BBE579E1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160ABB"/>
    <w:rPr>
      <w:color w:val="605E5C"/>
      <w:shd w:val="clear" w:color="auto" w:fill="E1DFDD"/>
    </w:r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character" w:customStyle="1" w:styleId="Mencinsinresolver6">
    <w:name w:val="Mención sin resolver6"/>
    <w:basedOn w:val="Fuentedeprrafopredeter"/>
    <w:uiPriority w:val="99"/>
    <w:semiHidden/>
    <w:unhideWhenUsed/>
    <w:rsid w:val="00D20DA7"/>
    <w:rPr>
      <w:color w:val="605E5C"/>
      <w:shd w:val="clear" w:color="auto" w:fill="E1DFDD"/>
    </w:r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character" w:customStyle="1" w:styleId="Mencinsinresolver7">
    <w:name w:val="Mención sin resolver7"/>
    <w:basedOn w:val="Fuentedeprrafopredeter"/>
    <w:uiPriority w:val="99"/>
    <w:semiHidden/>
    <w:unhideWhenUsed/>
    <w:rsid w:val="003A4FC8"/>
    <w:rPr>
      <w:color w:val="605E5C"/>
      <w:shd w:val="clear" w:color="auto" w:fill="E1DFDD"/>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69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Tcqi2xjzUlSaA37jqzXpyZEpg==">CgMxLjAyDWguYTU1eW52Zmp6bm4yCGguZ2pkZ3hzMgloLjNkeTZ2a20yCWguMzBqMHpsbDIJaC4yZXQ5MnAwMgloLjJzOGV5bzEyDmguamFzMHdoNGdlcDA2MgloLjRkMzRvZzgyDWguMWV4MW9rOGE2d3AyDmgubzFicjU4MmdjdmdyMgloLjF0M2g1c2Y4AHIhMXN5SUJoMW1BeHhIQ3Vtbi1DV0JBajVkU0NoT2w2VGVr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4954</Words>
  <Characters>27248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2025-10-24T00:55:00Z</cp:lastPrinted>
  <dcterms:created xsi:type="dcterms:W3CDTF">2025-11-20T23:16:00Z</dcterms:created>
  <dcterms:modified xsi:type="dcterms:W3CDTF">2025-11-20T23:16:00Z</dcterms:modified>
</cp:coreProperties>
</file>