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9F7" w:rsidRDefault="00F879F7">
      <w:pPr>
        <w:widowControl w:val="0"/>
        <w:pBdr>
          <w:top w:val="nil"/>
          <w:left w:val="nil"/>
          <w:bottom w:val="nil"/>
          <w:right w:val="nil"/>
          <w:between w:val="nil"/>
        </w:pBdr>
        <w:spacing w:line="276" w:lineRule="auto"/>
      </w:pPr>
    </w:p>
    <w:p w:rsidR="00F879F7" w:rsidRPr="00F8148A" w:rsidRDefault="00D412DD">
      <w:pPr>
        <w:tabs>
          <w:tab w:val="left" w:pos="3465"/>
        </w:tabs>
        <w:spacing w:line="360" w:lineRule="auto"/>
        <w:ind w:right="49"/>
        <w:jc w:val="both"/>
        <w:rPr>
          <w:rFonts w:ascii="Palatino Linotype" w:eastAsia="Palatino Linotype" w:hAnsi="Palatino Linotype" w:cs="Palatino Linotype"/>
        </w:rPr>
      </w:pPr>
      <w:bookmarkStart w:id="0" w:name="_heading=h.gjdgxs" w:colFirst="0" w:colLast="0"/>
      <w:bookmarkEnd w:id="0"/>
      <w:r w:rsidRPr="00F8148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de</w:t>
      </w:r>
      <w:r w:rsidR="00A44959" w:rsidRPr="00F8148A">
        <w:rPr>
          <w:rFonts w:ascii="Palatino Linotype" w:eastAsia="Palatino Linotype" w:hAnsi="Palatino Linotype" w:cs="Palatino Linotype"/>
        </w:rPr>
        <w:t xml:space="preserve"> febrero de dos mil veinticinco</w:t>
      </w:r>
      <w:r w:rsidRPr="00F8148A">
        <w:rPr>
          <w:rFonts w:ascii="Palatino Linotype" w:eastAsia="Palatino Linotype" w:hAnsi="Palatino Linotype" w:cs="Palatino Linotype"/>
        </w:rPr>
        <w:t>.</w:t>
      </w:r>
    </w:p>
    <w:p w:rsidR="00F879F7" w:rsidRPr="00F8148A" w:rsidRDefault="00F879F7">
      <w:pPr>
        <w:tabs>
          <w:tab w:val="left" w:pos="3465"/>
        </w:tabs>
        <w:spacing w:line="360" w:lineRule="auto"/>
        <w:ind w:right="49"/>
        <w:jc w:val="both"/>
        <w:rPr>
          <w:rFonts w:ascii="Palatino Linotype" w:eastAsia="Palatino Linotype" w:hAnsi="Palatino Linotype" w:cs="Palatino Linotype"/>
        </w:rPr>
      </w:pPr>
    </w:p>
    <w:p w:rsidR="00F879F7" w:rsidRPr="00F8148A" w:rsidRDefault="00D412DD">
      <w:pPr>
        <w:spacing w:line="360" w:lineRule="auto"/>
        <w:ind w:right="49"/>
        <w:jc w:val="both"/>
        <w:rPr>
          <w:rFonts w:ascii="Palatino Linotype" w:eastAsia="Palatino Linotype" w:hAnsi="Palatino Linotype" w:cs="Palatino Linotype"/>
        </w:rPr>
      </w:pPr>
      <w:r w:rsidRPr="00F8148A">
        <w:rPr>
          <w:rFonts w:ascii="Palatino Linotype" w:eastAsia="Palatino Linotype" w:hAnsi="Palatino Linotype" w:cs="Palatino Linotype"/>
          <w:b/>
        </w:rPr>
        <w:t xml:space="preserve">VISTAS </w:t>
      </w:r>
      <w:r w:rsidRPr="00F8148A">
        <w:rPr>
          <w:rFonts w:ascii="Palatino Linotype" w:eastAsia="Palatino Linotype" w:hAnsi="Palatino Linotype" w:cs="Palatino Linotype"/>
        </w:rPr>
        <w:t>las constancias para resolver el Recurso de Revisión</w:t>
      </w:r>
      <w:r w:rsidR="00A44959" w:rsidRPr="00F8148A">
        <w:rPr>
          <w:rFonts w:ascii="Palatino Linotype" w:eastAsia="Palatino Linotype" w:hAnsi="Palatino Linotype" w:cs="Palatino Linotype"/>
        </w:rPr>
        <w:t xml:space="preserve"> </w:t>
      </w:r>
      <w:r w:rsidRPr="00F8148A">
        <w:rPr>
          <w:rFonts w:ascii="Palatino Linotype" w:eastAsia="Palatino Linotype" w:hAnsi="Palatino Linotype" w:cs="Palatino Linotype"/>
        </w:rPr>
        <w:t xml:space="preserve">presentado por </w:t>
      </w:r>
      <w:r w:rsidR="000C3587">
        <w:rPr>
          <w:rFonts w:ascii="Palatino Linotype" w:eastAsia="Palatino Linotype" w:hAnsi="Palatino Linotype" w:cs="Palatino Linotype"/>
          <w:b/>
        </w:rPr>
        <w:t>XXXXXXXXX</w:t>
      </w:r>
      <w:r w:rsidRPr="00F8148A">
        <w:rPr>
          <w:rFonts w:ascii="Palatino Linotype" w:eastAsia="Palatino Linotype" w:hAnsi="Palatino Linotype" w:cs="Palatino Linotype"/>
          <w:b/>
        </w:rPr>
        <w:t>,</w:t>
      </w:r>
      <w:r w:rsidRPr="00F8148A">
        <w:rPr>
          <w:rFonts w:ascii="Palatino Linotype" w:eastAsia="Palatino Linotype" w:hAnsi="Palatino Linotype" w:cs="Palatino Linotype"/>
        </w:rPr>
        <w:t xml:space="preserve"> en lo sucesivo la </w:t>
      </w:r>
      <w:r w:rsidRPr="00F8148A">
        <w:rPr>
          <w:rFonts w:ascii="Palatino Linotype" w:eastAsia="Palatino Linotype" w:hAnsi="Palatino Linotype" w:cs="Palatino Linotype"/>
          <w:b/>
        </w:rPr>
        <w:t>RECURRENTE,</w:t>
      </w:r>
      <w:r w:rsidRPr="00F8148A">
        <w:rPr>
          <w:rFonts w:ascii="Palatino Linotype" w:eastAsia="Palatino Linotype" w:hAnsi="Palatino Linotype" w:cs="Palatino Linotype"/>
        </w:rPr>
        <w:t xml:space="preserve"> en contra de la respuesta otorgada a la solicitud de acceso a datos personales con número de folio </w:t>
      </w:r>
      <w:r w:rsidRPr="00F8148A">
        <w:rPr>
          <w:rFonts w:ascii="Palatino Linotype" w:eastAsia="Palatino Linotype" w:hAnsi="Palatino Linotype" w:cs="Palatino Linotype"/>
          <w:b/>
        </w:rPr>
        <w:t>01008/ISSEMYM/AD/2024</w:t>
      </w:r>
      <w:r w:rsidRPr="00F8148A">
        <w:rPr>
          <w:rFonts w:ascii="Palatino Linotype" w:eastAsia="Palatino Linotype" w:hAnsi="Palatino Linotype" w:cs="Palatino Linotype"/>
        </w:rPr>
        <w:t xml:space="preserve">, que dio origen al Recurso de Revisión </w:t>
      </w:r>
      <w:r w:rsidRPr="00F8148A">
        <w:rPr>
          <w:rFonts w:ascii="Palatino Linotype" w:eastAsia="Palatino Linotype" w:hAnsi="Palatino Linotype" w:cs="Palatino Linotype"/>
          <w:b/>
        </w:rPr>
        <w:t>07573/INFOEM/AD/RR/2024</w:t>
      </w:r>
      <w:r w:rsidRPr="00F8148A">
        <w:rPr>
          <w:rFonts w:ascii="Palatino Linotype" w:eastAsia="Palatino Linotype" w:hAnsi="Palatino Linotype" w:cs="Palatino Linotype"/>
        </w:rPr>
        <w:t xml:space="preserve">, por parte del </w:t>
      </w:r>
      <w:r w:rsidRPr="00F8148A">
        <w:rPr>
          <w:rFonts w:ascii="Palatino Linotype" w:eastAsia="Palatino Linotype" w:hAnsi="Palatino Linotype" w:cs="Palatino Linotype"/>
          <w:b/>
        </w:rPr>
        <w:t xml:space="preserve">Instituto de Seguridad Social del Estado de México y Municipios </w:t>
      </w:r>
      <w:r w:rsidRPr="00F8148A">
        <w:rPr>
          <w:rFonts w:ascii="Palatino Linotype" w:eastAsia="Palatino Linotype" w:hAnsi="Palatino Linotype" w:cs="Palatino Linotype"/>
        </w:rPr>
        <w:t xml:space="preserve">en adelante </w:t>
      </w:r>
      <w:r w:rsidRPr="00F8148A">
        <w:rPr>
          <w:rFonts w:ascii="Palatino Linotype" w:eastAsia="Palatino Linotype" w:hAnsi="Palatino Linotype" w:cs="Palatino Linotype"/>
          <w:b/>
        </w:rPr>
        <w:t>el SUJETO OBLIGADO</w:t>
      </w:r>
      <w:r w:rsidRPr="00F8148A">
        <w:rPr>
          <w:rFonts w:ascii="Palatino Linotype" w:eastAsia="Palatino Linotype" w:hAnsi="Palatino Linotype" w:cs="Palatino Linotype"/>
        </w:rPr>
        <w:t>, se emite la presente resolución con base en los siguientes:</w:t>
      </w:r>
    </w:p>
    <w:p w:rsidR="00F879F7" w:rsidRPr="00F8148A" w:rsidRDefault="00F879F7">
      <w:pPr>
        <w:spacing w:line="360" w:lineRule="auto"/>
        <w:ind w:right="49"/>
        <w:jc w:val="both"/>
        <w:rPr>
          <w:rFonts w:ascii="Palatino Linotype" w:eastAsia="Palatino Linotype" w:hAnsi="Palatino Linotype" w:cs="Palatino Linotype"/>
          <w:b/>
        </w:rPr>
      </w:pPr>
    </w:p>
    <w:p w:rsidR="00F879F7" w:rsidRPr="00F8148A" w:rsidRDefault="00D412DD">
      <w:pPr>
        <w:pStyle w:val="Ttulo1"/>
        <w:spacing w:before="0" w:line="360" w:lineRule="auto"/>
        <w:ind w:right="49"/>
        <w:jc w:val="center"/>
        <w:rPr>
          <w:rFonts w:ascii="Palatino Linotype" w:eastAsia="Palatino Linotype" w:hAnsi="Palatino Linotype" w:cs="Palatino Linotype"/>
          <w:b/>
          <w:color w:val="000000"/>
          <w:sz w:val="24"/>
          <w:szCs w:val="24"/>
        </w:rPr>
      </w:pPr>
      <w:bookmarkStart w:id="1" w:name="_heading=h.30j0zll" w:colFirst="0" w:colLast="0"/>
      <w:bookmarkEnd w:id="1"/>
      <w:r w:rsidRPr="00F8148A">
        <w:rPr>
          <w:rFonts w:ascii="Palatino Linotype" w:eastAsia="Palatino Linotype" w:hAnsi="Palatino Linotype" w:cs="Palatino Linotype"/>
          <w:b/>
          <w:color w:val="000000"/>
          <w:sz w:val="24"/>
          <w:szCs w:val="24"/>
        </w:rPr>
        <w:t>A N T E C E D E N T E S</w:t>
      </w:r>
    </w:p>
    <w:p w:rsidR="00F879F7" w:rsidRPr="00F8148A" w:rsidRDefault="00F879F7">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u w:val="single"/>
        </w:rPr>
      </w:pP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El día</w:t>
      </w:r>
      <w:r w:rsidRPr="00F8148A">
        <w:rPr>
          <w:rFonts w:ascii="Palatino Linotype" w:eastAsia="Palatino Linotype" w:hAnsi="Palatino Linotype" w:cs="Palatino Linotype"/>
          <w:b/>
          <w:color w:val="000000"/>
        </w:rPr>
        <w:t xml:space="preserve"> veintidós de noviembre de dos mil veintitrés</w:t>
      </w:r>
      <w:r w:rsidRPr="00F8148A">
        <w:rPr>
          <w:rFonts w:ascii="Palatino Linotype" w:eastAsia="Palatino Linotype" w:hAnsi="Palatino Linotype" w:cs="Palatino Linotype"/>
          <w:color w:val="000000"/>
        </w:rPr>
        <w:t>,</w:t>
      </w:r>
      <w:r w:rsidRPr="00F8148A">
        <w:rPr>
          <w:rFonts w:ascii="Palatino Linotype" w:eastAsia="Palatino Linotype" w:hAnsi="Palatino Linotype" w:cs="Palatino Linotype"/>
          <w:b/>
          <w:color w:val="000000"/>
        </w:rPr>
        <w:t xml:space="preserve"> </w:t>
      </w:r>
      <w:r w:rsidRPr="00F8148A">
        <w:rPr>
          <w:rFonts w:ascii="Palatino Linotype" w:eastAsia="Palatino Linotype" w:hAnsi="Palatino Linotype" w:cs="Palatino Linotype"/>
          <w:color w:val="000000"/>
        </w:rPr>
        <w:t xml:space="preserve">se presentó ante el Sujeto Obligado vía </w:t>
      </w:r>
      <w:r w:rsidRPr="00F8148A">
        <w:rPr>
          <w:rFonts w:ascii="Palatino Linotype" w:eastAsia="Palatino Linotype" w:hAnsi="Palatino Linotype" w:cs="Palatino Linotype"/>
        </w:rPr>
        <w:t>Sistema de Acceso, Rectificación, Cancelación y Oposición de Datos Personales en el Estado de México en lo subsecuente SARCOEM</w:t>
      </w:r>
      <w:r w:rsidRPr="00F8148A">
        <w:rPr>
          <w:rFonts w:ascii="Palatino Linotype" w:eastAsia="Palatino Linotype" w:hAnsi="Palatino Linotype" w:cs="Palatino Linotype"/>
          <w:color w:val="000000"/>
        </w:rPr>
        <w:t>, la siguiente solicitud de acceso a datos:</w:t>
      </w:r>
    </w:p>
    <w:p w:rsidR="00F879F7" w:rsidRPr="00F8148A" w:rsidRDefault="00F879F7">
      <w:pPr>
        <w:pBdr>
          <w:top w:val="nil"/>
          <w:left w:val="nil"/>
          <w:bottom w:val="nil"/>
          <w:right w:val="nil"/>
          <w:between w:val="nil"/>
        </w:pBdr>
        <w:tabs>
          <w:tab w:val="left" w:pos="0"/>
        </w:tabs>
        <w:spacing w:line="360" w:lineRule="auto"/>
        <w:ind w:left="502" w:right="49"/>
        <w:jc w:val="both"/>
        <w:rPr>
          <w:rFonts w:ascii="Palatino Linotype" w:eastAsia="Palatino Linotype" w:hAnsi="Palatino Linotype" w:cs="Palatino Linotype"/>
        </w:rPr>
      </w:pPr>
    </w:p>
    <w:p w:rsidR="00F879F7" w:rsidRPr="00F8148A" w:rsidRDefault="00D412DD">
      <w:pPr>
        <w:pBdr>
          <w:top w:val="nil"/>
          <w:left w:val="nil"/>
          <w:bottom w:val="nil"/>
          <w:right w:val="nil"/>
          <w:between w:val="nil"/>
        </w:pBdr>
        <w:spacing w:line="360" w:lineRule="auto"/>
        <w:ind w:left="425" w:right="49"/>
        <w:jc w:val="both"/>
        <w:rPr>
          <w:rFonts w:ascii="Palatino Linotype" w:eastAsia="Palatino Linotype" w:hAnsi="Palatino Linotype" w:cs="Palatino Linotype"/>
          <w:i/>
          <w:color w:val="000000"/>
        </w:rPr>
      </w:pPr>
      <w:r w:rsidRPr="00F8148A">
        <w:rPr>
          <w:rFonts w:ascii="Palatino Linotype" w:eastAsia="Palatino Linotype" w:hAnsi="Palatino Linotype" w:cs="Palatino Linotype"/>
          <w:i/>
          <w:color w:val="000000"/>
        </w:rPr>
        <w:t xml:space="preserve">“Solicitud de copia certificada del Aviso de movimiento para la afiliación y vigencia de derechos (tipo de movimiento baja) de la plaza o plazas que </w:t>
      </w:r>
      <w:proofErr w:type="spellStart"/>
      <w:r w:rsidRPr="00F8148A">
        <w:rPr>
          <w:rFonts w:ascii="Palatino Linotype" w:eastAsia="Palatino Linotype" w:hAnsi="Palatino Linotype" w:cs="Palatino Linotype"/>
          <w:i/>
          <w:color w:val="000000"/>
        </w:rPr>
        <w:t>venia</w:t>
      </w:r>
      <w:proofErr w:type="spellEnd"/>
      <w:r w:rsidRPr="00F8148A">
        <w:rPr>
          <w:rFonts w:ascii="Palatino Linotype" w:eastAsia="Palatino Linotype" w:hAnsi="Palatino Linotype" w:cs="Palatino Linotype"/>
          <w:i/>
          <w:color w:val="000000"/>
        </w:rPr>
        <w:t xml:space="preserve"> ocupando expedido por el ISSEMYM de mi esposo finado </w:t>
      </w:r>
      <w:r w:rsidR="000C3587">
        <w:rPr>
          <w:rFonts w:ascii="Palatino Linotype" w:eastAsia="Palatino Linotype" w:hAnsi="Palatino Linotype" w:cs="Palatino Linotype"/>
          <w:i/>
          <w:color w:val="000000"/>
        </w:rPr>
        <w:t>XXX XXXX XXXXX</w:t>
      </w:r>
      <w:r w:rsidRPr="00F8148A">
        <w:rPr>
          <w:rFonts w:ascii="Palatino Linotype" w:eastAsia="Palatino Linotype" w:hAnsi="Palatino Linotype" w:cs="Palatino Linotype"/>
          <w:i/>
          <w:color w:val="000000"/>
        </w:rPr>
        <w:t xml:space="preserve">. Solicitud de copia certificada </w:t>
      </w:r>
      <w:r w:rsidRPr="00F8148A">
        <w:rPr>
          <w:rFonts w:ascii="Palatino Linotype" w:eastAsia="Palatino Linotype" w:hAnsi="Palatino Linotype" w:cs="Palatino Linotype"/>
          <w:i/>
          <w:color w:val="000000"/>
        </w:rPr>
        <w:lastRenderedPageBreak/>
        <w:t xml:space="preserve">del FORMATO ÚNICO DE MOVIMIENTO PERSONAL de baja de mi esposo finado </w:t>
      </w:r>
      <w:r w:rsidR="000C3587">
        <w:rPr>
          <w:rFonts w:ascii="Palatino Linotype" w:eastAsia="Palatino Linotype" w:hAnsi="Palatino Linotype" w:cs="Palatino Linotype"/>
          <w:i/>
          <w:color w:val="000000"/>
        </w:rPr>
        <w:t>XXXX XXXXX XXXX</w:t>
      </w:r>
      <w:r w:rsidRPr="00F8148A">
        <w:rPr>
          <w:rFonts w:ascii="Palatino Linotype" w:eastAsia="Palatino Linotype" w:hAnsi="Palatino Linotype" w:cs="Palatino Linotype"/>
          <w:i/>
          <w:color w:val="000000"/>
        </w:rPr>
        <w:t>.”</w:t>
      </w:r>
    </w:p>
    <w:p w:rsidR="00F879F7" w:rsidRPr="00F8148A" w:rsidRDefault="00F879F7">
      <w:pPr>
        <w:pBdr>
          <w:top w:val="nil"/>
          <w:left w:val="nil"/>
          <w:bottom w:val="nil"/>
          <w:right w:val="nil"/>
          <w:between w:val="nil"/>
        </w:pBdr>
        <w:spacing w:line="360" w:lineRule="auto"/>
        <w:ind w:left="425" w:right="49"/>
        <w:jc w:val="both"/>
        <w:rPr>
          <w:rFonts w:ascii="Palatino Linotype" w:eastAsia="Palatino Linotype" w:hAnsi="Palatino Linotype" w:cs="Palatino Linotype"/>
          <w:i/>
        </w:rPr>
      </w:pPr>
    </w:p>
    <w:p w:rsidR="00F879F7" w:rsidRPr="00F8148A" w:rsidRDefault="00D412DD">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 xml:space="preserve">Se adjuntan los archivos denominados </w:t>
      </w:r>
      <w:r w:rsidRPr="00F8148A">
        <w:rPr>
          <w:rFonts w:ascii="Palatino Linotype" w:eastAsia="Palatino Linotype" w:hAnsi="Palatino Linotype" w:cs="Palatino Linotype"/>
          <w:b/>
          <w:i/>
          <w:color w:val="000000"/>
        </w:rPr>
        <w:t xml:space="preserve">comprobante de pago.pdf, credencial </w:t>
      </w:r>
      <w:proofErr w:type="spellStart"/>
      <w:r w:rsidRPr="00F8148A">
        <w:rPr>
          <w:rFonts w:ascii="Palatino Linotype" w:eastAsia="Palatino Linotype" w:hAnsi="Palatino Linotype" w:cs="Palatino Linotype"/>
          <w:b/>
          <w:i/>
          <w:color w:val="000000"/>
        </w:rPr>
        <w:t>ine</w:t>
      </w:r>
      <w:proofErr w:type="spellEnd"/>
      <w:r w:rsidRPr="00F8148A">
        <w:rPr>
          <w:rFonts w:ascii="Palatino Linotype" w:eastAsia="Palatino Linotype" w:hAnsi="Palatino Linotype" w:cs="Palatino Linotype"/>
          <w:b/>
          <w:i/>
          <w:color w:val="000000"/>
        </w:rPr>
        <w:t xml:space="preserve"> </w:t>
      </w:r>
      <w:r w:rsidR="000C3587">
        <w:rPr>
          <w:rFonts w:ascii="Palatino Linotype" w:eastAsia="Palatino Linotype" w:hAnsi="Palatino Linotype" w:cs="Palatino Linotype"/>
          <w:b/>
          <w:i/>
          <w:color w:val="000000"/>
        </w:rPr>
        <w:t>XXXXXXX</w:t>
      </w:r>
      <w:r w:rsidRPr="00F8148A">
        <w:rPr>
          <w:rFonts w:ascii="Palatino Linotype" w:eastAsia="Palatino Linotype" w:hAnsi="Palatino Linotype" w:cs="Palatino Linotype"/>
          <w:b/>
          <w:i/>
          <w:color w:val="000000"/>
        </w:rPr>
        <w:t xml:space="preserve">.pdf, acta de defuncion.pdf, credencial del trabajo.pdf, credencial </w:t>
      </w:r>
      <w:proofErr w:type="spellStart"/>
      <w:r w:rsidRPr="00F8148A">
        <w:rPr>
          <w:rFonts w:ascii="Palatino Linotype" w:eastAsia="Palatino Linotype" w:hAnsi="Palatino Linotype" w:cs="Palatino Linotype"/>
          <w:b/>
          <w:i/>
          <w:color w:val="000000"/>
        </w:rPr>
        <w:t>ine</w:t>
      </w:r>
      <w:proofErr w:type="spellEnd"/>
      <w:r w:rsidRPr="00F8148A">
        <w:rPr>
          <w:rFonts w:ascii="Palatino Linotype" w:eastAsia="Palatino Linotype" w:hAnsi="Palatino Linotype" w:cs="Palatino Linotype"/>
          <w:b/>
          <w:i/>
          <w:color w:val="000000"/>
        </w:rPr>
        <w:t xml:space="preserve"> </w:t>
      </w:r>
      <w:r w:rsidR="000C3587">
        <w:rPr>
          <w:rFonts w:ascii="Palatino Linotype" w:eastAsia="Palatino Linotype" w:hAnsi="Palatino Linotype" w:cs="Palatino Linotype"/>
          <w:b/>
          <w:i/>
          <w:color w:val="000000"/>
        </w:rPr>
        <w:t>XXXXX</w:t>
      </w:r>
      <w:r w:rsidRPr="00F8148A">
        <w:rPr>
          <w:rFonts w:ascii="Palatino Linotype" w:eastAsia="Palatino Linotype" w:hAnsi="Palatino Linotype" w:cs="Palatino Linotype"/>
          <w:b/>
          <w:i/>
          <w:color w:val="000000"/>
        </w:rPr>
        <w:t xml:space="preserve">.pdf, </w:t>
      </w:r>
      <w:proofErr w:type="spellStart"/>
      <w:r w:rsidRPr="00F8148A">
        <w:rPr>
          <w:rFonts w:ascii="Palatino Linotype" w:eastAsia="Palatino Linotype" w:hAnsi="Palatino Linotype" w:cs="Palatino Linotype"/>
          <w:b/>
          <w:i/>
          <w:color w:val="000000"/>
        </w:rPr>
        <w:t>declaracion</w:t>
      </w:r>
      <w:proofErr w:type="spellEnd"/>
      <w:r w:rsidRPr="00F8148A">
        <w:rPr>
          <w:rFonts w:ascii="Palatino Linotype" w:eastAsia="Palatino Linotype" w:hAnsi="Palatino Linotype" w:cs="Palatino Linotype"/>
          <w:b/>
          <w:i/>
          <w:color w:val="000000"/>
        </w:rPr>
        <w:t xml:space="preserve"> de beneficiarios.pdf</w:t>
      </w:r>
      <w:r w:rsidRPr="00F8148A">
        <w:rPr>
          <w:rFonts w:ascii="Palatino Linotype" w:eastAsia="Palatino Linotype" w:hAnsi="Palatino Linotype" w:cs="Palatino Linotype"/>
          <w:b/>
          <w:color w:val="000000"/>
        </w:rPr>
        <w:t xml:space="preserve"> </w:t>
      </w:r>
      <w:r w:rsidRPr="00F8148A">
        <w:rPr>
          <w:rFonts w:ascii="Palatino Linotype" w:eastAsia="Palatino Linotype" w:hAnsi="Palatino Linotype" w:cs="Palatino Linotype"/>
          <w:color w:val="000000"/>
        </w:rPr>
        <w:t>y,</w:t>
      </w:r>
      <w:r w:rsidRPr="00F8148A">
        <w:rPr>
          <w:rFonts w:ascii="Palatino Linotype" w:eastAsia="Palatino Linotype" w:hAnsi="Palatino Linotype" w:cs="Palatino Linotype"/>
          <w:b/>
          <w:color w:val="000000"/>
        </w:rPr>
        <w:t xml:space="preserve"> </w:t>
      </w:r>
      <w:r w:rsidRPr="00F8148A">
        <w:rPr>
          <w:rFonts w:ascii="Palatino Linotype" w:eastAsia="Palatino Linotype" w:hAnsi="Palatino Linotype" w:cs="Palatino Linotype"/>
          <w:b/>
          <w:i/>
          <w:color w:val="000000"/>
        </w:rPr>
        <w:t>acta de matrimonio.pdf</w:t>
      </w:r>
      <w:r w:rsidRPr="00F8148A">
        <w:rPr>
          <w:rFonts w:ascii="Palatino Linotype" w:eastAsia="Palatino Linotype" w:hAnsi="Palatino Linotype" w:cs="Palatino Linotype"/>
          <w:b/>
          <w:color w:val="000000"/>
        </w:rPr>
        <w:t xml:space="preserve">, </w:t>
      </w:r>
      <w:r w:rsidRPr="00F8148A">
        <w:rPr>
          <w:rFonts w:ascii="Palatino Linotype" w:eastAsia="Palatino Linotype" w:hAnsi="Palatino Linotype" w:cs="Palatino Linotype"/>
          <w:color w:val="000000"/>
        </w:rPr>
        <w:t>cuyo contenido corresponde a las identificaciones de la persona solicitante, el titular de los datos personales, acta de matrimonio de la solicitante y el titular de los datos, y acta de defunción del titular de los datos y, un Acta de Audiencia de Procedimiento Especial, de Conciliación, Demanda y Excepciones, Pruebas y Resolución del Tribunal Estatal de Conciliación y Arbitraje.</w:t>
      </w:r>
    </w:p>
    <w:p w:rsidR="00F879F7" w:rsidRPr="00F8148A" w:rsidRDefault="00F879F7">
      <w:pPr>
        <w:pBdr>
          <w:top w:val="nil"/>
          <w:left w:val="nil"/>
          <w:bottom w:val="nil"/>
          <w:right w:val="nil"/>
          <w:between w:val="nil"/>
        </w:pBdr>
        <w:spacing w:line="360" w:lineRule="auto"/>
        <w:ind w:left="1080" w:right="49"/>
        <w:jc w:val="both"/>
        <w:rPr>
          <w:rFonts w:ascii="Palatino Linotype" w:eastAsia="Palatino Linotype" w:hAnsi="Palatino Linotype" w:cs="Palatino Linotype"/>
          <w:color w:val="000000"/>
        </w:rPr>
      </w:pPr>
    </w:p>
    <w:p w:rsidR="00F879F7" w:rsidRPr="00F8148A" w:rsidRDefault="00D412DD">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 xml:space="preserve">Se eligió como modalidad de entrega de la información: </w:t>
      </w:r>
      <w:r w:rsidRPr="00F8148A">
        <w:rPr>
          <w:rFonts w:ascii="Palatino Linotype" w:eastAsia="Palatino Linotype" w:hAnsi="Palatino Linotype" w:cs="Palatino Linotype"/>
          <w:b/>
          <w:color w:val="000000"/>
        </w:rPr>
        <w:t>Copias certificadas con costo.</w:t>
      </w:r>
    </w:p>
    <w:p w:rsidR="00F879F7" w:rsidRPr="00F8148A" w:rsidRDefault="00F879F7">
      <w:pPr>
        <w:pBdr>
          <w:top w:val="nil"/>
          <w:left w:val="nil"/>
          <w:bottom w:val="nil"/>
          <w:right w:val="nil"/>
          <w:between w:val="nil"/>
        </w:pBdr>
        <w:spacing w:line="360" w:lineRule="auto"/>
        <w:ind w:left="1080" w:right="49"/>
        <w:jc w:val="both"/>
        <w:rPr>
          <w:rFonts w:ascii="Palatino Linotype" w:eastAsia="Palatino Linotype" w:hAnsi="Palatino Linotype" w:cs="Palatino Linotype"/>
        </w:rPr>
      </w:pP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 xml:space="preserve">El once de noviembre de dos mil veinticuatro el </w:t>
      </w:r>
      <w:r w:rsidRPr="00F8148A">
        <w:rPr>
          <w:rFonts w:ascii="Palatino Linotype" w:eastAsia="Palatino Linotype" w:hAnsi="Palatino Linotype" w:cs="Palatino Linotype"/>
          <w:b/>
          <w:color w:val="000000"/>
        </w:rPr>
        <w:t>SUJETO OBLIGADO</w:t>
      </w:r>
      <w:r w:rsidRPr="00F8148A">
        <w:rPr>
          <w:rFonts w:ascii="Palatino Linotype" w:eastAsia="Palatino Linotype" w:hAnsi="Palatino Linotype" w:cs="Palatino Linotype"/>
          <w:color w:val="000000"/>
        </w:rPr>
        <w:t xml:space="preserve"> realizó una solicitud de aclaración a efecto de que la solicitante remitiera el documento a través del cual se acredite la representación de la persona fallecida titular de los datos personales.</w:t>
      </w:r>
    </w:p>
    <w:p w:rsidR="00F879F7" w:rsidRPr="00F8148A" w:rsidRDefault="00F879F7">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El diecinueve de noviembre de dos mil veinticuatro, la entonces solicitante, atendió la solicitud de aclaración en los siguientes términos:</w:t>
      </w:r>
    </w:p>
    <w:p w:rsidR="00F879F7" w:rsidRPr="00F8148A" w:rsidRDefault="00F879F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879F7" w:rsidRPr="00F8148A" w:rsidRDefault="00D412DD">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rPr>
      </w:pPr>
      <w:r w:rsidRPr="00F8148A">
        <w:rPr>
          <w:rFonts w:ascii="Palatino Linotype" w:eastAsia="Palatino Linotype" w:hAnsi="Palatino Linotype" w:cs="Palatino Linotype"/>
          <w:i/>
          <w:color w:val="000000"/>
        </w:rPr>
        <w:lastRenderedPageBreak/>
        <w:t xml:space="preserve">“En atención a la respuesta del </w:t>
      </w:r>
      <w:proofErr w:type="spellStart"/>
      <w:r w:rsidRPr="00F8148A">
        <w:rPr>
          <w:rFonts w:ascii="Palatino Linotype" w:eastAsia="Palatino Linotype" w:hAnsi="Palatino Linotype" w:cs="Palatino Linotype"/>
          <w:i/>
          <w:color w:val="000000"/>
        </w:rPr>
        <w:t>numero</w:t>
      </w:r>
      <w:proofErr w:type="spellEnd"/>
      <w:r w:rsidRPr="00F8148A">
        <w:rPr>
          <w:rFonts w:ascii="Palatino Linotype" w:eastAsia="Palatino Linotype" w:hAnsi="Palatino Linotype" w:cs="Palatino Linotype"/>
          <w:i/>
          <w:color w:val="000000"/>
        </w:rPr>
        <w:t xml:space="preserve"> de folio 01008/ISSEMYM/AD/2024 signado por MARUSIA MONTSERRAT TORRES RIVERA JEFA DEL DEPARTAMENTO DE ACCESO A LA INFORMACION INSTITUCIONAL, en el cual se me </w:t>
      </w:r>
      <w:proofErr w:type="spellStart"/>
      <w:r w:rsidRPr="00F8148A">
        <w:rPr>
          <w:rFonts w:ascii="Palatino Linotype" w:eastAsia="Palatino Linotype" w:hAnsi="Palatino Linotype" w:cs="Palatino Linotype"/>
          <w:i/>
          <w:color w:val="000000"/>
        </w:rPr>
        <w:t>esta</w:t>
      </w:r>
      <w:proofErr w:type="spellEnd"/>
      <w:r w:rsidRPr="00F8148A">
        <w:rPr>
          <w:rFonts w:ascii="Palatino Linotype" w:eastAsia="Palatino Linotype" w:hAnsi="Palatino Linotype" w:cs="Palatino Linotype"/>
          <w:i/>
          <w:color w:val="000000"/>
        </w:rPr>
        <w:t xml:space="preserve"> haciendo la manifestación que tengo que aclarar la solicitud descrita anteriormente manifiesto lo siguiente: Que con fundamento en el artículo 103, 106 y fracción I del artículo 108 de la Ley del ISSEMYM, la solicitud que tramite en esta parte para los documentos requeridos es para solicitar la pensión por fallecimiento de mi esposo </w:t>
      </w:r>
      <w:r w:rsidR="000C3587">
        <w:rPr>
          <w:rFonts w:ascii="Palatino Linotype" w:eastAsia="Palatino Linotype" w:hAnsi="Palatino Linotype" w:cs="Palatino Linotype"/>
          <w:i/>
          <w:color w:val="000000"/>
        </w:rPr>
        <w:t xml:space="preserve">XXXX </w:t>
      </w:r>
      <w:proofErr w:type="spellStart"/>
      <w:r w:rsidR="000C3587">
        <w:rPr>
          <w:rFonts w:ascii="Palatino Linotype" w:eastAsia="Palatino Linotype" w:hAnsi="Palatino Linotype" w:cs="Palatino Linotype"/>
          <w:i/>
          <w:color w:val="000000"/>
        </w:rPr>
        <w:t>XXXX</w:t>
      </w:r>
      <w:proofErr w:type="spellEnd"/>
      <w:r w:rsidR="000C3587">
        <w:rPr>
          <w:rFonts w:ascii="Palatino Linotype" w:eastAsia="Palatino Linotype" w:hAnsi="Palatino Linotype" w:cs="Palatino Linotype"/>
          <w:i/>
          <w:color w:val="000000"/>
        </w:rPr>
        <w:t xml:space="preserve"> </w:t>
      </w:r>
      <w:proofErr w:type="spellStart"/>
      <w:r w:rsidR="000C3587">
        <w:rPr>
          <w:rFonts w:ascii="Palatino Linotype" w:eastAsia="Palatino Linotype" w:hAnsi="Palatino Linotype" w:cs="Palatino Linotype"/>
          <w:i/>
          <w:color w:val="000000"/>
        </w:rPr>
        <w:t>XXXX</w:t>
      </w:r>
      <w:proofErr w:type="spellEnd"/>
      <w:r w:rsidRPr="00F8148A">
        <w:rPr>
          <w:rFonts w:ascii="Palatino Linotype" w:eastAsia="Palatino Linotype" w:hAnsi="Palatino Linotype" w:cs="Palatino Linotype"/>
          <w:i/>
          <w:color w:val="000000"/>
        </w:rPr>
        <w:t xml:space="preserve">, por lo que es de mi interés jurídico ya que son documentos requeridos para solicitar dicha pensión, es por eso que vengo a esta Institución para poder solicitarlos, tal como se puede corroborar con la copia certificada del acta de matrimonio que se </w:t>
      </w:r>
      <w:proofErr w:type="spellStart"/>
      <w:r w:rsidRPr="00F8148A">
        <w:rPr>
          <w:rFonts w:ascii="Palatino Linotype" w:eastAsia="Palatino Linotype" w:hAnsi="Palatino Linotype" w:cs="Palatino Linotype"/>
          <w:i/>
          <w:color w:val="000000"/>
        </w:rPr>
        <w:t>adjunto</w:t>
      </w:r>
      <w:proofErr w:type="spellEnd"/>
      <w:r w:rsidRPr="00F8148A">
        <w:rPr>
          <w:rFonts w:ascii="Palatino Linotype" w:eastAsia="Palatino Linotype" w:hAnsi="Palatino Linotype" w:cs="Palatino Linotype"/>
          <w:i/>
          <w:color w:val="000000"/>
        </w:rPr>
        <w:t xml:space="preserve"> desde el día que se </w:t>
      </w:r>
      <w:proofErr w:type="spellStart"/>
      <w:r w:rsidRPr="00F8148A">
        <w:rPr>
          <w:rFonts w:ascii="Palatino Linotype" w:eastAsia="Palatino Linotype" w:hAnsi="Palatino Linotype" w:cs="Palatino Linotype"/>
          <w:i/>
          <w:color w:val="000000"/>
        </w:rPr>
        <w:t>registro</w:t>
      </w:r>
      <w:proofErr w:type="spellEnd"/>
      <w:r w:rsidRPr="00F8148A">
        <w:rPr>
          <w:rFonts w:ascii="Palatino Linotype" w:eastAsia="Palatino Linotype" w:hAnsi="Palatino Linotype" w:cs="Palatino Linotype"/>
          <w:i/>
          <w:color w:val="000000"/>
        </w:rPr>
        <w:t xml:space="preserve"> mi solicitud. Así también solicito a esta Institución se me tenga por desahogada la aclaración, ya que es de suma importancia estos documentos, dándole tramite a esta petición. </w:t>
      </w:r>
      <w:proofErr w:type="gramStart"/>
      <w:r w:rsidRPr="00F8148A">
        <w:rPr>
          <w:rFonts w:ascii="Palatino Linotype" w:eastAsia="Palatino Linotype" w:hAnsi="Palatino Linotype" w:cs="Palatino Linotype"/>
          <w:i/>
          <w:color w:val="000000"/>
        </w:rPr>
        <w:t>ya</w:t>
      </w:r>
      <w:proofErr w:type="gramEnd"/>
      <w:r w:rsidRPr="00F8148A">
        <w:rPr>
          <w:rFonts w:ascii="Palatino Linotype" w:eastAsia="Palatino Linotype" w:hAnsi="Palatino Linotype" w:cs="Palatino Linotype"/>
          <w:i/>
          <w:color w:val="000000"/>
        </w:rPr>
        <w:t xml:space="preserve"> que especifique cual mi interés jurídico. Sin </w:t>
      </w:r>
      <w:proofErr w:type="spellStart"/>
      <w:proofErr w:type="gramStart"/>
      <w:r w:rsidRPr="00F8148A">
        <w:rPr>
          <w:rFonts w:ascii="Palatino Linotype" w:eastAsia="Palatino Linotype" w:hAnsi="Palatino Linotype" w:cs="Palatino Linotype"/>
          <w:i/>
          <w:color w:val="000000"/>
        </w:rPr>
        <w:t>mas</w:t>
      </w:r>
      <w:proofErr w:type="spellEnd"/>
      <w:proofErr w:type="gramEnd"/>
      <w:r w:rsidRPr="00F8148A">
        <w:rPr>
          <w:rFonts w:ascii="Palatino Linotype" w:eastAsia="Palatino Linotype" w:hAnsi="Palatino Linotype" w:cs="Palatino Linotype"/>
          <w:i/>
          <w:color w:val="000000"/>
        </w:rPr>
        <w:t xml:space="preserve"> por el momento, agradezco de antemano la atención. ATENTAMENTE </w:t>
      </w:r>
      <w:r w:rsidR="000C3587">
        <w:rPr>
          <w:rFonts w:ascii="Palatino Linotype" w:eastAsia="Palatino Linotype" w:hAnsi="Palatino Linotype" w:cs="Palatino Linotype"/>
          <w:i/>
          <w:color w:val="000000"/>
        </w:rPr>
        <w:t>XXXX XXXXXX XXXX</w:t>
      </w:r>
      <w:r w:rsidRPr="00F8148A">
        <w:rPr>
          <w:rFonts w:ascii="Palatino Linotype" w:eastAsia="Palatino Linotype" w:hAnsi="Palatino Linotype" w:cs="Palatino Linotype"/>
          <w:i/>
          <w:color w:val="000000"/>
        </w:rPr>
        <w:t>”</w:t>
      </w:r>
    </w:p>
    <w:p w:rsidR="00F879F7" w:rsidRPr="00F8148A" w:rsidRDefault="00F879F7">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El</w:t>
      </w:r>
      <w:r w:rsidRPr="00F8148A">
        <w:rPr>
          <w:rFonts w:ascii="Palatino Linotype" w:eastAsia="Palatino Linotype" w:hAnsi="Palatino Linotype" w:cs="Palatino Linotype"/>
          <w:b/>
          <w:color w:val="000000"/>
        </w:rPr>
        <w:t xml:space="preserve"> veintidós de noviembre de dos mil veinticuatro</w:t>
      </w:r>
      <w:r w:rsidRPr="00F8148A">
        <w:rPr>
          <w:rFonts w:ascii="Palatino Linotype" w:eastAsia="Palatino Linotype" w:hAnsi="Palatino Linotype" w:cs="Palatino Linotype"/>
          <w:color w:val="000000"/>
        </w:rPr>
        <w:t xml:space="preserve">, </w:t>
      </w:r>
      <w:r w:rsidRPr="00F8148A">
        <w:rPr>
          <w:rFonts w:ascii="Palatino Linotype" w:eastAsia="Palatino Linotype" w:hAnsi="Palatino Linotype" w:cs="Palatino Linotype"/>
        </w:rPr>
        <w:t xml:space="preserve">el </w:t>
      </w:r>
      <w:r w:rsidRPr="00F8148A">
        <w:rPr>
          <w:rFonts w:ascii="Palatino Linotype" w:eastAsia="Palatino Linotype" w:hAnsi="Palatino Linotype" w:cs="Palatino Linotype"/>
          <w:b/>
        </w:rPr>
        <w:t>Sujeto Obligado</w:t>
      </w:r>
      <w:r w:rsidRPr="00F8148A">
        <w:rPr>
          <w:rFonts w:ascii="Palatino Linotype" w:eastAsia="Palatino Linotype" w:hAnsi="Palatino Linotype" w:cs="Palatino Linotype"/>
          <w:color w:val="000000"/>
        </w:rPr>
        <w:t xml:space="preserve"> emitió su respuesta a través del archivo electrónico denominado </w:t>
      </w:r>
      <w:r w:rsidRPr="00F8148A">
        <w:rPr>
          <w:rFonts w:ascii="Palatino Linotype" w:eastAsia="Palatino Linotype" w:hAnsi="Palatino Linotype" w:cs="Palatino Linotype"/>
          <w:b/>
          <w:i/>
          <w:color w:val="000000"/>
        </w:rPr>
        <w:t>ACUERDO DE DESECHAMIENTO 1008.AD.pdf</w:t>
      </w:r>
      <w:r w:rsidRPr="00F8148A">
        <w:rPr>
          <w:rFonts w:ascii="Palatino Linotype" w:eastAsia="Palatino Linotype" w:hAnsi="Palatino Linotype" w:cs="Palatino Linotype"/>
          <w:b/>
          <w:color w:val="000000"/>
        </w:rPr>
        <w:t xml:space="preserve">, </w:t>
      </w:r>
      <w:r w:rsidRPr="00F8148A">
        <w:rPr>
          <w:rFonts w:ascii="Palatino Linotype" w:eastAsia="Palatino Linotype" w:hAnsi="Palatino Linotype" w:cs="Palatino Linotype"/>
          <w:color w:val="000000"/>
        </w:rPr>
        <w:t>cuyo contenido corresponde a un escrito signado por la Jefa de Departamento de Acceso a la Información Institucional mediante el cual hace del conocimiento de la solicitante que derivado de no adjuntarse algún documento que acredite el consentimiento y la representación de la persona fallecida, no se da curso a la solicitud de acceso a datos.</w:t>
      </w:r>
    </w:p>
    <w:p w:rsidR="00F879F7" w:rsidRPr="00F8148A" w:rsidRDefault="00F879F7">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lastRenderedPageBreak/>
        <w:t>El</w:t>
      </w:r>
      <w:r w:rsidRPr="00F8148A">
        <w:rPr>
          <w:rFonts w:ascii="Palatino Linotype" w:eastAsia="Palatino Linotype" w:hAnsi="Palatino Linotype" w:cs="Palatino Linotype"/>
          <w:b/>
          <w:color w:val="000000"/>
        </w:rPr>
        <w:t xml:space="preserve"> diez de diciembre de dos mil veinticuatro</w:t>
      </w:r>
      <w:r w:rsidRPr="00F8148A">
        <w:rPr>
          <w:rFonts w:ascii="Palatino Linotype" w:eastAsia="Palatino Linotype" w:hAnsi="Palatino Linotype" w:cs="Palatino Linotype"/>
          <w:color w:val="000000"/>
        </w:rPr>
        <w:t>, la particular interpuso el Recurso de Revisión en contra de la respuesta emitida, realizando las siguientes manifestaciones:</w:t>
      </w:r>
    </w:p>
    <w:p w:rsidR="00F879F7" w:rsidRPr="00F8148A" w:rsidRDefault="00F879F7">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F879F7" w:rsidRPr="00F8148A" w:rsidRDefault="00D412DD">
      <w:pPr>
        <w:numPr>
          <w:ilvl w:val="0"/>
          <w:numId w:val="4"/>
        </w:numPr>
        <w:pBdr>
          <w:top w:val="nil"/>
          <w:left w:val="nil"/>
          <w:bottom w:val="nil"/>
          <w:right w:val="nil"/>
          <w:between w:val="nil"/>
        </w:pBdr>
        <w:spacing w:line="360" w:lineRule="auto"/>
        <w:ind w:right="49" w:hanging="358"/>
        <w:jc w:val="both"/>
        <w:rPr>
          <w:rFonts w:ascii="Palatino Linotype" w:eastAsia="Palatino Linotype" w:hAnsi="Palatino Linotype" w:cs="Palatino Linotype"/>
          <w:i/>
          <w:color w:val="000000"/>
        </w:rPr>
      </w:pPr>
      <w:bookmarkStart w:id="2" w:name="_heading=h.1fob9te" w:colFirst="0" w:colLast="0"/>
      <w:bookmarkEnd w:id="2"/>
      <w:r w:rsidRPr="00F8148A">
        <w:rPr>
          <w:rFonts w:ascii="Palatino Linotype" w:eastAsia="Palatino Linotype" w:hAnsi="Palatino Linotype" w:cs="Palatino Linotype"/>
          <w:b/>
          <w:color w:val="000000"/>
        </w:rPr>
        <w:t xml:space="preserve">Acto impugnado: </w:t>
      </w:r>
      <w:r w:rsidRPr="00F8148A">
        <w:rPr>
          <w:rFonts w:ascii="Palatino Linotype" w:eastAsia="Palatino Linotype" w:hAnsi="Palatino Linotype" w:cs="Palatino Linotype"/>
          <w:i/>
          <w:color w:val="000000"/>
        </w:rPr>
        <w:t>“NO ME ENTREGAN INFORMACIÓN SOLICITADA”</w:t>
      </w:r>
    </w:p>
    <w:p w:rsidR="00F879F7" w:rsidRPr="00F8148A" w:rsidRDefault="00F879F7">
      <w:pPr>
        <w:pBdr>
          <w:top w:val="nil"/>
          <w:left w:val="nil"/>
          <w:bottom w:val="nil"/>
          <w:right w:val="nil"/>
          <w:between w:val="nil"/>
        </w:pBdr>
        <w:spacing w:line="360" w:lineRule="auto"/>
        <w:ind w:left="709" w:right="49"/>
        <w:jc w:val="both"/>
        <w:rPr>
          <w:rFonts w:ascii="Palatino Linotype" w:eastAsia="Palatino Linotype" w:hAnsi="Palatino Linotype" w:cs="Palatino Linotype"/>
          <w:i/>
          <w:color w:val="000000"/>
        </w:rPr>
      </w:pPr>
    </w:p>
    <w:p w:rsidR="00F879F7" w:rsidRPr="00F8148A" w:rsidRDefault="00D412DD">
      <w:pPr>
        <w:numPr>
          <w:ilvl w:val="0"/>
          <w:numId w:val="4"/>
        </w:numPr>
        <w:pBdr>
          <w:top w:val="nil"/>
          <w:left w:val="nil"/>
          <w:bottom w:val="nil"/>
          <w:right w:val="nil"/>
          <w:between w:val="nil"/>
        </w:pBdr>
        <w:spacing w:line="360" w:lineRule="auto"/>
        <w:ind w:right="49" w:hanging="358"/>
        <w:jc w:val="both"/>
        <w:rPr>
          <w:rFonts w:ascii="Palatino Linotype" w:eastAsia="Palatino Linotype" w:hAnsi="Palatino Linotype" w:cs="Palatino Linotype"/>
          <w:i/>
          <w:color w:val="000000"/>
        </w:rPr>
      </w:pPr>
      <w:bookmarkStart w:id="3" w:name="_heading=h.3znysh7" w:colFirst="0" w:colLast="0"/>
      <w:bookmarkEnd w:id="3"/>
      <w:r w:rsidRPr="00F8148A">
        <w:rPr>
          <w:rFonts w:ascii="Palatino Linotype" w:eastAsia="Palatino Linotype" w:hAnsi="Palatino Linotype" w:cs="Palatino Linotype"/>
          <w:b/>
          <w:color w:val="000000"/>
        </w:rPr>
        <w:t xml:space="preserve">Razones o Motivos de inconformidad: </w:t>
      </w:r>
      <w:r w:rsidRPr="00F8148A">
        <w:rPr>
          <w:rFonts w:ascii="Palatino Linotype" w:eastAsia="Palatino Linotype" w:hAnsi="Palatino Linotype" w:cs="Palatino Linotype"/>
          <w:i/>
          <w:color w:val="000000"/>
        </w:rPr>
        <w:t xml:space="preserve">“Ingrese una solicitud en el SARCOEM, el día siete de noviembre del año en curso, para solicitar copia certificada del Aviso de Movimiento de Baja de la plaza o plazas que venía ocupando mi difunto esposo </w:t>
      </w:r>
      <w:r w:rsidR="000C3587">
        <w:rPr>
          <w:rFonts w:ascii="Palatino Linotype" w:eastAsia="Palatino Linotype" w:hAnsi="Palatino Linotype" w:cs="Palatino Linotype"/>
          <w:i/>
          <w:color w:val="000000"/>
        </w:rPr>
        <w:t>XXXXXX XXXX XXX</w:t>
      </w:r>
      <w:r w:rsidRPr="00F8148A">
        <w:rPr>
          <w:rFonts w:ascii="Palatino Linotype" w:eastAsia="Palatino Linotype" w:hAnsi="Palatino Linotype" w:cs="Palatino Linotype"/>
          <w:i/>
          <w:color w:val="000000"/>
        </w:rPr>
        <w:t xml:space="preserve">, con clave ISSEMYM </w:t>
      </w:r>
      <w:r w:rsidR="000C3587">
        <w:rPr>
          <w:rFonts w:ascii="Palatino Linotype" w:eastAsia="Palatino Linotype" w:hAnsi="Palatino Linotype" w:cs="Palatino Linotype"/>
          <w:i/>
          <w:color w:val="000000"/>
        </w:rPr>
        <w:t>XXXXXX</w:t>
      </w:r>
      <w:r w:rsidRPr="00F8148A">
        <w:rPr>
          <w:rFonts w:ascii="Palatino Linotype" w:eastAsia="Palatino Linotype" w:hAnsi="Palatino Linotype" w:cs="Palatino Linotype"/>
          <w:i/>
          <w:color w:val="000000"/>
        </w:rPr>
        <w:t xml:space="preserve">, lo cual adjunte, mi identificación oficial, identificación oficial, credencial de afiliación del ISSEMYM, acta de defunción del finado, acta de matrimonio y los requisitos que me solicitan ante el ISSEMYM para iniciar el trámite de pensión. Posteriormente la Unidad de Transparencia me requirió complementara mi solicitud de acceso a datos, debido a que no anexe el documento mediante el cual mi difunto esposo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así mismo, de acuerdo con el artículo 122, de la Ley antes </w:t>
      </w:r>
      <w:r w:rsidRPr="00F8148A">
        <w:rPr>
          <w:rFonts w:ascii="Palatino Linotype" w:eastAsia="Palatino Linotype" w:hAnsi="Palatino Linotype" w:cs="Palatino Linotype"/>
          <w:i/>
          <w:color w:val="000000"/>
        </w:rPr>
        <w:lastRenderedPageBreak/>
        <w:t xml:space="preserve">citada, el cual menciona que “La interposición de un recurso de revisión de datos personales concernientes a personas fallecidas, podrá realizarla la persona que acredite tener un interés jurídico o legítimo”, por lo tanto, acredito tener un interés legítimo, tal como lo demostré en los documentos que adjunte en la solicitud. Por lo anterior, solicito al ISSEMYM, que se me entregue copia certificada del Aviso de Movimiento de Baja de la plaza o plazas que venía ocupando mi difunto esposo </w:t>
      </w:r>
      <w:r w:rsidR="000C3587">
        <w:rPr>
          <w:rFonts w:ascii="Palatino Linotype" w:eastAsia="Palatino Linotype" w:hAnsi="Palatino Linotype" w:cs="Palatino Linotype"/>
          <w:i/>
          <w:color w:val="000000"/>
        </w:rPr>
        <w:t>XXX XXXXX XXXX</w:t>
      </w:r>
      <w:r w:rsidRPr="00F8148A">
        <w:rPr>
          <w:rFonts w:ascii="Palatino Linotype" w:eastAsia="Palatino Linotype" w:hAnsi="Palatino Linotype" w:cs="Palatino Linotype"/>
          <w:i/>
          <w:color w:val="000000"/>
        </w:rPr>
        <w:t xml:space="preserve">, con clave ISSEMYM </w:t>
      </w:r>
      <w:r w:rsidR="000C3587">
        <w:rPr>
          <w:rFonts w:ascii="Palatino Linotype" w:eastAsia="Palatino Linotype" w:hAnsi="Palatino Linotype" w:cs="Palatino Linotype"/>
          <w:i/>
          <w:color w:val="000000"/>
        </w:rPr>
        <w:t>XXXXXXX</w:t>
      </w:r>
      <w:r w:rsidRPr="00F8148A">
        <w:rPr>
          <w:rFonts w:ascii="Palatino Linotype" w:eastAsia="Palatino Linotype" w:hAnsi="Palatino Linotype" w:cs="Palatino Linotype"/>
          <w:i/>
          <w:color w:val="000000"/>
        </w:rPr>
        <w:t xml:space="preserve">, aunado a los documentos que ya habían sido ingresados en la solicitud, adjunto los requisitos que me solicitan ante el ISSEMYM para iniciar el trámite de pensión.” </w:t>
      </w:r>
      <w:r w:rsidRPr="00F8148A">
        <w:rPr>
          <w:rFonts w:ascii="Palatino Linotype" w:eastAsia="Palatino Linotype" w:hAnsi="Palatino Linotype" w:cs="Palatino Linotype"/>
          <w:color w:val="000000"/>
        </w:rPr>
        <w:t>(Sic)</w:t>
      </w:r>
    </w:p>
    <w:p w:rsidR="00F879F7" w:rsidRPr="00F8148A" w:rsidRDefault="00F879F7">
      <w:pPr>
        <w:pBdr>
          <w:top w:val="nil"/>
          <w:left w:val="nil"/>
          <w:bottom w:val="nil"/>
          <w:right w:val="nil"/>
          <w:between w:val="nil"/>
        </w:pBdr>
        <w:spacing w:line="360" w:lineRule="auto"/>
        <w:ind w:left="709" w:right="49"/>
        <w:jc w:val="both"/>
        <w:rPr>
          <w:rFonts w:ascii="Palatino Linotype" w:eastAsia="Palatino Linotype" w:hAnsi="Palatino Linotype" w:cs="Palatino Linotype"/>
          <w:i/>
          <w:color w:val="000000"/>
        </w:rPr>
      </w:pP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Se registró el Recurso de Revisión bajo el número de expediente al rubro indicado, asimismo con fundamento en lo dispuesto por los artículos 11 y 127 de la </w:t>
      </w:r>
      <w:r w:rsidRPr="00F8148A">
        <w:rPr>
          <w:rFonts w:ascii="Palatino Linotype" w:eastAsia="Palatino Linotype" w:hAnsi="Palatino Linotype" w:cs="Palatino Linotype"/>
          <w:b/>
        </w:rPr>
        <w:t xml:space="preserve">Ley de Protección de Datos Personales en Posesión de Sujetos Obligados del Estado de México y Municipios, </w:t>
      </w:r>
      <w:r w:rsidRPr="00F8148A">
        <w:rPr>
          <w:rFonts w:ascii="Palatino Linotype" w:eastAsia="Palatino Linotype" w:hAnsi="Palatino Linotype" w:cs="Palatino Linotype"/>
        </w:rPr>
        <w:t xml:space="preserve">en relación con el artículo 185 fracción I de la </w:t>
      </w:r>
      <w:r w:rsidRPr="00F8148A">
        <w:rPr>
          <w:rFonts w:ascii="Palatino Linotype" w:eastAsia="Palatino Linotype" w:hAnsi="Palatino Linotype" w:cs="Palatino Linotype"/>
          <w:b/>
        </w:rPr>
        <w:t xml:space="preserve">Ley de Transparencia y Acceso a la Información Pública del Estado de México y Municipios </w:t>
      </w:r>
      <w:r w:rsidRPr="00F8148A">
        <w:rPr>
          <w:rFonts w:ascii="Palatino Linotype" w:eastAsia="Palatino Linotype" w:hAnsi="Palatino Linotype" w:cs="Palatino Linotype"/>
        </w:rPr>
        <w:t xml:space="preserve">de aplicación supletoria, se turna a la </w:t>
      </w:r>
      <w:r w:rsidRPr="00F8148A">
        <w:rPr>
          <w:rFonts w:ascii="Palatino Linotype" w:eastAsia="Palatino Linotype" w:hAnsi="Palatino Linotype" w:cs="Palatino Linotype"/>
          <w:b/>
        </w:rPr>
        <w:t xml:space="preserve">Comisionada María del Rosario  Mejía Ayala, </w:t>
      </w:r>
      <w:r w:rsidRPr="00F8148A">
        <w:rPr>
          <w:rFonts w:ascii="Palatino Linotype" w:eastAsia="Palatino Linotype" w:hAnsi="Palatino Linotype" w:cs="Palatino Linotype"/>
        </w:rPr>
        <w:t xml:space="preserve">para su análisis. </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Seguidamente el </w:t>
      </w:r>
      <w:r w:rsidRPr="00F8148A">
        <w:rPr>
          <w:rFonts w:ascii="Palatino Linotype" w:eastAsia="Palatino Linotype" w:hAnsi="Palatino Linotype" w:cs="Palatino Linotype"/>
          <w:b/>
        </w:rPr>
        <w:t>trece de diciembre dos mil veinticuatro, c</w:t>
      </w:r>
      <w:r w:rsidRPr="00F8148A">
        <w:rPr>
          <w:rFonts w:ascii="Palatino Linotype" w:eastAsia="Palatino Linotype" w:hAnsi="Palatino Linotype" w:cs="Palatino Linotype"/>
        </w:rPr>
        <w:t xml:space="preserve">on fundamento en los artículos 11, 127 y 131 de la </w:t>
      </w:r>
      <w:r w:rsidRPr="00F8148A">
        <w:rPr>
          <w:rFonts w:ascii="Palatino Linotype" w:eastAsia="Palatino Linotype" w:hAnsi="Palatino Linotype" w:cs="Palatino Linotype"/>
          <w:b/>
        </w:rPr>
        <w:t>Ley de Protección de Datos Personales en Posesión de Sujetos Obligados del Estado de México y Municipios</w:t>
      </w:r>
      <w:r w:rsidRPr="00F8148A">
        <w:rPr>
          <w:rFonts w:ascii="Palatino Linotype" w:eastAsia="Palatino Linotype" w:hAnsi="Palatino Linotype" w:cs="Palatino Linotype"/>
        </w:rPr>
        <w:t xml:space="preserve"> y 185 fracciones I, II y IV de la Ley de Transparencia y Acceso a la Información Pública del Estado de México y Municipios de aplicación supletoria, se acordó la admisión a trámite</w:t>
      </w: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lastRenderedPageBreak/>
        <w:t>En mismo Acuerdo,</w:t>
      </w:r>
      <w:r w:rsidRPr="00F8148A">
        <w:rPr>
          <w:rFonts w:ascii="Palatino Linotype" w:eastAsia="Palatino Linotype" w:hAnsi="Palatino Linotype" w:cs="Palatino Linotype"/>
          <w:b/>
        </w:rPr>
        <w:t xml:space="preserve"> </w:t>
      </w:r>
      <w:r w:rsidRPr="00F8148A">
        <w:rPr>
          <w:rFonts w:ascii="Palatino Linotype" w:eastAsia="Palatino Linotype" w:hAnsi="Palatino Linotype" w:cs="Palatino Linotype"/>
        </w:rPr>
        <w:t>se exhortó a las partes a que por cualquier medio manifestaron su voluntad a conciliar en el presente asunto. Atento a lo anterior el día treinta del mismo mes y año el Sujeto Obligado a través del Responsable y Titular de la Unidad de Transparencia, manifestó su voluntad a conciliar en el presente asunto; a lo que ambas partes manifestaron su voluntad a conciliar en el presente asunto.</w:t>
      </w:r>
    </w:p>
    <w:p w:rsidR="00F879F7" w:rsidRPr="00F8148A" w:rsidRDefault="00F879F7">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Mediante citatorio de fecha veinte de enero de dos mil veinticinco, se convocó a las partes a la Audiencia de Conciliación para el día veinticuatro del mismo mes y año  a las once horas; a la que una vez llegada la fecha y hora, asistieron las partes, dejando constancia en el acta de conciliación que obra en el expediente electrónico en que se actúa.</w:t>
      </w:r>
    </w:p>
    <w:p w:rsidR="00F879F7" w:rsidRPr="00F8148A" w:rsidRDefault="00F879F7">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F879F7" w:rsidRPr="00F8148A" w:rsidRDefault="00D412DD">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En fecha veintisiete de enero del año en curso, se apertura la etapa de manifestaciones a efecto de que las partes emitieran informe justificado o realizaran manifestaciones que a su derecho conviniera y asistiera, respectivamente. Derechos </w:t>
      </w:r>
      <w:proofErr w:type="spellStart"/>
      <w:r w:rsidRPr="00F8148A">
        <w:rPr>
          <w:rFonts w:ascii="Palatino Linotype" w:eastAsia="Palatino Linotype" w:hAnsi="Palatino Linotype" w:cs="Palatino Linotype"/>
        </w:rPr>
        <w:t>precluidos</w:t>
      </w:r>
      <w:proofErr w:type="spellEnd"/>
      <w:r w:rsidRPr="00F8148A">
        <w:rPr>
          <w:rFonts w:ascii="Palatino Linotype" w:eastAsia="Palatino Linotype" w:hAnsi="Palatino Linotype" w:cs="Palatino Linotype"/>
        </w:rPr>
        <w:t xml:space="preserve"> por las partes, al no emitir pronunciamientos.</w:t>
      </w:r>
    </w:p>
    <w:p w:rsidR="00F879F7" w:rsidRPr="00F8148A" w:rsidRDefault="00F879F7">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rsidR="00F879F7" w:rsidRPr="00F8148A" w:rsidRDefault="00D412DD">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rPr>
      </w:pPr>
      <w:bookmarkStart w:id="4" w:name="_heading=h.2et92p0" w:colFirst="0" w:colLast="0"/>
      <w:bookmarkEnd w:id="4"/>
      <w:r w:rsidRPr="00F8148A">
        <w:rPr>
          <w:rFonts w:ascii="Palatino Linotype" w:eastAsia="Palatino Linotype" w:hAnsi="Palatino Linotype" w:cs="Palatino Linotype"/>
          <w:color w:val="000000"/>
        </w:rPr>
        <w:t xml:space="preserve">Seguidamente, al no existir diligencia pendiente por desahogar en fecha </w:t>
      </w:r>
      <w:r w:rsidRPr="00F8148A">
        <w:rPr>
          <w:rFonts w:ascii="Palatino Linotype" w:eastAsia="Palatino Linotype" w:hAnsi="Palatino Linotype" w:cs="Palatino Linotype"/>
          <w:b/>
          <w:color w:val="000000"/>
        </w:rPr>
        <w:t>treinta y uno de enero de dos mil veinticinco</w:t>
      </w:r>
      <w:r w:rsidRPr="00F8148A">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F879F7" w:rsidRPr="00F8148A" w:rsidRDefault="00F879F7">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F879F7" w:rsidRPr="00F8148A" w:rsidRDefault="00D412DD">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r w:rsidRPr="00F8148A">
        <w:rPr>
          <w:rFonts w:ascii="Palatino Linotype" w:eastAsia="Palatino Linotype" w:hAnsi="Palatino Linotype" w:cs="Palatino Linotype"/>
          <w:b/>
          <w:color w:val="000000"/>
        </w:rPr>
        <w:t>C O N S I D E R A C I O N E S</w:t>
      </w:r>
    </w:p>
    <w:p w:rsidR="00F879F7" w:rsidRPr="00F8148A" w:rsidRDefault="00D412DD">
      <w:pPr>
        <w:pStyle w:val="Ttulo2"/>
        <w:spacing w:before="0" w:line="360" w:lineRule="auto"/>
        <w:ind w:right="49"/>
        <w:rPr>
          <w:rFonts w:ascii="Palatino Linotype" w:eastAsia="Palatino Linotype" w:hAnsi="Palatino Linotype" w:cs="Palatino Linotype"/>
          <w:b/>
          <w:color w:val="000000"/>
          <w:sz w:val="24"/>
          <w:szCs w:val="24"/>
        </w:rPr>
      </w:pPr>
      <w:bookmarkStart w:id="5" w:name="_heading=h.tyjcwt" w:colFirst="0" w:colLast="0"/>
      <w:bookmarkEnd w:id="5"/>
      <w:r w:rsidRPr="00F8148A">
        <w:rPr>
          <w:rFonts w:ascii="Palatino Linotype" w:eastAsia="Palatino Linotype" w:hAnsi="Palatino Linotype" w:cs="Palatino Linotype"/>
          <w:b/>
          <w:color w:val="000000"/>
          <w:sz w:val="24"/>
          <w:szCs w:val="24"/>
        </w:rPr>
        <w:lastRenderedPageBreak/>
        <w:t>PRIMERA. Competencia</w:t>
      </w:r>
    </w:p>
    <w:p w:rsidR="00F879F7" w:rsidRPr="00F8148A" w:rsidRDefault="00D412DD">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F879F7" w:rsidRPr="00F8148A" w:rsidRDefault="00F879F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F879F7" w:rsidRPr="00F8148A" w:rsidRDefault="00D412DD">
      <w:pPr>
        <w:pStyle w:val="Ttulo2"/>
        <w:spacing w:before="0" w:line="360" w:lineRule="auto"/>
        <w:ind w:right="49"/>
        <w:rPr>
          <w:rFonts w:ascii="Palatino Linotype" w:eastAsia="Palatino Linotype" w:hAnsi="Palatino Linotype" w:cs="Palatino Linotype"/>
          <w:b/>
          <w:color w:val="000000"/>
          <w:sz w:val="24"/>
          <w:szCs w:val="24"/>
        </w:rPr>
      </w:pPr>
      <w:bookmarkStart w:id="6" w:name="_heading=h.3dy6vkm" w:colFirst="0" w:colLast="0"/>
      <w:bookmarkEnd w:id="6"/>
      <w:r w:rsidRPr="00F8148A">
        <w:rPr>
          <w:rFonts w:ascii="Palatino Linotype" w:eastAsia="Palatino Linotype" w:hAnsi="Palatino Linotype" w:cs="Palatino Linotype"/>
          <w:b/>
          <w:color w:val="000000"/>
          <w:sz w:val="24"/>
          <w:szCs w:val="24"/>
        </w:rPr>
        <w:t>SEGUNDA. Procedencia.</w:t>
      </w: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Recurso de Revisión fue interpuesto dentro del plazo de quince días hábiles, hábiles contados a partir del día siguiente a la fecha de notificación de la respuesta impugnada, tal y como lo prevé el artículo 128 de la Ley de Protección de Datos </w:t>
      </w:r>
      <w:r w:rsidRPr="00F8148A">
        <w:rPr>
          <w:rFonts w:ascii="Palatino Linotype" w:eastAsia="Palatino Linotype" w:hAnsi="Palatino Linotype" w:cs="Palatino Linotype"/>
        </w:rPr>
        <w:lastRenderedPageBreak/>
        <w:t xml:space="preserve">Personales en Posesión de Sujetos Obligados del Estado de México y Municipios, que establece: </w:t>
      </w:r>
    </w:p>
    <w:p w:rsidR="00F879F7" w:rsidRPr="00F8148A" w:rsidRDefault="00D412DD">
      <w:pPr>
        <w:spacing w:line="360" w:lineRule="auto"/>
        <w:ind w:left="567" w:right="49"/>
        <w:jc w:val="both"/>
        <w:rPr>
          <w:rFonts w:ascii="Palatino Linotype" w:eastAsia="Palatino Linotype" w:hAnsi="Palatino Linotype" w:cs="Palatino Linotype"/>
          <w:i/>
        </w:rPr>
      </w:pPr>
      <w:r w:rsidRPr="00F8148A">
        <w:rPr>
          <w:rFonts w:ascii="Palatino Linotype" w:eastAsia="Palatino Linotype" w:hAnsi="Palatino Linotype" w:cs="Palatino Linotype"/>
          <w:i/>
        </w:rPr>
        <w:t>“</w:t>
      </w:r>
      <w:r w:rsidRPr="00F8148A">
        <w:rPr>
          <w:rFonts w:ascii="Palatino Linotype" w:eastAsia="Palatino Linotype" w:hAnsi="Palatino Linotype" w:cs="Palatino Linotype"/>
          <w:b/>
          <w:i/>
        </w:rPr>
        <w:t>Artículo 128.</w:t>
      </w:r>
      <w:r w:rsidRPr="00F8148A">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F879F7" w:rsidRPr="00F8148A" w:rsidRDefault="00F879F7">
      <w:pPr>
        <w:spacing w:line="360" w:lineRule="auto"/>
        <w:ind w:left="567" w:right="49"/>
        <w:jc w:val="both"/>
        <w:rPr>
          <w:rFonts w:ascii="Palatino Linotype" w:eastAsia="Palatino Linotype" w:hAnsi="Palatino Linotype" w:cs="Palatino Linotype"/>
          <w:i/>
        </w:rPr>
      </w:pPr>
    </w:p>
    <w:p w:rsidR="00F879F7" w:rsidRPr="00F8148A" w:rsidRDefault="00D412DD">
      <w:pPr>
        <w:spacing w:line="360" w:lineRule="auto"/>
        <w:ind w:left="567" w:right="49"/>
        <w:jc w:val="both"/>
        <w:rPr>
          <w:rFonts w:ascii="Palatino Linotype" w:eastAsia="Palatino Linotype" w:hAnsi="Palatino Linotype" w:cs="Palatino Linotype"/>
          <w:i/>
        </w:rPr>
      </w:pPr>
      <w:r w:rsidRPr="00F8148A">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En esa tesitura, atendiendo a que el </w:t>
      </w:r>
      <w:r w:rsidRPr="00F8148A">
        <w:rPr>
          <w:rFonts w:ascii="Palatino Linotype" w:eastAsia="Palatino Linotype" w:hAnsi="Palatino Linotype" w:cs="Palatino Linotype"/>
          <w:b/>
        </w:rPr>
        <w:t>Sujeto Obligado</w:t>
      </w:r>
      <w:r w:rsidRPr="00F8148A">
        <w:rPr>
          <w:rFonts w:ascii="Palatino Linotype" w:eastAsia="Palatino Linotype" w:hAnsi="Palatino Linotype" w:cs="Palatino Linotype"/>
        </w:rPr>
        <w:t xml:space="preserve"> notificó la respuesta a la solicitud de acceso a datos personales el </w:t>
      </w:r>
      <w:r w:rsidRPr="00F8148A">
        <w:rPr>
          <w:rFonts w:ascii="Palatino Linotype" w:eastAsia="Palatino Linotype" w:hAnsi="Palatino Linotype" w:cs="Palatino Linotype"/>
          <w:b/>
        </w:rPr>
        <w:t>veintidós de noviembre de dos mil veinticuatro</w:t>
      </w:r>
      <w:r w:rsidRPr="00F8148A">
        <w:rPr>
          <w:rFonts w:ascii="Palatino Linotype" w:eastAsia="Palatino Linotype" w:hAnsi="Palatino Linotype" w:cs="Palatino Linotype"/>
        </w:rPr>
        <w:t xml:space="preserve">, el plazo de quince días hábiles que contempla el artículo 128 de la Ley de Protección de Datos Personales en Posesión de Sujetos Obligados del Estado de México y Municipios, transcurrió </w:t>
      </w:r>
      <w:r w:rsidRPr="00F8148A">
        <w:rPr>
          <w:rFonts w:ascii="Palatino Linotype" w:eastAsia="Palatino Linotype" w:hAnsi="Palatino Linotype" w:cs="Palatino Linotype"/>
          <w:b/>
        </w:rPr>
        <w:t>del veinticinco de noviembre al trece de diciembre de dos mil veinticuatro</w:t>
      </w:r>
      <w:r w:rsidRPr="00F8148A">
        <w:rPr>
          <w:rFonts w:ascii="Palatino Linotype" w:eastAsia="Palatino Linotype" w:hAnsi="Palatino Linotype" w:cs="Palatino Linotype"/>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lastRenderedPageBreak/>
        <w:t xml:space="preserve">Con base a esta cronología, si el Recurso de Revisión que nos ocupa se interpuso el </w:t>
      </w:r>
      <w:r w:rsidRPr="00F8148A">
        <w:rPr>
          <w:rFonts w:ascii="Palatino Linotype" w:eastAsia="Palatino Linotype" w:hAnsi="Palatino Linotype" w:cs="Palatino Linotype"/>
          <w:b/>
        </w:rPr>
        <w:t>diez de diciembre de dos mil veinticuatro</w:t>
      </w:r>
      <w:r w:rsidRPr="00F8148A">
        <w:rPr>
          <w:rFonts w:ascii="Palatino Linotype" w:eastAsia="Palatino Linotype" w:hAnsi="Palatino Linotype" w:cs="Palatino Linotype"/>
        </w:rPr>
        <w:t>; es decir que se encuentra dentro de los márgenes temporales previstos en el artículo 128 de la Ley de Protección de Datos Personales en Posesión de Sujetos Obligados del Estado de México y Municipios y, por tanto, su interposición se considera oportuna.</w:t>
      </w:r>
    </w:p>
    <w:p w:rsidR="00F879F7" w:rsidRPr="00F8148A" w:rsidRDefault="00F879F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879F7" w:rsidRPr="00F8148A" w:rsidRDefault="00D412DD">
      <w:pPr>
        <w:pStyle w:val="Ttulo1"/>
        <w:spacing w:before="0" w:line="360" w:lineRule="auto"/>
        <w:ind w:right="49"/>
        <w:jc w:val="both"/>
        <w:rPr>
          <w:rFonts w:ascii="Palatino Linotype" w:eastAsia="Palatino Linotype" w:hAnsi="Palatino Linotype" w:cs="Palatino Linotype"/>
          <w:b/>
          <w:color w:val="000000"/>
          <w:sz w:val="24"/>
          <w:szCs w:val="24"/>
        </w:rPr>
      </w:pPr>
      <w:bookmarkStart w:id="7" w:name="_heading=h.1t3h5sf" w:colFirst="0" w:colLast="0"/>
      <w:bookmarkEnd w:id="7"/>
      <w:r w:rsidRPr="00F8148A">
        <w:rPr>
          <w:rFonts w:ascii="Palatino Linotype" w:eastAsia="Palatino Linotype" w:hAnsi="Palatino Linotype" w:cs="Palatino Linotype"/>
          <w:b/>
          <w:color w:val="000000"/>
          <w:sz w:val="24"/>
          <w:szCs w:val="24"/>
        </w:rPr>
        <w:t>TERCERA. Análisis de las causales de improcedencia y sobreseimiento del Recurso de Revisión.</w:t>
      </w: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rsidR="00F879F7" w:rsidRPr="00F8148A" w:rsidRDefault="00F879F7">
      <w:pPr>
        <w:pBdr>
          <w:top w:val="nil"/>
          <w:left w:val="nil"/>
          <w:bottom w:val="nil"/>
          <w:right w:val="nil"/>
          <w:between w:val="nil"/>
        </w:pBdr>
        <w:spacing w:line="360" w:lineRule="auto"/>
        <w:ind w:left="502" w:right="49"/>
        <w:jc w:val="both"/>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Ahora bien, 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w:t>
      </w:r>
      <w:r w:rsidRPr="00F8148A">
        <w:rPr>
          <w:rFonts w:ascii="Palatino Linotype" w:eastAsia="Palatino Linotype" w:hAnsi="Palatino Linotype" w:cs="Palatino Linotype"/>
        </w:rPr>
        <w:lastRenderedPageBreak/>
        <w:t>seguridad nacional, disposiciones de orden público, seguridad y salud públicas o para proteger los derechos de terceros.</w:t>
      </w:r>
    </w:p>
    <w:p w:rsidR="00F879F7" w:rsidRPr="00F8148A" w:rsidRDefault="00F879F7">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rsidR="00F879F7" w:rsidRPr="00F8148A" w:rsidRDefault="00F879F7">
      <w:pPr>
        <w:pBdr>
          <w:top w:val="nil"/>
          <w:left w:val="nil"/>
          <w:bottom w:val="nil"/>
          <w:right w:val="nil"/>
          <w:between w:val="nil"/>
        </w:pBdr>
        <w:spacing w:line="360" w:lineRule="auto"/>
        <w:ind w:left="502" w:right="49"/>
        <w:jc w:val="both"/>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F8148A">
        <w:rPr>
          <w:rFonts w:ascii="Palatino Linotype" w:eastAsia="Palatino Linotype" w:hAnsi="Palatino Linotype" w:cs="Palatino Linotype"/>
          <w:b/>
        </w:rPr>
        <w:t>SUJETO OBLIGADO</w:t>
      </w:r>
      <w:r w:rsidRPr="00F8148A">
        <w:rPr>
          <w:rFonts w:ascii="Palatino Linotype" w:eastAsia="Palatino Linotype" w:hAnsi="Palatino Linotype" w:cs="Palatino Linotype"/>
        </w:rPr>
        <w:t xml:space="preserve"> que esté en posesión de los mismos.</w:t>
      </w:r>
    </w:p>
    <w:p w:rsidR="00F879F7" w:rsidRPr="00F8148A" w:rsidRDefault="00F879F7">
      <w:pPr>
        <w:pBdr>
          <w:top w:val="nil"/>
          <w:left w:val="nil"/>
          <w:bottom w:val="nil"/>
          <w:right w:val="nil"/>
          <w:between w:val="nil"/>
        </w:pBdr>
        <w:spacing w:line="360" w:lineRule="auto"/>
        <w:ind w:left="502" w:right="49"/>
        <w:jc w:val="both"/>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Es importante señalar, que  la procedencia de los derechos de acceso, rectificación, cancelación y oposición de datos personales, ARCO, es efectiva una </w:t>
      </w:r>
      <w:r w:rsidRPr="00F8148A">
        <w:rPr>
          <w:rFonts w:ascii="Palatino Linotype" w:eastAsia="Palatino Linotype" w:hAnsi="Palatino Linotype" w:cs="Palatino Linotype"/>
        </w:rPr>
        <w:lastRenderedPageBreak/>
        <w:t>vez que el titular o su representante legal acrediten su identidad o representación, respectivamente.</w:t>
      </w:r>
    </w:p>
    <w:p w:rsidR="00F879F7" w:rsidRPr="00F8148A" w:rsidRDefault="00F879F7">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Ahora bien, del análisis a la solicitud se advierte que la parte </w:t>
      </w:r>
      <w:r w:rsidRPr="00F8148A">
        <w:rPr>
          <w:rFonts w:ascii="Palatino Linotype" w:eastAsia="Palatino Linotype" w:hAnsi="Palatino Linotype" w:cs="Palatino Linotype"/>
          <w:b/>
        </w:rPr>
        <w:t>Recurrente</w:t>
      </w:r>
      <w:r w:rsidRPr="00F8148A">
        <w:rPr>
          <w:rFonts w:ascii="Palatino Linotype" w:eastAsia="Palatino Linotype" w:hAnsi="Palatino Linotype" w:cs="Palatino Linotype"/>
        </w:rPr>
        <w:t xml:space="preserve"> requiere acceder los siguientes datos: </w:t>
      </w:r>
    </w:p>
    <w:p w:rsidR="00F879F7" w:rsidRPr="00F8148A" w:rsidRDefault="00F879F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879F7" w:rsidRPr="00F8148A" w:rsidRDefault="00D412DD">
      <w:pPr>
        <w:numPr>
          <w:ilvl w:val="0"/>
          <w:numId w:val="1"/>
        </w:numPr>
        <w:pBdr>
          <w:top w:val="nil"/>
          <w:left w:val="nil"/>
          <w:bottom w:val="nil"/>
          <w:right w:val="nil"/>
          <w:between w:val="nil"/>
        </w:pBdr>
        <w:spacing w:line="360" w:lineRule="auto"/>
        <w:ind w:right="49" w:hanging="359"/>
        <w:jc w:val="both"/>
        <w:rPr>
          <w:rFonts w:ascii="Palatino Linotype" w:eastAsia="Palatino Linotype" w:hAnsi="Palatino Linotype" w:cs="Palatino Linotype"/>
          <w:b/>
          <w:color w:val="000000"/>
        </w:rPr>
      </w:pPr>
      <w:r w:rsidRPr="00F8148A">
        <w:rPr>
          <w:rFonts w:ascii="Palatino Linotype" w:eastAsia="Palatino Linotype" w:hAnsi="Palatino Linotype" w:cs="Palatino Linotype"/>
          <w:b/>
          <w:color w:val="000000"/>
        </w:rPr>
        <w:t>Copia certificada del Formato Único de Movimiento Personal de Baja, del esposo finado de la solicitante.</w:t>
      </w:r>
    </w:p>
    <w:p w:rsidR="00F879F7" w:rsidRPr="00F8148A" w:rsidRDefault="00F879F7">
      <w:pPr>
        <w:pBdr>
          <w:top w:val="nil"/>
          <w:left w:val="nil"/>
          <w:bottom w:val="nil"/>
          <w:right w:val="nil"/>
          <w:between w:val="nil"/>
        </w:pBdr>
        <w:spacing w:line="360" w:lineRule="auto"/>
        <w:ind w:left="709" w:right="49"/>
        <w:jc w:val="both"/>
        <w:rPr>
          <w:rFonts w:ascii="Palatino Linotype" w:eastAsia="Palatino Linotype" w:hAnsi="Palatino Linotype" w:cs="Palatino Linotype"/>
          <w:b/>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En respuesta, el </w:t>
      </w:r>
      <w:r w:rsidRPr="00F8148A">
        <w:rPr>
          <w:rFonts w:ascii="Palatino Linotype" w:eastAsia="Palatino Linotype" w:hAnsi="Palatino Linotype" w:cs="Palatino Linotype"/>
          <w:b/>
        </w:rPr>
        <w:t xml:space="preserve">Sujeto Obligado </w:t>
      </w:r>
      <w:r w:rsidRPr="00F8148A">
        <w:rPr>
          <w:rFonts w:ascii="Palatino Linotype" w:eastAsia="Palatino Linotype" w:hAnsi="Palatino Linotype" w:cs="Palatino Linotype"/>
        </w:rPr>
        <w:t>hizo del conocimiento que para la entrega de datos personales, resultaba necesario la remitir el soporte documental que acredite el consentimiento y representación del titular de los datos personales previo fallecimiento.</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En ese sentido, no pasa desapercibido mencionar que resulta importante subrayar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sidRPr="00F8148A">
        <w:rPr>
          <w:rFonts w:ascii="Palatino Linotype" w:eastAsia="Palatino Linotype" w:hAnsi="Palatino Linotype" w:cs="Palatino Linotype"/>
          <w:b/>
        </w:rPr>
        <w:t xml:space="preserve">, </w:t>
      </w:r>
      <w:r w:rsidRPr="00F8148A">
        <w:rPr>
          <w:rFonts w:ascii="Palatino Linotype" w:eastAsia="Palatino Linotype" w:hAnsi="Palatino Linotype" w:cs="Palatino Linotype"/>
        </w:rPr>
        <w:t>que es del tenor literal siguiente:</w:t>
      </w:r>
    </w:p>
    <w:p w:rsidR="00F879F7" w:rsidRPr="00F8148A" w:rsidRDefault="00F879F7">
      <w:pPr>
        <w:pBdr>
          <w:top w:val="nil"/>
          <w:left w:val="nil"/>
          <w:bottom w:val="nil"/>
          <w:right w:val="nil"/>
          <w:between w:val="nil"/>
        </w:pBdr>
        <w:ind w:left="720"/>
        <w:rPr>
          <w:rFonts w:ascii="Palatino Linotype" w:eastAsia="Palatino Linotype" w:hAnsi="Palatino Linotype" w:cs="Palatino Linotype"/>
          <w:color w:val="000000"/>
        </w:rPr>
      </w:pPr>
    </w:p>
    <w:p w:rsidR="00F879F7" w:rsidRPr="00F8148A" w:rsidRDefault="00D412DD">
      <w:pPr>
        <w:pBdr>
          <w:top w:val="nil"/>
          <w:left w:val="nil"/>
          <w:bottom w:val="nil"/>
          <w:right w:val="nil"/>
          <w:between w:val="nil"/>
        </w:pBdr>
        <w:spacing w:line="360" w:lineRule="auto"/>
        <w:ind w:left="851" w:right="49"/>
        <w:jc w:val="both"/>
        <w:rPr>
          <w:rFonts w:ascii="Palatino Linotype" w:eastAsia="Palatino Linotype" w:hAnsi="Palatino Linotype" w:cs="Palatino Linotype"/>
          <w:i/>
        </w:rPr>
      </w:pPr>
      <w:r w:rsidRPr="00F8148A">
        <w:rPr>
          <w:rFonts w:ascii="Palatino Linotype" w:eastAsia="Palatino Linotype" w:hAnsi="Palatino Linotype" w:cs="Palatino Linotype"/>
          <w:i/>
        </w:rPr>
        <w:t>“</w:t>
      </w:r>
      <w:r w:rsidRPr="00F8148A">
        <w:rPr>
          <w:rFonts w:ascii="Palatino Linotype" w:eastAsia="Palatino Linotype" w:hAnsi="Palatino Linotype" w:cs="Palatino Linotype"/>
          <w:b/>
          <w:i/>
        </w:rPr>
        <w:t>Artículo 106</w:t>
      </w:r>
      <w:r w:rsidRPr="00F8148A">
        <w:rPr>
          <w:rFonts w:ascii="Palatino Linotype" w:eastAsia="Palatino Linotype" w:hAnsi="Palatino Linotype" w:cs="Palatino Linotype"/>
          <w:i/>
        </w:rPr>
        <w:t>…</w:t>
      </w:r>
    </w:p>
    <w:p w:rsidR="00F879F7" w:rsidRPr="00F8148A" w:rsidRDefault="00D412DD">
      <w:pPr>
        <w:pBdr>
          <w:top w:val="nil"/>
          <w:left w:val="nil"/>
          <w:bottom w:val="nil"/>
          <w:right w:val="nil"/>
          <w:between w:val="nil"/>
        </w:pBdr>
        <w:spacing w:line="360" w:lineRule="auto"/>
        <w:ind w:left="851" w:right="49"/>
        <w:jc w:val="both"/>
        <w:rPr>
          <w:rFonts w:ascii="Palatino Linotype" w:eastAsia="Palatino Linotype" w:hAnsi="Palatino Linotype" w:cs="Palatino Linotype"/>
          <w:i/>
        </w:rPr>
      </w:pPr>
      <w:r w:rsidRPr="00F8148A">
        <w:rPr>
          <w:rFonts w:ascii="Palatino Linotype" w:eastAsia="Palatino Linotype" w:hAnsi="Palatino Linotype" w:cs="Palatino Linotype"/>
          <w:b/>
          <w:i/>
          <w:u w:val="single"/>
        </w:rPr>
        <w:lastRenderedPageBreak/>
        <w:t>Para el ejercicio de los derechos ARCO solicitados será necesario acreditar la identidad de titular y en su caso la identidad y personalidad</w:t>
      </w:r>
      <w:r w:rsidRPr="00F8148A">
        <w:rPr>
          <w:rFonts w:ascii="Palatino Linotype" w:eastAsia="Palatino Linotype" w:hAnsi="Palatino Linotype" w:cs="Palatino Linotype"/>
          <w:i/>
        </w:rPr>
        <w:t xml:space="preserve"> con la que actúe el representante…”</w:t>
      </w:r>
    </w:p>
    <w:p w:rsidR="00F879F7" w:rsidRPr="00F8148A" w:rsidRDefault="00F879F7">
      <w:pPr>
        <w:pBdr>
          <w:top w:val="nil"/>
          <w:left w:val="nil"/>
          <w:bottom w:val="nil"/>
          <w:right w:val="nil"/>
          <w:between w:val="nil"/>
        </w:pBdr>
        <w:spacing w:line="360" w:lineRule="auto"/>
        <w:ind w:left="851" w:right="49"/>
        <w:jc w:val="both"/>
        <w:rPr>
          <w:rFonts w:ascii="Palatino Linotype" w:eastAsia="Palatino Linotype" w:hAnsi="Palatino Linotype" w:cs="Palatino Linotype"/>
          <w:i/>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En este orden de ideas, el derecho de acceso a datos personales lleva un procedimiento establecido por la Ley de Protección de Datos Personales en Posesión de Sujetos Obligados del Estado de México y Municipios y cuando es a nombre de una persona fallecida, este procedimiento es diverso; para esto, es pertinente establecer los pasos para acceder a datos personales a nombre de personas fallecidas:</w:t>
      </w:r>
    </w:p>
    <w:p w:rsidR="00F879F7" w:rsidRPr="00F8148A" w:rsidRDefault="00F879F7">
      <w:pPr>
        <w:spacing w:line="360" w:lineRule="auto"/>
        <w:jc w:val="both"/>
        <w:rPr>
          <w:rFonts w:ascii="Palatino Linotype" w:eastAsia="Palatino Linotype" w:hAnsi="Palatino Linotype" w:cs="Palatino Linotype"/>
        </w:rPr>
      </w:pPr>
    </w:p>
    <w:p w:rsidR="00F879F7" w:rsidRPr="00F8148A" w:rsidRDefault="00D412D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Los derechos ARCO, pueden ser ejercido por el titular de estos, por representante o bien por una persona designada para estos fines a través de testamento, en caso de personas fallecidas.</w:t>
      </w:r>
    </w:p>
    <w:p w:rsidR="00F879F7" w:rsidRPr="00F8148A" w:rsidRDefault="00F879F7">
      <w:pPr>
        <w:spacing w:line="360" w:lineRule="auto"/>
        <w:jc w:val="both"/>
        <w:rPr>
          <w:rFonts w:ascii="Palatino Linotype" w:eastAsia="Palatino Linotype" w:hAnsi="Palatino Linotype" w:cs="Palatino Linotype"/>
        </w:rPr>
      </w:pPr>
    </w:p>
    <w:p w:rsidR="00F879F7" w:rsidRPr="00F8148A" w:rsidRDefault="00D412D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El derecho de acceso, que es el caso que nos ocupa, es el derecho que tiene el titular de estos, para acceder, solicitar y ser informado sobre sus datos personales, así la información relacionada con las condiciones y generalidades de su tratamiento.</w:t>
      </w:r>
    </w:p>
    <w:p w:rsidR="00F879F7" w:rsidRPr="00F8148A" w:rsidRDefault="00F879F7">
      <w:pPr>
        <w:spacing w:line="360" w:lineRule="auto"/>
        <w:jc w:val="both"/>
        <w:rPr>
          <w:rFonts w:ascii="Palatino Linotype" w:eastAsia="Palatino Linotype" w:hAnsi="Palatino Linotype" w:cs="Palatino Linotype"/>
        </w:rPr>
      </w:pPr>
    </w:p>
    <w:p w:rsidR="00F879F7" w:rsidRPr="00F8148A" w:rsidRDefault="00D412D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La recepción y el trámite de las solicitudes para el ejercicio de los derechos ARCO, serán tramitadas por la Unidad de Transparencia.</w:t>
      </w:r>
    </w:p>
    <w:p w:rsidR="00F879F7" w:rsidRPr="00F8148A" w:rsidRDefault="00F879F7">
      <w:pPr>
        <w:spacing w:line="360" w:lineRule="auto"/>
        <w:jc w:val="both"/>
        <w:rPr>
          <w:rFonts w:ascii="Palatino Linotype" w:eastAsia="Palatino Linotype" w:hAnsi="Palatino Linotype" w:cs="Palatino Linotype"/>
          <w:b/>
        </w:rPr>
      </w:pPr>
    </w:p>
    <w:p w:rsidR="00F879F7" w:rsidRPr="00F8148A" w:rsidRDefault="00D412D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F8148A">
        <w:rPr>
          <w:rFonts w:ascii="Palatino Linotype" w:eastAsia="Palatino Linotype" w:hAnsi="Palatino Linotype" w:cs="Palatino Linotype"/>
          <w:color w:val="000000"/>
        </w:rPr>
        <w:lastRenderedPageBreak/>
        <w:t>Para el ejercicio, es necesario acreditar identidad de titular de los datos, en el caso de representantes, acreditar personalidad y para el caso de personas fallecidas o de quienes se haya declarado judicialmente fallecidas, además de acreditar interés jurídico, el titular de los derechos deberá autorizar a través de la expresión fehaciente de su voluntad mediante testamente, a la persona que tenga derecho para ejercer los derechos ARCO.</w:t>
      </w:r>
    </w:p>
    <w:p w:rsidR="00F879F7" w:rsidRPr="00F8148A" w:rsidRDefault="00F879F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879F7" w:rsidRPr="00F8148A" w:rsidRDefault="00D412D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F8148A">
        <w:rPr>
          <w:rFonts w:ascii="Palatino Linotype" w:eastAsia="Palatino Linotype" w:hAnsi="Palatino Linotype" w:cs="Palatino Linotype"/>
          <w:color w:val="000000"/>
        </w:rPr>
        <w:t>El ejercicio de derechos ARCO por persona diversa al titular, tendrán supuestos de excepción, bajo supuestos legales o bien por mandato judicial.</w:t>
      </w:r>
    </w:p>
    <w:p w:rsidR="00F879F7" w:rsidRPr="00F8148A" w:rsidRDefault="00F879F7">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F879F7" w:rsidRPr="00F8148A" w:rsidRDefault="00D412D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El plazo que tienen los Responsables para dar respuesta, es el de veinte días hábiles, contados a partir del día siguiente de la recepción de la solicitud.</w:t>
      </w:r>
    </w:p>
    <w:p w:rsidR="00F879F7" w:rsidRPr="00F8148A" w:rsidRDefault="00F879F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879F7" w:rsidRPr="00F8148A" w:rsidRDefault="00D412D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color w:val="000000"/>
        </w:rPr>
        <w:t>Para ejercer el derecho de acceso a datos personales, se deberá satisfacer los requisitos establecidos por la Ley de Protección de Datos en cita, en caso de que alguno de ellos, no se satisfaga, se deberá prevenir al solicitante, para que, en el plazo de diez días hábiles, contados a partir de la notificación de la prevención, sean subsanados.</w:t>
      </w:r>
    </w:p>
    <w:p w:rsidR="00F879F7" w:rsidRPr="00F8148A" w:rsidRDefault="00F879F7">
      <w:pPr>
        <w:spacing w:line="360" w:lineRule="auto"/>
        <w:jc w:val="both"/>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Una vez identificados los pasos del proceso que debe llevarse a cabo, durante la tramitación de un ejercicio de alguno de los derechos ARCO, es procedente entrar al estudio del presente asunto, para determinar los alcances de los elementos aportados por las partes, durante la sustanciación del presente Recurso de Revisión.</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lastRenderedPageBreak/>
        <w:t>El artículo 106 de la Ley de Protección de Datos Personales, aplicable a la entidad, establece en su párrafos cuarto, quinto y sexto, establece los supuestos en los cuales un tercero, tiene legitimación para acceder a datos personales de personas fallecidas, en el momento procesal del ingreso de una solicitud de acceso a datos personales:</w:t>
      </w:r>
    </w:p>
    <w:p w:rsidR="00F879F7" w:rsidRPr="00F8148A" w:rsidRDefault="00F879F7">
      <w:pPr>
        <w:spacing w:line="360" w:lineRule="auto"/>
        <w:jc w:val="both"/>
        <w:rPr>
          <w:rFonts w:ascii="Palatino Linotype" w:eastAsia="Palatino Linotype" w:hAnsi="Palatino Linotype" w:cs="Palatino Linotype"/>
          <w:b/>
        </w:rPr>
      </w:pP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“Artículo 106. ...</w:t>
      </w: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w:t>
      </w:r>
    </w:p>
    <w:p w:rsidR="00F879F7" w:rsidRPr="00F8148A" w:rsidRDefault="00D412DD">
      <w:pPr>
        <w:spacing w:line="360" w:lineRule="auto"/>
        <w:ind w:left="567" w:right="539"/>
        <w:jc w:val="both"/>
        <w:rPr>
          <w:rFonts w:ascii="Palatino Linotype" w:eastAsia="Palatino Linotype" w:hAnsi="Palatino Linotype" w:cs="Palatino Linotype"/>
          <w:b/>
          <w:i/>
        </w:rPr>
      </w:pPr>
      <w:r w:rsidRPr="00F8148A">
        <w:rPr>
          <w:rFonts w:ascii="Palatino Linotype" w:eastAsia="Palatino Linotype" w:hAnsi="Palatino Linotype" w:cs="Palatino Linotype"/>
          <w:b/>
          <w:i/>
        </w:rPr>
        <w:t>Tratándose de datos personales concernientes a personas fallecidas</w:t>
      </w:r>
      <w:r w:rsidRPr="00F8148A">
        <w:rPr>
          <w:rFonts w:ascii="Palatino Linotype" w:eastAsia="Palatino Linotype" w:hAnsi="Palatino Linotype" w:cs="Palatino Linotype"/>
          <w:i/>
        </w:rPr>
        <w:t xml:space="preserve"> o de quienes haya sido declarada judicialmente su presunción de muerte, </w:t>
      </w:r>
      <w:r w:rsidRPr="00F8148A">
        <w:rPr>
          <w:rFonts w:ascii="Palatino Linotype" w:eastAsia="Palatino Linotype" w:hAnsi="Palatino Linotype" w:cs="Palatino Linotype"/>
          <w:b/>
          <w:i/>
        </w:rPr>
        <w:t>la persona que acredite tener un interés jurídico</w:t>
      </w:r>
      <w:r w:rsidRPr="00F8148A">
        <w:rPr>
          <w:rFonts w:ascii="Palatino Linotype" w:eastAsia="Palatino Linotype" w:hAnsi="Palatino Linotype" w:cs="Palatino Linotype"/>
          <w:i/>
        </w:rPr>
        <w:t xml:space="preserve"> de conformidad con las leyes aplicables, podrá ejercer los derechos que le confiere el presente capítulo, </w:t>
      </w:r>
      <w:r w:rsidRPr="00F8148A">
        <w:rPr>
          <w:rFonts w:ascii="Palatino Linotype" w:eastAsia="Palatino Linotype" w:hAnsi="Palatino Linotype" w:cs="Palatino Linotype"/>
          <w:b/>
          <w:i/>
        </w:rPr>
        <w:t>siempre que el titular de los derechos hubiere expresado fehacientemente su voluntad en tal sentido, o que exista un mandato judicial para dicho efecto.</w:t>
      </w:r>
    </w:p>
    <w:p w:rsidR="00F879F7" w:rsidRPr="00F8148A" w:rsidRDefault="00F879F7">
      <w:pPr>
        <w:spacing w:line="360" w:lineRule="auto"/>
        <w:ind w:left="567" w:right="539"/>
        <w:jc w:val="both"/>
        <w:rPr>
          <w:rFonts w:ascii="Palatino Linotype" w:eastAsia="Palatino Linotype" w:hAnsi="Palatino Linotype" w:cs="Palatino Linotype"/>
          <w:i/>
        </w:rPr>
      </w:pP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b/>
          <w:i/>
        </w:rPr>
        <w:t>El titular podrá autorizar dentro de una cláusula del testamento a las personas que podrán ejercer sus derechos ARCO al momento del fallecimiento</w:t>
      </w:r>
      <w:r w:rsidRPr="00F8148A">
        <w:rPr>
          <w:rFonts w:ascii="Palatino Linotype" w:eastAsia="Palatino Linotype" w:hAnsi="Palatino Linotype" w:cs="Palatino Linotype"/>
          <w:i/>
        </w:rPr>
        <w:t xml:space="preserve">. </w:t>
      </w:r>
    </w:p>
    <w:p w:rsidR="00F879F7" w:rsidRPr="00F8148A" w:rsidRDefault="00F879F7">
      <w:pPr>
        <w:spacing w:line="360" w:lineRule="auto"/>
        <w:ind w:left="567" w:right="539"/>
        <w:jc w:val="both"/>
        <w:rPr>
          <w:rFonts w:ascii="Palatino Linotype" w:eastAsia="Palatino Linotype" w:hAnsi="Palatino Linotype" w:cs="Palatino Linotype"/>
          <w:i/>
        </w:rPr>
      </w:pP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El ejercicio de los derechos ARCO por persona distinta a su titular o a su representante, será posible, excepcionalmente, en aquellos supuestos previstos por disposición legal, o en su caso, por mandato judicial.”</w:t>
      </w:r>
    </w:p>
    <w:p w:rsidR="00F879F7" w:rsidRPr="00F8148A" w:rsidRDefault="00F879F7">
      <w:pPr>
        <w:spacing w:line="360" w:lineRule="auto"/>
        <w:ind w:right="539"/>
        <w:jc w:val="both"/>
        <w:rPr>
          <w:rFonts w:ascii="Palatino Linotype" w:eastAsia="Palatino Linotype" w:hAnsi="Palatino Linotype" w:cs="Palatino Linotype"/>
          <w:i/>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lastRenderedPageBreak/>
        <w:t>Se identifica que, para acceder a datos personales de una persona fallecida, la Particular podrá acceder a los datos personales, en primera instancia, si la persona fallecida, así lo dispuso en su testamento, para delimitar esto, es necesario identificar, tanto los elementos de derecho como de hecho, realizados por las partes en el presente asunto, no sin antes delimitar las figuras jurídicas.</w:t>
      </w:r>
    </w:p>
    <w:p w:rsidR="00F879F7" w:rsidRPr="00F8148A" w:rsidRDefault="00F879F7">
      <w:pPr>
        <w:spacing w:line="360" w:lineRule="auto"/>
        <w:ind w:right="-28"/>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Fortalece lo anterior la Tesis Aislada enunciada por el propio Poder Judicial, con número de registro 2005381, derivada del Amparo en revisión 151/2013 (cuaderno auxiliar 580/2013). Reyna Griselda Rejón Ruelas. 11 de julio de 2013. Del CUARTO TRIBUNAL COLEGIADO DE CIRCUITO DEL CENTRO AUXILIAR DE LA TERCERA REGIÓN, CON RESIDENCIA EN GUADALAJARA, JALISCO. </w:t>
      </w:r>
    </w:p>
    <w:p w:rsidR="00F879F7" w:rsidRPr="00F8148A" w:rsidRDefault="00F879F7">
      <w:pPr>
        <w:spacing w:line="360" w:lineRule="auto"/>
        <w:ind w:left="567" w:right="567"/>
        <w:jc w:val="both"/>
        <w:rPr>
          <w:rFonts w:ascii="Palatino Linotype" w:eastAsia="Palatino Linotype" w:hAnsi="Palatino Linotype" w:cs="Palatino Linotype"/>
        </w:rPr>
      </w:pPr>
    </w:p>
    <w:p w:rsidR="00F879F7" w:rsidRPr="00F8148A" w:rsidRDefault="00D412DD">
      <w:pPr>
        <w:spacing w:line="360" w:lineRule="auto"/>
        <w:ind w:left="567" w:right="539"/>
        <w:jc w:val="both"/>
        <w:rPr>
          <w:rFonts w:ascii="Palatino Linotype" w:eastAsia="Palatino Linotype" w:hAnsi="Palatino Linotype" w:cs="Palatino Linotype"/>
          <w:b/>
          <w:i/>
        </w:rPr>
      </w:pPr>
      <w:r w:rsidRPr="00F8148A">
        <w:rPr>
          <w:rFonts w:ascii="Palatino Linotype" w:eastAsia="Palatino Linotype" w:hAnsi="Palatino Linotype" w:cs="Palatino Linotype"/>
          <w:b/>
          <w:i/>
        </w:rPr>
        <w:t xml:space="preserve">INTERÉS JURÍDICO E INTERÉS LEGÍTIMO EN EL AMPARO. CARACTERÍSTICAS DEL MÉTODO CONCRETO QUE DEBE UTILIZAR EL JUEZ PARA SU DETERMINACIÓN. </w:t>
      </w:r>
    </w:p>
    <w:p w:rsidR="00F879F7" w:rsidRPr="00F8148A" w:rsidRDefault="00F879F7">
      <w:pPr>
        <w:spacing w:line="360" w:lineRule="auto"/>
        <w:ind w:left="567" w:right="539"/>
        <w:jc w:val="both"/>
        <w:rPr>
          <w:rFonts w:ascii="Palatino Linotype" w:eastAsia="Palatino Linotype" w:hAnsi="Palatino Linotype" w:cs="Palatino Linotype"/>
          <w:b/>
          <w:i/>
        </w:rPr>
      </w:pP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Del texto del artículo 107, fracción I, de la Constitución Política de los Estados Unidos Mexicanos, a partir de su reforma publicada en el Diario Oficial de la Federación el 4 de octubre de 2011, se advierte que la intención del Constituyente es continuar en el juicio de amparo con la tutela del interés jurídico y agregar al ámbito de protección el interés legítimo, los cuales tienen diversos alcances, pues el primero requiere, para su acreditación</w:t>
      </w:r>
      <w:r w:rsidRPr="00F8148A">
        <w:rPr>
          <w:rFonts w:ascii="Palatino Linotype" w:eastAsia="Palatino Linotype" w:hAnsi="Palatino Linotype" w:cs="Palatino Linotype"/>
          <w:b/>
          <w:i/>
        </w:rPr>
        <w:t xml:space="preserve">, </w:t>
      </w:r>
      <w:r w:rsidRPr="00F8148A">
        <w:rPr>
          <w:rFonts w:ascii="Palatino Linotype" w:eastAsia="Palatino Linotype" w:hAnsi="Palatino Linotype" w:cs="Palatino Linotype"/>
          <w:b/>
          <w:i/>
          <w:u w:val="single"/>
        </w:rPr>
        <w:t xml:space="preserve">el perjuicio de un derecho subjetivo del cual es titular el agraviado; en cambio, el segundo comprende únicamente la existencia de un interés cualificado respecto de la legalidad </w:t>
      </w:r>
      <w:r w:rsidRPr="00F8148A">
        <w:rPr>
          <w:rFonts w:ascii="Palatino Linotype" w:eastAsia="Palatino Linotype" w:hAnsi="Palatino Linotype" w:cs="Palatino Linotype"/>
          <w:b/>
          <w:i/>
          <w:u w:val="single"/>
        </w:rPr>
        <w:lastRenderedPageBreak/>
        <w:t>de los actos impugnados</w:t>
      </w:r>
      <w:r w:rsidRPr="00F8148A">
        <w:rPr>
          <w:rFonts w:ascii="Palatino Linotype" w:eastAsia="Palatino Linotype" w:hAnsi="Palatino Linotype" w:cs="Palatino Linotype"/>
          <w:i/>
        </w:rPr>
        <w:t xml:space="preserve">, y proviene de la afectación a la esfera jurídica del individuo, ya sea directa o derivada de su situación particular respecto a la norma que establezca el interés difuso en beneficio de una colectividad, identificada e identificable, lo cual supone que el quejoso pertenece a ella; en ese contexto, dichas figuras están referidas u orientadas a cuestiones de legitimación en la causa, pues en ambas se pretende la protección de derechos bajo modalidades distintas, pues reconocer la tutela de dichos intereses a nivel constitucional, sólo tiene por efecto posibilitar, en el interés jurídico, la protección de los derechos subjetivos individuales directos y, en el legítimo, aquellos de grupo o individuales indirectos. A partir de las anteriores premisas el Juez, en función del caso concreto, determinará si se está o no en presencia de un supuesto donde deba analizar el interés jurídico o el legítimo, es decir, el método concreto consiste en atender a la condición legal del sujeto frente al acto calificado de transgresor de sus derechos para precisar cuál es su pretensión, lo que se logra mediante la revisión de la demanda en su integridad, las pruebas, la naturaleza jurídica del acto reclamado e, incluso, de la autoridad responsable, dado que estos factores, conjuntamente, influyen para determinar cuál interés busca protegerse; por ejemplo, si se reclama de una autoridad la orden, ejecución, desposeimiento y embargo de un vehículo de motor en el procedimiento administrativo en materia aduanera, cuya propiedad el quejoso adujo probar con documentos específicos, como la factura con su traducción por ser de procedencia extranjera, este planteamiento permite advertir que se reclama la afectación a un interés jurídico, dada la protección pretendida al derecho de propiedad sobre el automotor. Por tanto, a partir de la diferencia de los intereses descritos, no se está en posibilidad de examinar la afectación de los </w:t>
      </w:r>
      <w:r w:rsidRPr="00F8148A">
        <w:rPr>
          <w:rFonts w:ascii="Palatino Linotype" w:eastAsia="Palatino Linotype" w:hAnsi="Palatino Linotype" w:cs="Palatino Linotype"/>
          <w:i/>
        </w:rPr>
        <w:lastRenderedPageBreak/>
        <w:t xml:space="preserve">dos en torno a un acto reclamado, en tanto </w:t>
      </w:r>
      <w:proofErr w:type="spellStart"/>
      <w:r w:rsidRPr="00F8148A">
        <w:rPr>
          <w:rFonts w:ascii="Palatino Linotype" w:eastAsia="Palatino Linotype" w:hAnsi="Palatino Linotype" w:cs="Palatino Linotype"/>
          <w:i/>
        </w:rPr>
        <w:t>uno</w:t>
      </w:r>
      <w:proofErr w:type="spellEnd"/>
      <w:r w:rsidRPr="00F8148A">
        <w:rPr>
          <w:rFonts w:ascii="Palatino Linotype" w:eastAsia="Palatino Linotype" w:hAnsi="Palatino Linotype" w:cs="Palatino Linotype"/>
          <w:i/>
        </w:rPr>
        <w:t xml:space="preserve"> excluye al otro, dado sus particulares orientación y finalidad, sin ser dable perfilar el estudio en sede constitucional por la vía del interés legítimo sólo porque así lo refiere el quejoso, pues ello equivaldría a desnaturalizar la función del órgano jurisdiccional en su calidad de rector del juicio.</w:t>
      </w:r>
    </w:p>
    <w:p w:rsidR="00F879F7" w:rsidRPr="00F8148A" w:rsidRDefault="00D412DD">
      <w:pPr>
        <w:spacing w:line="360" w:lineRule="auto"/>
        <w:ind w:left="567" w:right="539"/>
        <w:jc w:val="both"/>
        <w:rPr>
          <w:rFonts w:ascii="Palatino Linotype" w:eastAsia="Palatino Linotype" w:hAnsi="Palatino Linotype" w:cs="Palatino Linotype"/>
        </w:rPr>
      </w:pPr>
      <w:r w:rsidRPr="00F8148A">
        <w:rPr>
          <w:rFonts w:ascii="Palatino Linotype" w:eastAsia="Palatino Linotype" w:hAnsi="Palatino Linotype" w:cs="Palatino Linotype"/>
        </w:rPr>
        <w:t>(Énfasis añadido).</w:t>
      </w:r>
    </w:p>
    <w:p w:rsidR="00F879F7" w:rsidRPr="00F8148A" w:rsidRDefault="00F879F7">
      <w:pPr>
        <w:spacing w:line="360" w:lineRule="auto"/>
        <w:ind w:right="567"/>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Ahora bien, la propia ley obliga a los Sujetos Obligados para dar trámite a una solicitud de Acceso a Datos Personales a nombre de una persona fallecida, constriñe a que acrediten que la voluntad de la persona finada fue declarada en ese sentido.</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Ahora bien, una vez que el Sujeto Obligado, niegue el ejercicio de cualquier de los derechos ARCO (acceso, rectificación, cancelación y oposición, así como el de portabilidad), por cualquiera de los supuestos contemplados en el artículo 129 de la Ley de Protección de Datos Personales del Estado de México y Municipios, podrá ejercer el Recurso de Revisión, mediante escrito que deberá contener los elementos contemplados en el artículo 130 de la Ley en cita:</w:t>
      </w:r>
    </w:p>
    <w:p w:rsidR="00F879F7" w:rsidRPr="00F8148A" w:rsidRDefault="00F879F7">
      <w:pPr>
        <w:spacing w:line="360" w:lineRule="auto"/>
        <w:ind w:right="539"/>
        <w:jc w:val="both"/>
        <w:rPr>
          <w:rFonts w:ascii="Palatino Linotype" w:eastAsia="Palatino Linotype" w:hAnsi="Palatino Linotype" w:cs="Palatino Linotype"/>
        </w:rPr>
      </w:pP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Contenido del escrito de recurso</w:t>
      </w: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Artículo 130. Los únicos requisitos exigibles en el escrito de interposición del recurso de revisión serán los siguientes:</w:t>
      </w:r>
    </w:p>
    <w:p w:rsidR="00F879F7" w:rsidRPr="00F8148A" w:rsidRDefault="00F879F7">
      <w:pPr>
        <w:spacing w:line="360" w:lineRule="auto"/>
        <w:ind w:left="567" w:right="539"/>
        <w:jc w:val="both"/>
        <w:rPr>
          <w:rFonts w:ascii="Palatino Linotype" w:eastAsia="Palatino Linotype" w:hAnsi="Palatino Linotype" w:cs="Palatino Linotype"/>
          <w:i/>
        </w:rPr>
      </w:pP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lastRenderedPageBreak/>
        <w:t>I. El responsable y de ser posible, el área ante quien se presentó la solicitud para el ejercicio de los derechos ARCO.</w:t>
      </w: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II. El nombre del titular que recurre o su representante y en su caso, del tercero interesado, así como el domicilio en el Estado de México o medio que señale para recibir notificaciones.</w:t>
      </w: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III. La fecha en que fue notificada la respuesta al titular o bien, en caso de falta de respuesta la fecha de la presentación de la solicitud para el ejercicio de los derechos ARCO y demás derechos relacionados con la materia.</w:t>
      </w: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IV. El acto que se recurre y los puntos petitorios, así como las razones o motivos de inconformidad.</w:t>
      </w: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V. En su caso, copia de la respuesta que se impugna y de la notificación correspondiente.</w:t>
      </w: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VI. Los documentos que acrediten la identidad del titular y en su caso, la personalidad e identidad de su representante.</w:t>
      </w:r>
    </w:p>
    <w:p w:rsidR="00F879F7" w:rsidRPr="00F8148A" w:rsidRDefault="00F879F7">
      <w:pPr>
        <w:spacing w:line="360" w:lineRule="auto"/>
        <w:ind w:left="567" w:right="539"/>
        <w:jc w:val="both"/>
        <w:rPr>
          <w:rFonts w:ascii="Palatino Linotype" w:eastAsia="Palatino Linotype" w:hAnsi="Palatino Linotype" w:cs="Palatino Linotype"/>
          <w:i/>
        </w:rPr>
      </w:pP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Al recurso de revisión se podrán acompañar las pruebas y demás elementos que el titular o su representante considere procedentes someter a juicio del Instituto.</w:t>
      </w:r>
    </w:p>
    <w:p w:rsidR="00F879F7" w:rsidRPr="00F8148A" w:rsidRDefault="00F879F7">
      <w:pPr>
        <w:spacing w:line="360" w:lineRule="auto"/>
        <w:ind w:left="567" w:right="539"/>
        <w:jc w:val="both"/>
        <w:rPr>
          <w:rFonts w:ascii="Palatino Linotype" w:eastAsia="Palatino Linotype" w:hAnsi="Palatino Linotype" w:cs="Palatino Linotype"/>
          <w:i/>
        </w:rPr>
      </w:pP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En ningún caso será necesario que el titular ratifique el recurso de revisión interpuesto.</w:t>
      </w:r>
    </w:p>
    <w:p w:rsidR="00F879F7" w:rsidRPr="00F8148A" w:rsidRDefault="00F879F7">
      <w:pPr>
        <w:spacing w:line="360" w:lineRule="auto"/>
        <w:ind w:left="567" w:right="539"/>
        <w:jc w:val="both"/>
        <w:rPr>
          <w:rFonts w:ascii="Palatino Linotype" w:eastAsia="Palatino Linotype" w:hAnsi="Palatino Linotype" w:cs="Palatino Linotype"/>
          <w:i/>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Luego entonces, en este momento procesal, es dable ordenar la entrega; sin embargo, este Organismo Garante, a través de todos los elementos aportados por las partes durante la sustanciación del Recurso de Revisión, determinó, la existencia </w:t>
      </w:r>
      <w:r w:rsidRPr="00F8148A">
        <w:rPr>
          <w:rFonts w:ascii="Palatino Linotype" w:eastAsia="Palatino Linotype" w:hAnsi="Palatino Linotype" w:cs="Palatino Linotype"/>
        </w:rPr>
        <w:lastRenderedPageBreak/>
        <w:t>del interés jurídico del solicitante, como lo establece el artículo 122 de la Ley de Protección de Datos Personales en Posesión de Sujetos Obligados del Estado de México y Municipios.</w:t>
      </w:r>
    </w:p>
    <w:p w:rsidR="00F879F7" w:rsidRPr="00F8148A" w:rsidRDefault="00F879F7">
      <w:pPr>
        <w:spacing w:line="360" w:lineRule="auto"/>
        <w:ind w:right="539"/>
        <w:jc w:val="both"/>
        <w:rPr>
          <w:rFonts w:ascii="Palatino Linotype" w:eastAsia="Palatino Linotype" w:hAnsi="Palatino Linotype" w:cs="Palatino Linotype"/>
        </w:rPr>
      </w:pP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Interposición respecto a datos de personas fallecidas</w:t>
      </w:r>
    </w:p>
    <w:p w:rsidR="00F879F7" w:rsidRPr="00F8148A" w:rsidRDefault="00D412DD">
      <w:pPr>
        <w:spacing w:line="360" w:lineRule="auto"/>
        <w:ind w:left="567" w:right="539"/>
        <w:jc w:val="both"/>
        <w:rPr>
          <w:rFonts w:ascii="Palatino Linotype" w:eastAsia="Palatino Linotype" w:hAnsi="Palatino Linotype" w:cs="Palatino Linotype"/>
          <w:i/>
        </w:rPr>
      </w:pPr>
      <w:r w:rsidRPr="00F8148A">
        <w:rPr>
          <w:rFonts w:ascii="Palatino Linotype" w:eastAsia="Palatino Linotype" w:hAnsi="Palatino Linotype" w:cs="Palatino Linotype"/>
          <w:i/>
        </w:rPr>
        <w:t xml:space="preserve">Artículo 122. La interposición de un recurso de revisión de datos personales concernientes a personas fallecidas, podrá realizarla la persona que acredite tener un interés jurídico o legítimo. </w:t>
      </w:r>
    </w:p>
    <w:p w:rsidR="00F879F7" w:rsidRPr="00F8148A" w:rsidRDefault="00F879F7">
      <w:pPr>
        <w:tabs>
          <w:tab w:val="left" w:pos="0"/>
        </w:tabs>
        <w:spacing w:line="360" w:lineRule="auto"/>
        <w:ind w:right="-28"/>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En este aspecto, es entonces imprescindible identificar si cuenta con el interés jurídico para acceder a la información de su esposo finado a través del Recurso de Revisión, acreditándose los elementos de identidad de la solicitante, parentesco y, de interés jurídico.</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En este sentido, es importante reiterar que este Organismo Garante no cuenta con facultades para pronunciarse sobre los derechos civiles o en materia de Seguridad Social de las personas y únicamente se pronuncia sobre el derecho de Acceso a Datos Personales y de su interés jurídico de acceder a datos personales, que en el caso que nos ocupa es de una persona fallecida.</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En este sentido, el Recurrente cuenta con el interés jurídico de acceder a la información, desde la óptica de los datos personales, al ser beneficiaria para el trámite de pensión de su esposo fallecido, quedando satisfecho el ejercicio de acceso a datos a través de la audiencia de conciliación en la que fue entregado el dato </w:t>
      </w:r>
      <w:r w:rsidRPr="00F8148A">
        <w:rPr>
          <w:rFonts w:ascii="Palatino Linotype" w:eastAsia="Palatino Linotype" w:hAnsi="Palatino Linotype" w:cs="Palatino Linotype"/>
        </w:rPr>
        <w:lastRenderedPageBreak/>
        <w:t>personal requerido inicialmente en copia certificada sin costo por corresponder de una sola foja en observancia a lo dispuesto por el Criterio emitido por el Órgano Garante Nacional:</w:t>
      </w:r>
      <w:r w:rsidRPr="00F8148A">
        <w:rPr>
          <w:rFonts w:ascii="Palatino Linotype" w:eastAsia="Palatino Linotype" w:hAnsi="Palatino Linotype" w:cs="Palatino Linotype"/>
          <w:i/>
        </w:rPr>
        <w:t xml:space="preserve"> “Gratuidad de las primeras veinte hojas simples o certificadas. Cuando la entrega de los datos personales sea a través de copias simples o certificadas, las primeras veinte hojas serán sin costo.”</w:t>
      </w:r>
      <w:bookmarkStart w:id="8" w:name="_GoBack"/>
      <w:bookmarkEnd w:id="8"/>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Quedando para tal efecto constancia de acuse de recibido de conformidad en el expediente electrónico en que se actúa, como se observa:</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0C3587">
      <w:pPr>
        <w:spacing w:line="360" w:lineRule="auto"/>
        <w:ind w:right="49"/>
        <w:jc w:val="center"/>
        <w:rPr>
          <w:rFonts w:ascii="Palatino Linotype" w:eastAsia="Palatino Linotype" w:hAnsi="Palatino Linotype" w:cs="Palatino Linotype"/>
        </w:rPr>
      </w:pPr>
      <w:r w:rsidRPr="000C3587">
        <w:rPr>
          <w:rFonts w:ascii="Palatino Linotype" w:eastAsia="Palatino Linotype" w:hAnsi="Palatino Linotype" w:cs="Palatino Linotype"/>
        </w:rPr>
        <w:drawing>
          <wp:inline distT="0" distB="0" distL="0" distR="0" wp14:anchorId="285437C2" wp14:editId="3386A83B">
            <wp:extent cx="3555242" cy="4201101"/>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1220" cy="4208165"/>
                    </a:xfrm>
                    <a:prstGeom prst="rect">
                      <a:avLst/>
                    </a:prstGeom>
                  </pic:spPr>
                </pic:pic>
              </a:graphicData>
            </a:graphic>
          </wp:inline>
        </w:drawing>
      </w:r>
    </w:p>
    <w:p w:rsidR="00F879F7" w:rsidRPr="00F8148A" w:rsidRDefault="00D412DD">
      <w:pPr>
        <w:pStyle w:val="Ttulo2"/>
        <w:numPr>
          <w:ilvl w:val="0"/>
          <w:numId w:val="1"/>
        </w:numPr>
        <w:spacing w:before="0" w:line="360" w:lineRule="auto"/>
        <w:ind w:right="49" w:hanging="360"/>
        <w:jc w:val="both"/>
        <w:rPr>
          <w:rFonts w:ascii="Palatino Linotype" w:eastAsia="Palatino Linotype" w:hAnsi="Palatino Linotype" w:cs="Palatino Linotype"/>
          <w:b/>
          <w:color w:val="000000"/>
          <w:sz w:val="24"/>
          <w:szCs w:val="24"/>
        </w:rPr>
      </w:pPr>
      <w:r w:rsidRPr="00F8148A">
        <w:rPr>
          <w:rFonts w:ascii="Palatino Linotype" w:eastAsia="Palatino Linotype" w:hAnsi="Palatino Linotype" w:cs="Palatino Linotype"/>
          <w:b/>
          <w:color w:val="000000"/>
          <w:sz w:val="24"/>
          <w:szCs w:val="24"/>
        </w:rPr>
        <w:lastRenderedPageBreak/>
        <w:t>Actualización del sobreseimiento.</w:t>
      </w: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En razón de lo anteriormente expuesto, se advierte que el presente asunto en particular actualiza el supuesto que contempla el artículo 139 fracción IV de la Ley de Protección de Datos Personales en Posesión de los Sujetos Obligados del Estado de México y Municipios, el cual refiere los siguiente:</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spacing w:line="360" w:lineRule="auto"/>
        <w:ind w:left="851" w:right="49"/>
        <w:jc w:val="both"/>
        <w:rPr>
          <w:rFonts w:ascii="Palatino Linotype" w:eastAsia="Palatino Linotype" w:hAnsi="Palatino Linotype" w:cs="Palatino Linotype"/>
          <w:b/>
          <w:i/>
        </w:rPr>
      </w:pPr>
      <w:r w:rsidRPr="00F8148A">
        <w:rPr>
          <w:rFonts w:ascii="Palatino Linotype" w:eastAsia="Palatino Linotype" w:hAnsi="Palatino Linotype" w:cs="Palatino Linotype"/>
          <w:b/>
          <w:i/>
        </w:rPr>
        <w:t xml:space="preserve">“Causales de Sobreseimiento </w:t>
      </w:r>
    </w:p>
    <w:p w:rsidR="00F879F7" w:rsidRPr="00F8148A" w:rsidRDefault="00D412DD">
      <w:pPr>
        <w:spacing w:line="360" w:lineRule="auto"/>
        <w:ind w:left="851" w:right="49"/>
        <w:jc w:val="both"/>
        <w:rPr>
          <w:rFonts w:ascii="Palatino Linotype" w:eastAsia="Palatino Linotype" w:hAnsi="Palatino Linotype" w:cs="Palatino Linotype"/>
          <w:b/>
          <w:i/>
        </w:rPr>
      </w:pPr>
      <w:r w:rsidRPr="00F8148A">
        <w:rPr>
          <w:rFonts w:ascii="Palatino Linotype" w:eastAsia="Palatino Linotype" w:hAnsi="Palatino Linotype" w:cs="Palatino Linotype"/>
          <w:b/>
          <w:i/>
        </w:rPr>
        <w:t>Artículo 139. El recurso de revisión sólo podrá ser sobreseído cuando</w:t>
      </w:r>
    </w:p>
    <w:p w:rsidR="00F879F7" w:rsidRPr="00F8148A" w:rsidRDefault="00D412DD">
      <w:pPr>
        <w:spacing w:line="360" w:lineRule="auto"/>
        <w:ind w:left="851" w:right="49"/>
        <w:jc w:val="both"/>
        <w:rPr>
          <w:rFonts w:ascii="Palatino Linotype" w:eastAsia="Palatino Linotype" w:hAnsi="Palatino Linotype" w:cs="Palatino Linotype"/>
          <w:b/>
          <w:i/>
        </w:rPr>
      </w:pPr>
      <w:r w:rsidRPr="00F8148A">
        <w:rPr>
          <w:rFonts w:ascii="Palatino Linotype" w:eastAsia="Palatino Linotype" w:hAnsi="Palatino Linotype" w:cs="Palatino Linotype"/>
          <w:b/>
          <w:i/>
        </w:rPr>
        <w:t>…</w:t>
      </w:r>
    </w:p>
    <w:p w:rsidR="00F879F7" w:rsidRPr="00F8148A" w:rsidRDefault="00D412DD">
      <w:pPr>
        <w:spacing w:line="360" w:lineRule="auto"/>
        <w:ind w:left="851" w:right="49"/>
        <w:jc w:val="both"/>
        <w:rPr>
          <w:rFonts w:ascii="Palatino Linotype" w:eastAsia="Palatino Linotype" w:hAnsi="Palatino Linotype" w:cs="Palatino Linotype"/>
          <w:i/>
        </w:rPr>
      </w:pPr>
      <w:r w:rsidRPr="00F8148A">
        <w:rPr>
          <w:rFonts w:ascii="Palatino Linotype" w:eastAsia="Palatino Linotype" w:hAnsi="Palatino Linotype" w:cs="Palatino Linotype"/>
          <w:i/>
        </w:rPr>
        <w:t>IV. El responsable modifique o revoque su respuesta de tal manera que el recurso de revisión quede sin materia.</w:t>
      </w:r>
    </w:p>
    <w:p w:rsidR="00F879F7" w:rsidRPr="00F8148A" w:rsidRDefault="00D412DD">
      <w:pPr>
        <w:spacing w:line="360" w:lineRule="auto"/>
        <w:ind w:left="851" w:right="49"/>
        <w:jc w:val="both"/>
        <w:rPr>
          <w:rFonts w:ascii="Palatino Linotype" w:eastAsia="Palatino Linotype" w:hAnsi="Palatino Linotype" w:cs="Palatino Linotype"/>
          <w:i/>
        </w:rPr>
      </w:pPr>
      <w:r w:rsidRPr="00F8148A">
        <w:rPr>
          <w:rFonts w:ascii="Palatino Linotype" w:eastAsia="Palatino Linotype" w:hAnsi="Palatino Linotype" w:cs="Palatino Linotype"/>
          <w:i/>
        </w:rPr>
        <w:t>…”</w:t>
      </w:r>
    </w:p>
    <w:p w:rsidR="00F879F7" w:rsidRPr="00F8148A" w:rsidRDefault="00F879F7">
      <w:pPr>
        <w:spacing w:line="360" w:lineRule="auto"/>
        <w:ind w:left="851" w:right="49"/>
        <w:jc w:val="both"/>
        <w:rPr>
          <w:rFonts w:ascii="Palatino Linotype" w:eastAsia="Palatino Linotype" w:hAnsi="Palatino Linotype" w:cs="Palatino Linotype"/>
          <w:i/>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Para los efectos de esta resolución, es oportuno precisar los alcances jurídicos de la fracción III de la disposición legal transcrita. Así, procede el sobreseimiento del recurso de revisión cuando el </w:t>
      </w:r>
      <w:r w:rsidRPr="00F8148A">
        <w:rPr>
          <w:rFonts w:ascii="Palatino Linotype" w:eastAsia="Palatino Linotype" w:hAnsi="Palatino Linotype" w:cs="Palatino Linotype"/>
          <w:b/>
        </w:rPr>
        <w:t>SUJETO OBLIGADO</w:t>
      </w:r>
      <w:r w:rsidRPr="00F8148A">
        <w:rPr>
          <w:rFonts w:ascii="Palatino Linotype" w:eastAsia="Palatino Linotype" w:hAnsi="Palatino Linotype" w:cs="Palatino Linotype"/>
        </w:rPr>
        <w:t>:</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3"/>
        </w:numPr>
        <w:pBdr>
          <w:top w:val="nil"/>
          <w:left w:val="nil"/>
          <w:bottom w:val="nil"/>
          <w:right w:val="nil"/>
          <w:between w:val="nil"/>
        </w:pBdr>
        <w:spacing w:line="360" w:lineRule="auto"/>
        <w:ind w:left="1134" w:right="49" w:hanging="283"/>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b/>
          <w:color w:val="000000"/>
        </w:rPr>
        <w:t>Modifique el acto impugnado:</w:t>
      </w:r>
      <w:r w:rsidRPr="00F8148A">
        <w:rPr>
          <w:rFonts w:ascii="Palatino Linotype" w:eastAsia="Palatino Linotype" w:hAnsi="Palatino Linotype" w:cs="Palatino Linotype"/>
          <w:color w:val="000000"/>
        </w:rPr>
        <w:t xml:space="preserve"> Se actualiza cuando el </w:t>
      </w:r>
      <w:r w:rsidRPr="00F8148A">
        <w:rPr>
          <w:rFonts w:ascii="Palatino Linotype" w:eastAsia="Palatino Linotype" w:hAnsi="Palatino Linotype" w:cs="Palatino Linotype"/>
          <w:b/>
          <w:color w:val="000000"/>
        </w:rPr>
        <w:t>SUJETO OBLIGADO</w:t>
      </w:r>
      <w:r w:rsidRPr="00F8148A">
        <w:rPr>
          <w:rFonts w:ascii="Palatino Linotype" w:eastAsia="Palatino Linotype" w:hAnsi="Palatino Linotype" w:cs="Palatino Linotype"/>
          <w:color w:val="000000"/>
        </w:rPr>
        <w:t xml:space="preserve"> después de haber otorgado una respuesta y hasta antes de dictada la resolución del recurso de revisión, emite una diversa en la que subsane las deficiencias que hubiera tenido.</w:t>
      </w:r>
    </w:p>
    <w:p w:rsidR="00F879F7" w:rsidRPr="00F8148A" w:rsidRDefault="00F879F7">
      <w:pPr>
        <w:pBdr>
          <w:top w:val="nil"/>
          <w:left w:val="nil"/>
          <w:bottom w:val="nil"/>
          <w:right w:val="nil"/>
          <w:between w:val="nil"/>
        </w:pBdr>
        <w:spacing w:line="360" w:lineRule="auto"/>
        <w:ind w:left="1134" w:right="49" w:hanging="283"/>
        <w:jc w:val="both"/>
        <w:rPr>
          <w:rFonts w:ascii="Palatino Linotype" w:eastAsia="Palatino Linotype" w:hAnsi="Palatino Linotype" w:cs="Palatino Linotype"/>
          <w:color w:val="000000"/>
        </w:rPr>
      </w:pPr>
    </w:p>
    <w:p w:rsidR="00F879F7" w:rsidRPr="00F8148A" w:rsidRDefault="00D412DD">
      <w:pPr>
        <w:numPr>
          <w:ilvl w:val="0"/>
          <w:numId w:val="3"/>
        </w:numPr>
        <w:pBdr>
          <w:top w:val="nil"/>
          <w:left w:val="nil"/>
          <w:bottom w:val="nil"/>
          <w:right w:val="nil"/>
          <w:between w:val="nil"/>
        </w:pBdr>
        <w:spacing w:line="360" w:lineRule="auto"/>
        <w:ind w:left="1134" w:right="49" w:hanging="283"/>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b/>
          <w:color w:val="000000"/>
        </w:rPr>
        <w:lastRenderedPageBreak/>
        <w:t>Revoque el acto impugnado:</w:t>
      </w:r>
      <w:r w:rsidRPr="00F8148A">
        <w:rPr>
          <w:rFonts w:ascii="Palatino Linotype" w:eastAsia="Palatino Linotype" w:hAnsi="Palatino Linotype" w:cs="Palatino Linotype"/>
          <w:color w:val="000000"/>
        </w:rPr>
        <w:t xml:space="preserve"> En este supuesto, el </w:t>
      </w:r>
      <w:r w:rsidRPr="00F8148A">
        <w:rPr>
          <w:rFonts w:ascii="Palatino Linotype" w:eastAsia="Palatino Linotype" w:hAnsi="Palatino Linotype" w:cs="Palatino Linotype"/>
          <w:b/>
          <w:color w:val="000000"/>
        </w:rPr>
        <w:t>SUJETO OBLIGADO</w:t>
      </w:r>
      <w:r w:rsidRPr="00F8148A">
        <w:rPr>
          <w:rFonts w:ascii="Palatino Linotype" w:eastAsia="Palatino Linotype" w:hAnsi="Palatino Linotype" w:cs="Palatino Linotype"/>
          <w:color w:val="000000"/>
        </w:rPr>
        <w:t xml:space="preserve"> deja sin efectos la primera respuesta y en su lugar emite otra que satisfaga lo solicitado por el particular en un primer momento.</w:t>
      </w:r>
    </w:p>
    <w:p w:rsidR="00F879F7" w:rsidRPr="00F8148A" w:rsidRDefault="00F879F7">
      <w:pPr>
        <w:pBdr>
          <w:top w:val="nil"/>
          <w:left w:val="nil"/>
          <w:bottom w:val="nil"/>
          <w:right w:val="nil"/>
          <w:between w:val="nil"/>
        </w:pBdr>
        <w:spacing w:line="360" w:lineRule="auto"/>
        <w:ind w:left="567" w:right="49"/>
        <w:jc w:val="both"/>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 xml:space="preserve">Las consecuencias jurídicas de esta modificación o revocación es que el recurso de revisión interpuesto quede sin efectos o sin materia. En el presente asunto, con la información entregada en la audiencia de conciliación, </w:t>
      </w:r>
      <w:r w:rsidRPr="00F8148A">
        <w:rPr>
          <w:rFonts w:ascii="Palatino Linotype" w:eastAsia="Palatino Linotype" w:hAnsi="Palatino Linotype" w:cs="Palatino Linotype"/>
          <w:b/>
        </w:rPr>
        <w:t>modificó</w:t>
      </w:r>
      <w:r w:rsidRPr="00F8148A">
        <w:rPr>
          <w:rFonts w:ascii="Palatino Linotype" w:eastAsia="Palatino Linotype" w:hAnsi="Palatino Linotype" w:cs="Palatino Linotype"/>
        </w:rPr>
        <w:t xml:space="preserve"> el acto que le dio origen al recurso de revisión, lo que trae como consecuencia que el mismo quede sin materia, actualizándose de este modo, la hipótesis jurídica contenida en la fracción IV del citado artículo.</w:t>
      </w:r>
    </w:p>
    <w:p w:rsidR="00F879F7" w:rsidRPr="00F8148A" w:rsidRDefault="00F879F7">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De lo anterior, se aprecia que el documento que remitió el Sujeto Obligado a través de un hecho posterior a la interposición del recurso de revisión como lo es la etapa de conciliación, atiende los motivos o razones de inconformidad,  consecuencia que el mismo quede sin materia, actualizándose de este modo, la hipótesis jurídica contenida en la fracción IV del citado artículo.</w:t>
      </w:r>
    </w:p>
    <w:p w:rsidR="00F879F7" w:rsidRPr="00F8148A" w:rsidRDefault="00F879F7">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Así,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la misma, derivada de la solicitud.</w:t>
      </w:r>
    </w:p>
    <w:p w:rsidR="00F879F7" w:rsidRPr="00F8148A" w:rsidRDefault="00F879F7">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lastRenderedPageBreak/>
        <w:t xml:space="preserve">De este modo, para que se actualice el sobreseimiento de un recurso de revisión, el </w:t>
      </w:r>
      <w:r w:rsidRPr="00F8148A">
        <w:rPr>
          <w:rFonts w:ascii="Palatino Linotype" w:eastAsia="Palatino Linotype" w:hAnsi="Palatino Linotype" w:cs="Palatino Linotype"/>
          <w:b/>
        </w:rPr>
        <w:t>SUJETO OBLIGADO</w:t>
      </w:r>
      <w:r w:rsidRPr="00F8148A">
        <w:rPr>
          <w:rFonts w:ascii="Palatino Linotype" w:eastAsia="Palatino Linotype" w:hAnsi="Palatino Linotype" w:cs="Palatino Linotype"/>
        </w:rPr>
        <w:t xml:space="preserve"> puede entregar o completar la información al momento de rendir su informe justificado o dentro de los siete días previstos para manifestar lo que a su derecho convenga o, como resulta del caso concreto en la propia audiencia de conciliación; con la finalidad de que se sea resarcido el derecho de acceso a datos personales de la hoy Recurrente y haciendo cesar toda controversia.</w:t>
      </w:r>
    </w:p>
    <w:p w:rsidR="00F879F7" w:rsidRPr="00F8148A" w:rsidRDefault="00F879F7">
      <w:pPr>
        <w:spacing w:line="360" w:lineRule="auto"/>
        <w:ind w:left="502"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rsidR="00F879F7" w:rsidRPr="00F8148A" w:rsidRDefault="00D412DD">
      <w:pPr>
        <w:spacing w:line="360" w:lineRule="auto"/>
        <w:ind w:left="567" w:right="49"/>
        <w:jc w:val="both"/>
        <w:rPr>
          <w:rFonts w:ascii="Palatino Linotype" w:eastAsia="Palatino Linotype" w:hAnsi="Palatino Linotype" w:cs="Palatino Linotype"/>
          <w:i/>
        </w:rPr>
      </w:pPr>
      <w:r w:rsidRPr="00F8148A">
        <w:rPr>
          <w:rFonts w:ascii="Palatino Linotype" w:eastAsia="Palatino Linotype" w:hAnsi="Palatino Linotype" w:cs="Palatino Linotype"/>
          <w:b/>
          <w:i/>
        </w:rPr>
        <w:t>“SOBRESEIMIENTO EN EL JUICIO DE AMPARO DIRECTO. IMPIDE EL ESTUDIO DE LAS VIOLACIONES PROCESALES PLANTEADAS EN LOS CONCEPTOS DE VIOLACIÓN.</w:t>
      </w:r>
      <w:r w:rsidRPr="00F8148A">
        <w:rPr>
          <w:rFonts w:ascii="Palatino Linotype" w:eastAsia="Palatino Linotype" w:hAnsi="Palatino Linotype" w:cs="Palatino Linotype"/>
          <w:i/>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r w:rsidRPr="00F8148A">
        <w:rPr>
          <w:rFonts w:ascii="Palatino Linotype" w:eastAsia="Palatino Linotype" w:hAnsi="Palatino Linotype" w:cs="Palatino Linotype"/>
        </w:rPr>
        <w:lastRenderedPageBreak/>
        <w:t xml:space="preserve">Bajo esas consideraciones, se afirma que en el recurso de revisión sujeto a estudio se actualiza la hipótesis jurídica citada, toda vez que quedó probado que el </w:t>
      </w:r>
      <w:r w:rsidRPr="00F8148A">
        <w:rPr>
          <w:rFonts w:ascii="Palatino Linotype" w:eastAsia="Palatino Linotype" w:hAnsi="Palatino Linotype" w:cs="Palatino Linotype"/>
          <w:b/>
        </w:rPr>
        <w:t>SUJETO OBLIGADO</w:t>
      </w:r>
      <w:r w:rsidRPr="00F8148A">
        <w:rPr>
          <w:rFonts w:ascii="Palatino Linotype" w:eastAsia="Palatino Linotype" w:hAnsi="Palatino Linotype" w:cs="Palatino Linotype"/>
        </w:rPr>
        <w:t xml:space="preserve"> mediante un acto posterior como lo es la etapa de conciliación, proporcionó la información necesaria para dejar sin materia el recurso de revisión.</w:t>
      </w:r>
    </w:p>
    <w:p w:rsidR="00F879F7" w:rsidRPr="00F8148A" w:rsidRDefault="00F879F7">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F879F7" w:rsidRPr="00F8148A" w:rsidRDefault="00D412DD">
      <w:pPr>
        <w:numPr>
          <w:ilvl w:val="0"/>
          <w:numId w:val="2"/>
        </w:numPr>
        <w:spacing w:line="360" w:lineRule="auto"/>
        <w:ind w:left="0" w:right="49" w:firstLine="0"/>
        <w:jc w:val="both"/>
        <w:rPr>
          <w:rFonts w:ascii="Palatino Linotype" w:eastAsia="Palatino Linotype" w:hAnsi="Palatino Linotype" w:cs="Palatino Linotype"/>
        </w:rPr>
      </w:pPr>
      <w:bookmarkStart w:id="9" w:name="_heading=h.4d34og8" w:colFirst="0" w:colLast="0"/>
      <w:bookmarkEnd w:id="9"/>
      <w:r w:rsidRPr="00F8148A">
        <w:rPr>
          <w:rFonts w:ascii="Palatino Linotype" w:eastAsia="Palatino Linotype" w:hAnsi="Palatino Linotype" w:cs="Palatino Linotype"/>
          <w:color w:val="000000"/>
        </w:rPr>
        <w:t xml:space="preserve">Por lo </w:t>
      </w:r>
      <w:r w:rsidRPr="00F8148A">
        <w:rPr>
          <w:rFonts w:ascii="Palatino Linotype" w:eastAsia="Palatino Linotype" w:hAnsi="Palatino Linotype" w:cs="Palatino Linotype"/>
        </w:rPr>
        <w:t>anteriormente</w:t>
      </w:r>
      <w:r w:rsidRPr="00F8148A">
        <w:rPr>
          <w:rFonts w:ascii="Palatino Linotype" w:eastAsia="Palatino Linotype" w:hAnsi="Palatino Linotype" w:cs="Palatino Linotype"/>
          <w:color w:val="000000"/>
        </w:rPr>
        <w:t xml:space="preserve"> expuesto y fundado, este </w:t>
      </w:r>
      <w:r w:rsidRPr="00F8148A">
        <w:rPr>
          <w:rFonts w:ascii="Palatino Linotype" w:eastAsia="Palatino Linotype" w:hAnsi="Palatino Linotype" w:cs="Palatino Linotype"/>
          <w:b/>
          <w:color w:val="000000"/>
        </w:rPr>
        <w:t>ÓRGANO GARANTE</w:t>
      </w:r>
      <w:r w:rsidRPr="00F8148A">
        <w:rPr>
          <w:rFonts w:ascii="Palatino Linotype" w:eastAsia="Palatino Linotype" w:hAnsi="Palatino Linotype" w:cs="Palatino Linotype"/>
          <w:color w:val="000000"/>
        </w:rPr>
        <w:t xml:space="preserve"> emite los siguientes:</w:t>
      </w:r>
    </w:p>
    <w:p w:rsidR="00F879F7" w:rsidRPr="00F8148A" w:rsidRDefault="00D412DD">
      <w:pPr>
        <w:keepNext/>
        <w:keepLines/>
        <w:spacing w:line="360" w:lineRule="auto"/>
        <w:ind w:right="49"/>
        <w:jc w:val="center"/>
        <w:rPr>
          <w:rFonts w:ascii="Palatino Linotype" w:eastAsia="Palatino Linotype" w:hAnsi="Palatino Linotype" w:cs="Palatino Linotype"/>
          <w:b/>
          <w:color w:val="000000"/>
        </w:rPr>
      </w:pPr>
      <w:r w:rsidRPr="00F8148A">
        <w:rPr>
          <w:rFonts w:ascii="Palatino Linotype" w:eastAsia="Palatino Linotype" w:hAnsi="Palatino Linotype" w:cs="Palatino Linotype"/>
          <w:b/>
          <w:color w:val="000000"/>
        </w:rPr>
        <w:t>R E S O L U T I V O S</w:t>
      </w:r>
    </w:p>
    <w:p w:rsidR="00F879F7" w:rsidRPr="00F8148A" w:rsidRDefault="00F879F7">
      <w:pPr>
        <w:keepNext/>
        <w:keepLines/>
        <w:spacing w:line="360" w:lineRule="auto"/>
        <w:ind w:right="49"/>
        <w:jc w:val="center"/>
        <w:rPr>
          <w:rFonts w:ascii="Palatino Linotype" w:eastAsia="Palatino Linotype" w:hAnsi="Palatino Linotype" w:cs="Palatino Linotype"/>
          <w:b/>
          <w:color w:val="000000"/>
        </w:rPr>
      </w:pPr>
    </w:p>
    <w:p w:rsidR="00F879F7" w:rsidRPr="00F8148A" w:rsidRDefault="00D412DD">
      <w:pPr>
        <w:spacing w:line="360" w:lineRule="auto"/>
        <w:ind w:right="49"/>
        <w:jc w:val="both"/>
        <w:rPr>
          <w:rFonts w:ascii="Palatino Linotype" w:eastAsia="Palatino Linotype" w:hAnsi="Palatino Linotype" w:cs="Palatino Linotype"/>
        </w:rPr>
      </w:pPr>
      <w:bookmarkStart w:id="10" w:name="_heading=h.17dp8vu" w:colFirst="0" w:colLast="0"/>
      <w:bookmarkEnd w:id="10"/>
      <w:r w:rsidRPr="00F8148A">
        <w:rPr>
          <w:rFonts w:ascii="Palatino Linotype" w:eastAsia="Palatino Linotype" w:hAnsi="Palatino Linotype" w:cs="Palatino Linotype"/>
          <w:b/>
        </w:rPr>
        <w:t>PRIMERO</w:t>
      </w:r>
      <w:r w:rsidRPr="00F8148A">
        <w:rPr>
          <w:rFonts w:ascii="Palatino Linotype" w:eastAsia="Palatino Linotype" w:hAnsi="Palatino Linotype" w:cs="Palatino Linotype"/>
        </w:rPr>
        <w:t xml:space="preserve">. Se </w:t>
      </w:r>
      <w:r w:rsidRPr="00F8148A">
        <w:rPr>
          <w:rFonts w:ascii="Palatino Linotype" w:eastAsia="Palatino Linotype" w:hAnsi="Palatino Linotype" w:cs="Palatino Linotype"/>
          <w:b/>
        </w:rPr>
        <w:t xml:space="preserve">SOBRESEE </w:t>
      </w:r>
      <w:r w:rsidRPr="00F8148A">
        <w:rPr>
          <w:rFonts w:ascii="Palatino Linotype" w:eastAsia="Palatino Linotype" w:hAnsi="Palatino Linotype" w:cs="Palatino Linotype"/>
        </w:rPr>
        <w:t>el Recurso de Revisión</w:t>
      </w:r>
      <w:r w:rsidRPr="00F8148A">
        <w:rPr>
          <w:rFonts w:ascii="Palatino Linotype" w:eastAsia="Palatino Linotype" w:hAnsi="Palatino Linotype" w:cs="Palatino Linotype"/>
          <w:b/>
        </w:rPr>
        <w:t xml:space="preserve"> </w:t>
      </w:r>
      <w:r w:rsidRPr="00F8148A">
        <w:rPr>
          <w:rFonts w:ascii="Palatino Linotype" w:eastAsia="Palatino Linotype" w:hAnsi="Palatino Linotype" w:cs="Palatino Linotype"/>
        </w:rPr>
        <w:t xml:space="preserve">número </w:t>
      </w:r>
      <w:r w:rsidRPr="00F8148A">
        <w:rPr>
          <w:rFonts w:ascii="Palatino Linotype" w:eastAsia="Palatino Linotype" w:hAnsi="Palatino Linotype" w:cs="Palatino Linotype"/>
          <w:b/>
        </w:rPr>
        <w:t xml:space="preserve">07573/INFOEM/AD/RR/2024, </w:t>
      </w:r>
      <w:r w:rsidRPr="00F8148A">
        <w:rPr>
          <w:rFonts w:ascii="Palatino Linotype" w:eastAsia="Palatino Linotype" w:hAnsi="Palatino Linotype" w:cs="Palatino Linotype"/>
        </w:rPr>
        <w:t>con fundamento en el  artículo 139</w:t>
      </w:r>
      <w:r w:rsidR="00A44959" w:rsidRPr="00F8148A">
        <w:rPr>
          <w:rFonts w:ascii="Palatino Linotype" w:eastAsia="Palatino Linotype" w:hAnsi="Palatino Linotype" w:cs="Palatino Linotype"/>
        </w:rPr>
        <w:t>,</w:t>
      </w:r>
      <w:r w:rsidRPr="00F8148A">
        <w:rPr>
          <w:rFonts w:ascii="Palatino Linotype" w:eastAsia="Palatino Linotype" w:hAnsi="Palatino Linotype" w:cs="Palatino Linotype"/>
        </w:rPr>
        <w:t xml:space="preserve"> fracción IV</w:t>
      </w:r>
      <w:r w:rsidR="00A44959" w:rsidRPr="00F8148A">
        <w:rPr>
          <w:rFonts w:ascii="Palatino Linotype" w:eastAsia="Palatino Linotype" w:hAnsi="Palatino Linotype" w:cs="Palatino Linotype"/>
        </w:rPr>
        <w:t>,</w:t>
      </w:r>
      <w:r w:rsidRPr="00F8148A">
        <w:rPr>
          <w:rFonts w:ascii="Palatino Linotype" w:eastAsia="Palatino Linotype" w:hAnsi="Palatino Linotype" w:cs="Palatino Linotype"/>
        </w:rPr>
        <w:t xml:space="preserve"> de la Ley de Protección de Datos Personales en Posesión de los Sujetos Obligados del Estado de México y Municipios, porque al modificar la respuesta, el Recurso de Revisión quedó sin materia</w:t>
      </w:r>
      <w:r w:rsidRPr="00F8148A">
        <w:rPr>
          <w:rFonts w:ascii="Palatino Linotype" w:eastAsia="Palatino Linotype" w:hAnsi="Palatino Linotype" w:cs="Palatino Linotype"/>
          <w:b/>
        </w:rPr>
        <w:t xml:space="preserve">, </w:t>
      </w:r>
      <w:r w:rsidRPr="00F8148A">
        <w:rPr>
          <w:rFonts w:ascii="Palatino Linotype" w:eastAsia="Palatino Linotype" w:hAnsi="Palatino Linotype" w:cs="Palatino Linotype"/>
        </w:rPr>
        <w:t xml:space="preserve">en términos del Considerando </w:t>
      </w:r>
      <w:r w:rsidRPr="00F8148A">
        <w:rPr>
          <w:rFonts w:ascii="Palatino Linotype" w:eastAsia="Palatino Linotype" w:hAnsi="Palatino Linotype" w:cs="Palatino Linotype"/>
          <w:b/>
        </w:rPr>
        <w:t>TERCERO</w:t>
      </w:r>
      <w:r w:rsidRPr="00F8148A">
        <w:rPr>
          <w:rFonts w:ascii="Palatino Linotype" w:eastAsia="Palatino Linotype" w:hAnsi="Palatino Linotype" w:cs="Palatino Linotype"/>
        </w:rPr>
        <w:t xml:space="preserve"> de la presente Resolución.</w:t>
      </w:r>
    </w:p>
    <w:p w:rsidR="00F879F7" w:rsidRPr="00F8148A" w:rsidRDefault="00F879F7">
      <w:pPr>
        <w:spacing w:line="360" w:lineRule="auto"/>
        <w:ind w:right="49"/>
        <w:jc w:val="both"/>
        <w:rPr>
          <w:rFonts w:ascii="Palatino Linotype" w:eastAsia="Palatino Linotype" w:hAnsi="Palatino Linotype" w:cs="Palatino Linotype"/>
        </w:rPr>
      </w:pPr>
    </w:p>
    <w:p w:rsidR="00F879F7" w:rsidRPr="00F8148A" w:rsidRDefault="00D412DD">
      <w:pPr>
        <w:shd w:val="clear" w:color="auto" w:fill="FFFFFF"/>
        <w:spacing w:line="360" w:lineRule="auto"/>
        <w:ind w:right="49"/>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b/>
        </w:rPr>
        <w:t>SEGUNDO.</w:t>
      </w:r>
      <w:r w:rsidRPr="00F8148A">
        <w:rPr>
          <w:rFonts w:ascii="Palatino Linotype" w:eastAsia="Palatino Linotype" w:hAnsi="Palatino Linotype" w:cs="Palatino Linotype"/>
          <w:b/>
          <w:color w:val="000000"/>
        </w:rPr>
        <w:t xml:space="preserve"> Notifíquese </w:t>
      </w:r>
      <w:r w:rsidRPr="00F8148A">
        <w:rPr>
          <w:rFonts w:ascii="Palatino Linotype" w:eastAsia="Palatino Linotype" w:hAnsi="Palatino Linotype" w:cs="Palatino Linotype"/>
          <w:color w:val="000000"/>
        </w:rPr>
        <w:t>al Titular de la Unidad de Transparencia del</w:t>
      </w:r>
      <w:r w:rsidRPr="00F8148A">
        <w:rPr>
          <w:rFonts w:ascii="Palatino Linotype" w:eastAsia="Palatino Linotype" w:hAnsi="Palatino Linotype" w:cs="Palatino Linotype"/>
          <w:b/>
          <w:color w:val="000000"/>
        </w:rPr>
        <w:t xml:space="preserve"> SUJETO OBLIGADO</w:t>
      </w:r>
      <w:r w:rsidRPr="00F8148A">
        <w:rPr>
          <w:rFonts w:ascii="Palatino Linotype" w:eastAsia="Palatino Linotype" w:hAnsi="Palatino Linotype" w:cs="Palatino Linotype"/>
          <w:color w:val="000000"/>
        </w:rPr>
        <w:t xml:space="preserve"> vía Sistema de Acceso, Rectificación, Cancelación y Oposición de Datos Personales del Estado de México. </w:t>
      </w:r>
    </w:p>
    <w:p w:rsidR="00F879F7" w:rsidRPr="00F8148A" w:rsidRDefault="00F879F7">
      <w:pPr>
        <w:shd w:val="clear" w:color="auto" w:fill="FFFFFF"/>
        <w:spacing w:line="360" w:lineRule="auto"/>
        <w:ind w:right="49"/>
        <w:jc w:val="both"/>
        <w:rPr>
          <w:rFonts w:ascii="Palatino Linotype" w:eastAsia="Palatino Linotype" w:hAnsi="Palatino Linotype" w:cs="Palatino Linotype"/>
          <w:b/>
          <w:color w:val="000000"/>
        </w:rPr>
      </w:pPr>
    </w:p>
    <w:p w:rsidR="00F879F7" w:rsidRPr="00F8148A" w:rsidRDefault="00D412DD">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b/>
          <w:color w:val="000000"/>
        </w:rPr>
        <w:t>TERCERO</w:t>
      </w:r>
      <w:r w:rsidRPr="00F8148A">
        <w:rPr>
          <w:rFonts w:ascii="Palatino Linotype" w:eastAsia="Palatino Linotype" w:hAnsi="Palatino Linotype" w:cs="Palatino Linotype"/>
          <w:b/>
          <w:color w:val="222222"/>
        </w:rPr>
        <w:t xml:space="preserve">. Notifíquese a la RECURRENTE </w:t>
      </w:r>
      <w:r w:rsidRPr="00F8148A">
        <w:rPr>
          <w:rFonts w:ascii="Palatino Linotype" w:eastAsia="Palatino Linotype" w:hAnsi="Palatino Linotype" w:cs="Palatino Linotype"/>
          <w:color w:val="222222"/>
        </w:rPr>
        <w:t xml:space="preserve">la presente resolución </w:t>
      </w:r>
      <w:r w:rsidRPr="00F8148A">
        <w:rPr>
          <w:rFonts w:ascii="Palatino Linotype" w:eastAsia="Palatino Linotype" w:hAnsi="Palatino Linotype" w:cs="Palatino Linotype"/>
          <w:color w:val="000000"/>
        </w:rPr>
        <w:t>vía Sistema de Acceso, Rectificación, Cancelación y Oposición de Datos Personales del Estado de México.</w:t>
      </w:r>
    </w:p>
    <w:p w:rsidR="00F879F7" w:rsidRPr="00F8148A" w:rsidRDefault="00F879F7">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color w:val="000000"/>
        </w:rPr>
      </w:pPr>
    </w:p>
    <w:p w:rsidR="00F879F7" w:rsidRPr="00F8148A" w:rsidRDefault="00D412DD">
      <w:pPr>
        <w:spacing w:line="360" w:lineRule="auto"/>
        <w:ind w:right="49"/>
        <w:jc w:val="both"/>
        <w:rPr>
          <w:rFonts w:ascii="Palatino Linotype" w:eastAsia="Palatino Linotype" w:hAnsi="Palatino Linotype" w:cs="Palatino Linotype"/>
          <w:color w:val="000000"/>
        </w:rPr>
      </w:pPr>
      <w:r w:rsidRPr="00F8148A">
        <w:rPr>
          <w:rFonts w:ascii="Palatino Linotype" w:eastAsia="Palatino Linotype" w:hAnsi="Palatino Linotype" w:cs="Palatino Linotype"/>
          <w:b/>
          <w:color w:val="000000"/>
        </w:rPr>
        <w:t xml:space="preserve">CUARTO. </w:t>
      </w:r>
      <w:r w:rsidRPr="00F8148A">
        <w:rPr>
          <w:rFonts w:ascii="Palatino Linotype" w:eastAsia="Palatino Linotype" w:hAnsi="Palatino Linotype" w:cs="Palatino Linotype"/>
          <w:color w:val="000000"/>
        </w:rPr>
        <w:t xml:space="preserve">Se hace de conocimiento a la </w:t>
      </w:r>
      <w:r w:rsidRPr="00F8148A">
        <w:rPr>
          <w:rFonts w:ascii="Palatino Linotype" w:eastAsia="Palatino Linotype" w:hAnsi="Palatino Linotype" w:cs="Palatino Linotype"/>
          <w:b/>
          <w:color w:val="000000"/>
        </w:rPr>
        <w:t>RECURRENTE</w:t>
      </w:r>
      <w:r w:rsidRPr="00F8148A">
        <w:rPr>
          <w:rFonts w:ascii="Palatino Linotype" w:eastAsia="Palatino Linotype" w:hAnsi="Palatino Linotype" w:cs="Palatino Linotype"/>
          <w:color w:val="000000"/>
        </w:rPr>
        <w:t xml:space="preserve"> que, de conformidad con lo establecido en el artículo 142 de la Ley de Protección de Datos Personales en Posesión de Sujetos Obligados del Estado de México y Municipios, en caso de que considere que la resolución le cause algún perjuicio podrá </w:t>
      </w:r>
      <w:r w:rsidRPr="00F8148A">
        <w:rPr>
          <w:rFonts w:ascii="Palatino Linotype" w:eastAsia="Palatino Linotype" w:hAnsi="Palatino Linotype" w:cs="Palatino Linotype"/>
        </w:rPr>
        <w:t>impugnar vía</w:t>
      </w:r>
      <w:r w:rsidRPr="00F8148A">
        <w:rPr>
          <w:rFonts w:ascii="Palatino Linotype" w:eastAsia="Palatino Linotype" w:hAnsi="Palatino Linotype" w:cs="Palatino Linotype"/>
          <w:color w:val="000000"/>
        </w:rPr>
        <w:t xml:space="preserve"> Juicio de Amparo en los términos de las leyes aplicables.</w:t>
      </w:r>
    </w:p>
    <w:p w:rsidR="00F879F7" w:rsidRPr="00F8148A" w:rsidRDefault="00F879F7">
      <w:pPr>
        <w:spacing w:line="360" w:lineRule="auto"/>
        <w:ind w:right="49"/>
        <w:jc w:val="both"/>
        <w:rPr>
          <w:rFonts w:ascii="Palatino Linotype" w:eastAsia="Palatino Linotype" w:hAnsi="Palatino Linotype" w:cs="Palatino Linotype"/>
        </w:rPr>
      </w:pPr>
    </w:p>
    <w:p w:rsidR="00A44959" w:rsidRPr="003C7186" w:rsidRDefault="00A44959" w:rsidP="00A44959">
      <w:pPr>
        <w:spacing w:line="360" w:lineRule="auto"/>
        <w:ind w:left="-142" w:right="-234" w:firstLine="1"/>
        <w:jc w:val="both"/>
        <w:rPr>
          <w:rFonts w:ascii="Palatino Linotype" w:hAnsi="Palatino Linotype"/>
        </w:rPr>
      </w:pPr>
      <w:r w:rsidRPr="00F8148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p w:rsidR="00F879F7" w:rsidRDefault="00F879F7">
      <w:pPr>
        <w:spacing w:line="360" w:lineRule="auto"/>
        <w:ind w:right="49" w:firstLine="1"/>
        <w:jc w:val="both"/>
        <w:rPr>
          <w:rFonts w:ascii="Palatino Linotype" w:eastAsia="Palatino Linotype" w:hAnsi="Palatino Linotype" w:cs="Palatino Linotype"/>
        </w:rPr>
      </w:pPr>
    </w:p>
    <w:sectPr w:rsidR="00F879F7">
      <w:headerReference w:type="even" r:id="rId9"/>
      <w:headerReference w:type="default" r:id="rId10"/>
      <w:footerReference w:type="default" r:id="rId11"/>
      <w:headerReference w:type="first" r:id="rId12"/>
      <w:footerReference w:type="first" r:id="rId13"/>
      <w:pgSz w:w="12240" w:h="15840"/>
      <w:pgMar w:top="2268" w:right="1701" w:bottom="1843"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82" w:rsidRDefault="00661282">
      <w:r>
        <w:separator/>
      </w:r>
    </w:p>
  </w:endnote>
  <w:endnote w:type="continuationSeparator" w:id="0">
    <w:p w:rsidR="00661282" w:rsidRDefault="0066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F7" w:rsidRDefault="00D412D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C3587">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C3587">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rsidR="00F879F7" w:rsidRDefault="00F879F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F7" w:rsidRDefault="00D412D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C358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C3587">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rsidR="00F879F7" w:rsidRDefault="00F879F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82" w:rsidRDefault="00661282">
      <w:r>
        <w:separator/>
      </w:r>
    </w:p>
  </w:footnote>
  <w:footnote w:type="continuationSeparator" w:id="0">
    <w:p w:rsidR="00661282" w:rsidRDefault="00661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F7" w:rsidRDefault="00661282">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F7" w:rsidRDefault="00F879F7">
    <w:pPr>
      <w:widowControl w:val="0"/>
      <w:pBdr>
        <w:top w:val="nil"/>
        <w:left w:val="nil"/>
        <w:bottom w:val="nil"/>
        <w:right w:val="nil"/>
        <w:between w:val="nil"/>
      </w:pBdr>
      <w:spacing w:line="276" w:lineRule="auto"/>
      <w:rPr>
        <w:color w:val="000000"/>
      </w:rPr>
    </w:pPr>
  </w:p>
  <w:tbl>
    <w:tblPr>
      <w:tblStyle w:val="a1"/>
      <w:tblW w:w="7575" w:type="dxa"/>
      <w:tblInd w:w="2694" w:type="dxa"/>
      <w:tblLayout w:type="fixed"/>
      <w:tblLook w:val="0400" w:firstRow="0" w:lastRow="0" w:firstColumn="0" w:lastColumn="0" w:noHBand="0" w:noVBand="1"/>
    </w:tblPr>
    <w:tblGrid>
      <w:gridCol w:w="2754"/>
      <w:gridCol w:w="4821"/>
    </w:tblGrid>
    <w:tr w:rsidR="00F879F7">
      <w:trPr>
        <w:trHeight w:val="227"/>
      </w:trPr>
      <w:tc>
        <w:tcPr>
          <w:tcW w:w="2754" w:type="dxa"/>
          <w:vAlign w:val="center"/>
        </w:tcPr>
        <w:p w:rsidR="00F879F7" w:rsidRDefault="00D412DD">
          <w:pPr>
            <w:ind w:left="-708" w:right="5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21" w:type="dxa"/>
          <w:vAlign w:val="center"/>
        </w:tcPr>
        <w:p w:rsidR="00F879F7" w:rsidRDefault="00D412DD">
          <w:pPr>
            <w:pBdr>
              <w:top w:val="nil"/>
              <w:left w:val="nil"/>
              <w:bottom w:val="nil"/>
              <w:right w:val="nil"/>
              <w:between w:val="nil"/>
            </w:pBdr>
            <w:tabs>
              <w:tab w:val="center" w:pos="4419"/>
              <w:tab w:val="right" w:pos="8838"/>
            </w:tabs>
            <w:ind w:right="5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rPr>
            <w:t>07573/INFOEM/AD/RR/2024</w:t>
          </w:r>
        </w:p>
      </w:tc>
    </w:tr>
    <w:tr w:rsidR="00F879F7">
      <w:trPr>
        <w:trHeight w:val="242"/>
      </w:trPr>
      <w:tc>
        <w:tcPr>
          <w:tcW w:w="2754" w:type="dxa"/>
          <w:vAlign w:val="center"/>
        </w:tcPr>
        <w:p w:rsidR="00F879F7" w:rsidRDefault="00D412DD">
          <w:pPr>
            <w:ind w:left="-708" w:right="5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21" w:type="dxa"/>
          <w:vAlign w:val="center"/>
        </w:tcPr>
        <w:p w:rsidR="00F879F7" w:rsidRDefault="00D412DD">
          <w:pPr>
            <w:pBdr>
              <w:top w:val="nil"/>
              <w:left w:val="nil"/>
              <w:bottom w:val="nil"/>
              <w:right w:val="nil"/>
              <w:between w:val="nil"/>
            </w:pBdr>
            <w:tabs>
              <w:tab w:val="center" w:pos="4419"/>
              <w:tab w:val="right" w:pos="8838"/>
            </w:tabs>
            <w:ind w:right="5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Seguridad Social del Estado de México y Municipios</w:t>
          </w:r>
        </w:p>
      </w:tc>
    </w:tr>
    <w:tr w:rsidR="00F879F7">
      <w:trPr>
        <w:trHeight w:val="342"/>
      </w:trPr>
      <w:tc>
        <w:tcPr>
          <w:tcW w:w="2754" w:type="dxa"/>
          <w:vAlign w:val="center"/>
        </w:tcPr>
        <w:p w:rsidR="00F879F7" w:rsidRDefault="00D412DD">
          <w:pPr>
            <w:ind w:left="-708" w:right="5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21" w:type="dxa"/>
          <w:vAlign w:val="center"/>
        </w:tcPr>
        <w:p w:rsidR="00F879F7" w:rsidRDefault="00D412DD">
          <w:pPr>
            <w:pBdr>
              <w:top w:val="nil"/>
              <w:left w:val="nil"/>
              <w:bottom w:val="nil"/>
              <w:right w:val="nil"/>
              <w:between w:val="nil"/>
            </w:pBdr>
            <w:tabs>
              <w:tab w:val="center" w:pos="4419"/>
              <w:tab w:val="right" w:pos="8838"/>
            </w:tabs>
            <w:ind w:right="5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F879F7" w:rsidRDefault="00661282">
    <w:pPr>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F7" w:rsidRDefault="00F879F7">
    <w:pPr>
      <w:widowControl w:val="0"/>
      <w:pBdr>
        <w:top w:val="nil"/>
        <w:left w:val="nil"/>
        <w:bottom w:val="nil"/>
        <w:right w:val="nil"/>
        <w:between w:val="nil"/>
      </w:pBdr>
      <w:spacing w:line="276" w:lineRule="auto"/>
      <w:rPr>
        <w:color w:val="000000"/>
        <w:sz w:val="14"/>
        <w:szCs w:val="14"/>
      </w:rPr>
    </w:pPr>
  </w:p>
  <w:tbl>
    <w:tblPr>
      <w:tblStyle w:val="a2"/>
      <w:tblW w:w="8040" w:type="dxa"/>
      <w:tblInd w:w="1892" w:type="dxa"/>
      <w:tblLayout w:type="fixed"/>
      <w:tblLook w:val="0400" w:firstRow="0" w:lastRow="0" w:firstColumn="0" w:lastColumn="0" w:noHBand="0" w:noVBand="1"/>
    </w:tblPr>
    <w:tblGrid>
      <w:gridCol w:w="2550"/>
      <w:gridCol w:w="5490"/>
    </w:tblGrid>
    <w:tr w:rsidR="00F879F7">
      <w:trPr>
        <w:trHeight w:val="227"/>
      </w:trPr>
      <w:tc>
        <w:tcPr>
          <w:tcW w:w="2550" w:type="dxa"/>
          <w:vAlign w:val="center"/>
        </w:tcPr>
        <w:p w:rsidR="00F879F7" w:rsidRDefault="00D412DD">
          <w:pPr>
            <w:ind w:left="14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490" w:type="dxa"/>
          <w:vAlign w:val="center"/>
        </w:tcPr>
        <w:p w:rsidR="00F879F7" w:rsidRDefault="00D412DD">
          <w:pPr>
            <w:pBdr>
              <w:top w:val="nil"/>
              <w:left w:val="nil"/>
              <w:bottom w:val="nil"/>
              <w:right w:val="nil"/>
              <w:between w:val="nil"/>
            </w:pBdr>
            <w:tabs>
              <w:tab w:val="center" w:pos="4419"/>
              <w:tab w:val="right" w:pos="8838"/>
            </w:tabs>
            <w:ind w:left="14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07573/INFOEM/AD/RR/2024</w:t>
          </w:r>
        </w:p>
      </w:tc>
    </w:tr>
    <w:tr w:rsidR="00F879F7">
      <w:trPr>
        <w:trHeight w:val="242"/>
      </w:trPr>
      <w:tc>
        <w:tcPr>
          <w:tcW w:w="2550" w:type="dxa"/>
          <w:vAlign w:val="center"/>
        </w:tcPr>
        <w:p w:rsidR="00F879F7" w:rsidRDefault="00D412DD">
          <w:pPr>
            <w:ind w:left="14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490" w:type="dxa"/>
        </w:tcPr>
        <w:p w:rsidR="00F879F7" w:rsidRDefault="000C3587">
          <w:pPr>
            <w:ind w:left="141"/>
            <w:rPr>
              <w:rFonts w:ascii="Palatino Linotype" w:eastAsia="Palatino Linotype" w:hAnsi="Palatino Linotype" w:cs="Palatino Linotype"/>
              <w:color w:val="FF0000"/>
              <w:sz w:val="22"/>
              <w:szCs w:val="22"/>
              <w:highlight w:val="green"/>
            </w:rPr>
          </w:pPr>
          <w:r>
            <w:rPr>
              <w:rFonts w:ascii="Palatino Linotype" w:eastAsia="Palatino Linotype" w:hAnsi="Palatino Linotype" w:cs="Palatino Linotype"/>
              <w:color w:val="000000"/>
              <w:sz w:val="22"/>
              <w:szCs w:val="22"/>
            </w:rPr>
            <w:t xml:space="preserve">XXX XXXX </w:t>
          </w:r>
          <w:proofErr w:type="spellStart"/>
          <w:r>
            <w:rPr>
              <w:rFonts w:ascii="Palatino Linotype" w:eastAsia="Palatino Linotype" w:hAnsi="Palatino Linotype" w:cs="Palatino Linotype"/>
              <w:color w:val="000000"/>
              <w:sz w:val="22"/>
              <w:szCs w:val="22"/>
            </w:rPr>
            <w:t>XXXX</w:t>
          </w:r>
          <w:proofErr w:type="spellEnd"/>
        </w:p>
      </w:tc>
    </w:tr>
    <w:tr w:rsidR="00F879F7">
      <w:trPr>
        <w:trHeight w:val="342"/>
      </w:trPr>
      <w:tc>
        <w:tcPr>
          <w:tcW w:w="2550" w:type="dxa"/>
          <w:vAlign w:val="center"/>
        </w:tcPr>
        <w:p w:rsidR="00F879F7" w:rsidRDefault="00D412DD">
          <w:pPr>
            <w:ind w:left="14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490" w:type="dxa"/>
          <w:vAlign w:val="center"/>
        </w:tcPr>
        <w:p w:rsidR="00F879F7" w:rsidRDefault="00D412DD">
          <w:pPr>
            <w:pBdr>
              <w:top w:val="nil"/>
              <w:left w:val="nil"/>
              <w:bottom w:val="nil"/>
              <w:right w:val="nil"/>
              <w:between w:val="nil"/>
            </w:pBdr>
            <w:tabs>
              <w:tab w:val="center" w:pos="4419"/>
              <w:tab w:val="right" w:pos="8838"/>
            </w:tabs>
            <w:ind w:left="14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Seguridad Social del Estado de México y Municipios</w:t>
          </w:r>
        </w:p>
      </w:tc>
    </w:tr>
    <w:tr w:rsidR="00F879F7">
      <w:trPr>
        <w:trHeight w:val="342"/>
      </w:trPr>
      <w:tc>
        <w:tcPr>
          <w:tcW w:w="2550" w:type="dxa"/>
          <w:vAlign w:val="center"/>
        </w:tcPr>
        <w:p w:rsidR="00F879F7" w:rsidRDefault="00D412DD">
          <w:pPr>
            <w:ind w:left="14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490" w:type="dxa"/>
          <w:vAlign w:val="center"/>
        </w:tcPr>
        <w:p w:rsidR="00F879F7" w:rsidRDefault="00D412DD">
          <w:pPr>
            <w:pBdr>
              <w:top w:val="nil"/>
              <w:left w:val="nil"/>
              <w:bottom w:val="nil"/>
              <w:right w:val="nil"/>
              <w:between w:val="nil"/>
            </w:pBdr>
            <w:tabs>
              <w:tab w:val="center" w:pos="4419"/>
              <w:tab w:val="right" w:pos="8838"/>
            </w:tabs>
            <w:ind w:left="14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F879F7" w:rsidRDefault="00661282">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616C"/>
    <w:multiLevelType w:val="multilevel"/>
    <w:tmpl w:val="56987D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7CC2941"/>
    <w:multiLevelType w:val="multilevel"/>
    <w:tmpl w:val="9FAADF4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D82087"/>
    <w:multiLevelType w:val="multilevel"/>
    <w:tmpl w:val="19808D8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 w15:restartNumberingAfterBreak="0">
    <w:nsid w:val="57522DB0"/>
    <w:multiLevelType w:val="multilevel"/>
    <w:tmpl w:val="0922A082"/>
    <w:lvl w:ilvl="0">
      <w:start w:val="1"/>
      <w:numFmt w:val="bullet"/>
      <w:lvlText w:val="●"/>
      <w:lvlJc w:val="left"/>
      <w:pPr>
        <w:ind w:left="709" w:hanging="357"/>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 w15:restartNumberingAfterBreak="0">
    <w:nsid w:val="5C974CBA"/>
    <w:multiLevelType w:val="multilevel"/>
    <w:tmpl w:val="9912B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695D65"/>
    <w:multiLevelType w:val="multilevel"/>
    <w:tmpl w:val="57B8987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6A58019B"/>
    <w:multiLevelType w:val="multilevel"/>
    <w:tmpl w:val="72221F0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F7"/>
    <w:rsid w:val="000C3587"/>
    <w:rsid w:val="0010445F"/>
    <w:rsid w:val="00661282"/>
    <w:rsid w:val="00A44959"/>
    <w:rsid w:val="00D412DD"/>
    <w:rsid w:val="00F8148A"/>
    <w:rsid w:val="00F879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5858762-9F99-46F4-ACA5-36A061C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rsid w:val="00AC5C39"/>
    <w:pPr>
      <w:autoSpaceDE w:val="0"/>
      <w:autoSpaceDN w:val="0"/>
      <w:adjustRightInd w:val="0"/>
    </w:pPr>
    <w:rPr>
      <w:rFonts w:ascii="Arial" w:hAnsi="Arial" w:cs="Arial"/>
      <w:color w:val="000000"/>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paragraph" w:styleId="TDC1">
    <w:name w:val="toc 1"/>
    <w:basedOn w:val="Normal"/>
    <w:next w:val="Normal"/>
    <w:autoRedefine/>
    <w:uiPriority w:val="39"/>
    <w:unhideWhenUsed/>
    <w:rsid w:val="0012469B"/>
    <w:pPr>
      <w:spacing w:after="100"/>
    </w:pPr>
  </w:style>
  <w:style w:type="paragraph" w:styleId="Textoindependiente2">
    <w:name w:val="Body Text 2"/>
    <w:basedOn w:val="Normal"/>
    <w:link w:val="Textoindependiente2Car"/>
    <w:semiHidden/>
    <w:rsid w:val="002B110D"/>
    <w:pPr>
      <w:jc w:val="both"/>
    </w:pPr>
    <w:rPr>
      <w:rFonts w:ascii="Arial" w:eastAsia="Times New Roman" w:hAnsi="Arial" w:cs="Times New Roman"/>
      <w:iCs/>
      <w:lang w:val="es-MX" w:eastAsia="es-MX"/>
    </w:rPr>
  </w:style>
  <w:style w:type="character" w:customStyle="1" w:styleId="Textoindependiente2Car">
    <w:name w:val="Texto independiente 2 Car"/>
    <w:basedOn w:val="Fuentedeprrafopredeter"/>
    <w:link w:val="Textoindependiente2"/>
    <w:semiHidden/>
    <w:rsid w:val="002B110D"/>
    <w:rPr>
      <w:rFonts w:ascii="Arial" w:eastAsia="Times New Roman" w:hAnsi="Arial" w:cs="Times New Roman"/>
      <w:iCs/>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70" w:type="dxa"/>
        <w:right w:w="70" w:type="dxa"/>
      </w:tblCellMar>
    </w:tblPr>
  </w:style>
  <w:style w:type="paragraph" w:styleId="Textoindependiente">
    <w:name w:val="Body Text"/>
    <w:basedOn w:val="Normal"/>
    <w:link w:val="TextoindependienteCar"/>
    <w:uiPriority w:val="99"/>
    <w:semiHidden/>
    <w:unhideWhenUsed/>
    <w:rsid w:val="00184E79"/>
    <w:pPr>
      <w:spacing w:after="120"/>
    </w:pPr>
  </w:style>
  <w:style w:type="character" w:customStyle="1" w:styleId="TextoindependienteCar">
    <w:name w:val="Texto independiente Car"/>
    <w:basedOn w:val="Fuentedeprrafopredeter"/>
    <w:link w:val="Textoindependiente"/>
    <w:uiPriority w:val="99"/>
    <w:semiHidden/>
    <w:rsid w:val="00184E79"/>
    <w:rPr>
      <w:rFonts w:eastAsiaTheme="minorEastAsia"/>
      <w:lang w:eastAsia="es-ES"/>
    </w:rPr>
  </w:style>
  <w:style w:type="paragraph" w:styleId="Listaconvietas3">
    <w:name w:val="List Bullet 3"/>
    <w:basedOn w:val="Normal"/>
    <w:uiPriority w:val="99"/>
    <w:unhideWhenUsed/>
    <w:rsid w:val="00757D69"/>
    <w:pPr>
      <w:numPr>
        <w:numId w:val="7"/>
      </w:numPr>
      <w:contextualSpacing/>
    </w:pPr>
    <w:rPr>
      <w:rFonts w:ascii="Times New Roman" w:eastAsia="Times New Roman" w:hAnsi="Times New Roman" w:cs="Times New Roman"/>
      <w:lang w:val="es-MX" w:eastAsia="es-MX"/>
    </w:rPr>
  </w:style>
  <w:style w:type="table" w:customStyle="1" w:styleId="Tablanormal12">
    <w:name w:val="Tabla normal 12"/>
    <w:basedOn w:val="Tablanormal"/>
    <w:next w:val="Tablanormal1"/>
    <w:uiPriority w:val="41"/>
    <w:rsid w:val="00066071"/>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BE354C"/>
    <w:rPr>
      <w:sz w:val="16"/>
      <w:szCs w:val="16"/>
    </w:rPr>
  </w:style>
  <w:style w:type="paragraph" w:styleId="Textocomentario">
    <w:name w:val="annotation text"/>
    <w:basedOn w:val="Normal"/>
    <w:link w:val="TextocomentarioCar"/>
    <w:uiPriority w:val="99"/>
    <w:semiHidden/>
    <w:unhideWhenUsed/>
    <w:rsid w:val="00BE354C"/>
    <w:rPr>
      <w:sz w:val="20"/>
      <w:szCs w:val="20"/>
    </w:rPr>
  </w:style>
  <w:style w:type="character" w:customStyle="1" w:styleId="TextocomentarioCar">
    <w:name w:val="Texto comentario Car"/>
    <w:basedOn w:val="Fuentedeprrafopredeter"/>
    <w:link w:val="Textocomentario"/>
    <w:uiPriority w:val="99"/>
    <w:semiHidden/>
    <w:rsid w:val="00BE354C"/>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E354C"/>
    <w:rPr>
      <w:b/>
      <w:bCs/>
    </w:rPr>
  </w:style>
  <w:style w:type="character" w:customStyle="1" w:styleId="AsuntodelcomentarioCar">
    <w:name w:val="Asunto del comentario Car"/>
    <w:basedOn w:val="TextocomentarioCar"/>
    <w:link w:val="Asuntodelcomentario"/>
    <w:uiPriority w:val="99"/>
    <w:semiHidden/>
    <w:rsid w:val="00BE354C"/>
    <w:rPr>
      <w:rFonts w:eastAsiaTheme="minorEastAsia"/>
      <w:b/>
      <w:bCs/>
      <w:sz w:val="20"/>
      <w:szCs w:val="20"/>
      <w:lang w:eastAsia="es-ES"/>
    </w:rPr>
  </w:style>
  <w:style w:type="paragraph" w:styleId="Textodeglobo">
    <w:name w:val="Balloon Text"/>
    <w:basedOn w:val="Normal"/>
    <w:link w:val="TextodegloboCar"/>
    <w:uiPriority w:val="99"/>
    <w:semiHidden/>
    <w:unhideWhenUsed/>
    <w:rsid w:val="00BE35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54C"/>
    <w:rPr>
      <w:rFonts w:ascii="Segoe UI" w:eastAsiaTheme="minorEastAsia" w:hAnsi="Segoe UI" w:cs="Segoe UI"/>
      <w:sz w:val="18"/>
      <w:szCs w:val="18"/>
      <w:lang w:eastAsia="es-ES"/>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bMEiuIkiK9w+oA2zEBsSzmzgA==">CgMxLjAyCGguZ2pkZ3hzMgloLjMwajB6bGwyCWguMWZvYjl0ZTIJaC4zem55c2g3MgloLjJldDkycDAyCGgudHlqY3d0MgloLjNkeTZ2a20yCWguMXQzaDVzZjIJaC40ZDM0b2c4MgloLjE3ZHA4dnU4AHIhMW9NTmh3RHp5V05zcUZ6SkxXcTRSemRBcGh4YUVxZVd6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5239</Words>
  <Characters>28819</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4</cp:revision>
  <cp:lastPrinted>2025-02-07T15:57:00Z</cp:lastPrinted>
  <dcterms:created xsi:type="dcterms:W3CDTF">2025-01-28T16:42:00Z</dcterms:created>
  <dcterms:modified xsi:type="dcterms:W3CDTF">2025-03-25T01:16:00Z</dcterms:modified>
</cp:coreProperties>
</file>