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B65DEF" w:rsidRDefault="00AE3DA7" w:rsidP="00B65DEF">
          <w:pPr>
            <w:pStyle w:val="TtulodeTDC"/>
            <w:spacing w:before="0" w:line="240" w:lineRule="auto"/>
            <w:ind w:left="708" w:hanging="708"/>
            <w:rPr>
              <w:rFonts w:ascii="Palatino Linotype" w:hAnsi="Palatino Linotype"/>
              <w:color w:val="auto"/>
              <w:sz w:val="22"/>
              <w:szCs w:val="22"/>
              <w:lang w:val="es-ES"/>
            </w:rPr>
          </w:pPr>
          <w:r w:rsidRPr="00B65DEF">
            <w:rPr>
              <w:rFonts w:ascii="Palatino Linotype" w:hAnsi="Palatino Linotype"/>
              <w:color w:val="auto"/>
              <w:sz w:val="22"/>
              <w:szCs w:val="22"/>
              <w:lang w:val="es-ES"/>
            </w:rPr>
            <w:t>Contenido</w:t>
          </w:r>
        </w:p>
        <w:p w14:paraId="3EB312A7" w14:textId="77777777" w:rsidR="00AA6EA9" w:rsidRPr="00B65DEF" w:rsidRDefault="00AA6EA9" w:rsidP="00B65DEF">
          <w:pPr>
            <w:spacing w:line="240" w:lineRule="auto"/>
            <w:rPr>
              <w:szCs w:val="22"/>
              <w:lang w:val="es-ES" w:eastAsia="es-MX"/>
            </w:rPr>
          </w:pPr>
        </w:p>
        <w:p w14:paraId="659D3D12" w14:textId="04A8C88B" w:rsidR="00B65DEF" w:rsidRDefault="00AE3DA7">
          <w:pPr>
            <w:pStyle w:val="TDC1"/>
            <w:tabs>
              <w:tab w:val="right" w:leader="dot" w:pos="9034"/>
            </w:tabs>
            <w:rPr>
              <w:rFonts w:asciiTheme="minorHAnsi" w:eastAsiaTheme="minorEastAsia" w:hAnsiTheme="minorHAnsi" w:cstheme="minorBidi"/>
              <w:noProof/>
              <w:szCs w:val="22"/>
              <w:lang w:eastAsia="es-MX"/>
            </w:rPr>
          </w:pPr>
          <w:r w:rsidRPr="00B65DEF">
            <w:rPr>
              <w:szCs w:val="22"/>
            </w:rPr>
            <w:fldChar w:fldCharType="begin"/>
          </w:r>
          <w:r w:rsidRPr="00B65DEF">
            <w:rPr>
              <w:szCs w:val="22"/>
            </w:rPr>
            <w:instrText xml:space="preserve"> TOC \o "1-3" \h \z \u </w:instrText>
          </w:r>
          <w:r w:rsidRPr="00B65DEF">
            <w:rPr>
              <w:szCs w:val="22"/>
            </w:rPr>
            <w:fldChar w:fldCharType="separate"/>
          </w:r>
          <w:hyperlink w:anchor="_Toc207224838" w:history="1">
            <w:r w:rsidR="00B65DEF" w:rsidRPr="0041668E">
              <w:rPr>
                <w:rStyle w:val="Hipervnculo"/>
                <w:noProof/>
              </w:rPr>
              <w:t>ANTECEDENTES</w:t>
            </w:r>
            <w:r w:rsidR="00B65DEF">
              <w:rPr>
                <w:noProof/>
                <w:webHidden/>
              </w:rPr>
              <w:tab/>
            </w:r>
            <w:r w:rsidR="00B65DEF">
              <w:rPr>
                <w:noProof/>
                <w:webHidden/>
              </w:rPr>
              <w:fldChar w:fldCharType="begin"/>
            </w:r>
            <w:r w:rsidR="00B65DEF">
              <w:rPr>
                <w:noProof/>
                <w:webHidden/>
              </w:rPr>
              <w:instrText xml:space="preserve"> PAGEREF _Toc207224838 \h </w:instrText>
            </w:r>
            <w:r w:rsidR="00B65DEF">
              <w:rPr>
                <w:noProof/>
                <w:webHidden/>
              </w:rPr>
            </w:r>
            <w:r w:rsidR="00B65DEF">
              <w:rPr>
                <w:noProof/>
                <w:webHidden/>
              </w:rPr>
              <w:fldChar w:fldCharType="separate"/>
            </w:r>
            <w:r w:rsidR="005A2A3F">
              <w:rPr>
                <w:noProof/>
                <w:webHidden/>
              </w:rPr>
              <w:t>1</w:t>
            </w:r>
            <w:r w:rsidR="00B65DEF">
              <w:rPr>
                <w:noProof/>
                <w:webHidden/>
              </w:rPr>
              <w:fldChar w:fldCharType="end"/>
            </w:r>
          </w:hyperlink>
        </w:p>
        <w:p w14:paraId="5C3CBD65" w14:textId="599AC3E8" w:rsidR="00B65DEF" w:rsidRDefault="008142BE">
          <w:pPr>
            <w:pStyle w:val="TDC2"/>
            <w:rPr>
              <w:rFonts w:asciiTheme="minorHAnsi" w:eastAsiaTheme="minorEastAsia" w:hAnsiTheme="minorHAnsi" w:cstheme="minorBidi"/>
              <w:noProof/>
              <w:szCs w:val="22"/>
              <w:lang w:eastAsia="es-MX"/>
            </w:rPr>
          </w:pPr>
          <w:hyperlink w:anchor="_Toc207224839" w:history="1">
            <w:r w:rsidR="00B65DEF" w:rsidRPr="0041668E">
              <w:rPr>
                <w:rStyle w:val="Hipervnculo"/>
                <w:noProof/>
              </w:rPr>
              <w:t>DE LA SOLICITUD DE ACCESO A DATOS PERSONALES</w:t>
            </w:r>
            <w:r w:rsidR="00B65DEF">
              <w:rPr>
                <w:noProof/>
                <w:webHidden/>
              </w:rPr>
              <w:tab/>
            </w:r>
            <w:r w:rsidR="00B65DEF">
              <w:rPr>
                <w:noProof/>
                <w:webHidden/>
              </w:rPr>
              <w:fldChar w:fldCharType="begin"/>
            </w:r>
            <w:r w:rsidR="00B65DEF">
              <w:rPr>
                <w:noProof/>
                <w:webHidden/>
              </w:rPr>
              <w:instrText xml:space="preserve"> PAGEREF _Toc207224839 \h </w:instrText>
            </w:r>
            <w:r w:rsidR="00B65DEF">
              <w:rPr>
                <w:noProof/>
                <w:webHidden/>
              </w:rPr>
            </w:r>
            <w:r w:rsidR="00B65DEF">
              <w:rPr>
                <w:noProof/>
                <w:webHidden/>
              </w:rPr>
              <w:fldChar w:fldCharType="separate"/>
            </w:r>
            <w:r w:rsidR="005A2A3F">
              <w:rPr>
                <w:noProof/>
                <w:webHidden/>
              </w:rPr>
              <w:t>1</w:t>
            </w:r>
            <w:r w:rsidR="00B65DEF">
              <w:rPr>
                <w:noProof/>
                <w:webHidden/>
              </w:rPr>
              <w:fldChar w:fldCharType="end"/>
            </w:r>
          </w:hyperlink>
        </w:p>
        <w:p w14:paraId="213AAE13" w14:textId="578D5E07" w:rsidR="00B65DEF" w:rsidRDefault="008142BE">
          <w:pPr>
            <w:pStyle w:val="TDC3"/>
            <w:rPr>
              <w:rFonts w:asciiTheme="minorHAnsi" w:eastAsiaTheme="minorEastAsia" w:hAnsiTheme="minorHAnsi" w:cstheme="minorBidi"/>
              <w:noProof/>
              <w:szCs w:val="22"/>
              <w:lang w:eastAsia="es-MX"/>
            </w:rPr>
          </w:pPr>
          <w:hyperlink w:anchor="_Toc207224840" w:history="1">
            <w:r w:rsidR="00B65DEF" w:rsidRPr="0041668E">
              <w:rPr>
                <w:rStyle w:val="Hipervnculo"/>
                <w:noProof/>
              </w:rPr>
              <w:t>a) Solicitud de Acceso a Datos.</w:t>
            </w:r>
            <w:r w:rsidR="00B65DEF">
              <w:rPr>
                <w:noProof/>
                <w:webHidden/>
              </w:rPr>
              <w:tab/>
            </w:r>
            <w:r w:rsidR="00B65DEF">
              <w:rPr>
                <w:noProof/>
                <w:webHidden/>
              </w:rPr>
              <w:fldChar w:fldCharType="begin"/>
            </w:r>
            <w:r w:rsidR="00B65DEF">
              <w:rPr>
                <w:noProof/>
                <w:webHidden/>
              </w:rPr>
              <w:instrText xml:space="preserve"> PAGEREF _Toc207224840 \h </w:instrText>
            </w:r>
            <w:r w:rsidR="00B65DEF">
              <w:rPr>
                <w:noProof/>
                <w:webHidden/>
              </w:rPr>
            </w:r>
            <w:r w:rsidR="00B65DEF">
              <w:rPr>
                <w:noProof/>
                <w:webHidden/>
              </w:rPr>
              <w:fldChar w:fldCharType="separate"/>
            </w:r>
            <w:r w:rsidR="005A2A3F">
              <w:rPr>
                <w:noProof/>
                <w:webHidden/>
              </w:rPr>
              <w:t>1</w:t>
            </w:r>
            <w:r w:rsidR="00B65DEF">
              <w:rPr>
                <w:noProof/>
                <w:webHidden/>
              </w:rPr>
              <w:fldChar w:fldCharType="end"/>
            </w:r>
          </w:hyperlink>
        </w:p>
        <w:p w14:paraId="6334D555" w14:textId="460946E1" w:rsidR="00B65DEF" w:rsidRDefault="008142BE">
          <w:pPr>
            <w:pStyle w:val="TDC3"/>
            <w:rPr>
              <w:rFonts w:asciiTheme="minorHAnsi" w:eastAsiaTheme="minorEastAsia" w:hAnsiTheme="minorHAnsi" w:cstheme="minorBidi"/>
              <w:noProof/>
              <w:szCs w:val="22"/>
              <w:lang w:eastAsia="es-MX"/>
            </w:rPr>
          </w:pPr>
          <w:hyperlink w:anchor="_Toc207224841" w:history="1">
            <w:r w:rsidR="00B65DEF" w:rsidRPr="0041668E">
              <w:rPr>
                <w:rStyle w:val="Hipervnculo"/>
                <w:noProof/>
              </w:rPr>
              <w:t xml:space="preserve">b) </w:t>
            </w:r>
            <w:r w:rsidR="00B65DEF" w:rsidRPr="0041668E">
              <w:rPr>
                <w:rStyle w:val="Hipervnculo"/>
                <w:noProof/>
                <w:lang w:val="es-ES"/>
              </w:rPr>
              <w:t xml:space="preserve">Respuesta </w:t>
            </w:r>
            <w:r w:rsidR="00B65DEF" w:rsidRPr="0041668E">
              <w:rPr>
                <w:rStyle w:val="Hipervnculo"/>
                <w:rFonts w:eastAsia="Calibri"/>
                <w:noProof/>
                <w:lang w:eastAsia="en-US"/>
              </w:rPr>
              <w:t>del Sujeto Obligado.</w:t>
            </w:r>
            <w:r w:rsidR="00B65DEF">
              <w:rPr>
                <w:noProof/>
                <w:webHidden/>
              </w:rPr>
              <w:tab/>
            </w:r>
            <w:r w:rsidR="00B65DEF">
              <w:rPr>
                <w:noProof/>
                <w:webHidden/>
              </w:rPr>
              <w:fldChar w:fldCharType="begin"/>
            </w:r>
            <w:r w:rsidR="00B65DEF">
              <w:rPr>
                <w:noProof/>
                <w:webHidden/>
              </w:rPr>
              <w:instrText xml:space="preserve"> PAGEREF _Toc207224841 \h </w:instrText>
            </w:r>
            <w:r w:rsidR="00B65DEF">
              <w:rPr>
                <w:noProof/>
                <w:webHidden/>
              </w:rPr>
            </w:r>
            <w:r w:rsidR="00B65DEF">
              <w:rPr>
                <w:noProof/>
                <w:webHidden/>
              </w:rPr>
              <w:fldChar w:fldCharType="separate"/>
            </w:r>
            <w:r w:rsidR="005A2A3F">
              <w:rPr>
                <w:noProof/>
                <w:webHidden/>
              </w:rPr>
              <w:t>2</w:t>
            </w:r>
            <w:r w:rsidR="00B65DEF">
              <w:rPr>
                <w:noProof/>
                <w:webHidden/>
              </w:rPr>
              <w:fldChar w:fldCharType="end"/>
            </w:r>
          </w:hyperlink>
        </w:p>
        <w:p w14:paraId="7CE91430" w14:textId="4FA1B7CD" w:rsidR="00B65DEF" w:rsidRDefault="008142BE">
          <w:pPr>
            <w:pStyle w:val="TDC2"/>
            <w:rPr>
              <w:rFonts w:asciiTheme="minorHAnsi" w:eastAsiaTheme="minorEastAsia" w:hAnsiTheme="minorHAnsi" w:cstheme="minorBidi"/>
              <w:noProof/>
              <w:szCs w:val="22"/>
              <w:lang w:eastAsia="es-MX"/>
            </w:rPr>
          </w:pPr>
          <w:hyperlink w:anchor="_Toc207224842" w:history="1">
            <w:r w:rsidR="00B65DEF" w:rsidRPr="0041668E">
              <w:rPr>
                <w:rStyle w:val="Hipervnculo"/>
                <w:noProof/>
              </w:rPr>
              <w:t>DEL RECURSO DE REVISIÓN</w:t>
            </w:r>
            <w:r w:rsidR="00B65DEF">
              <w:rPr>
                <w:noProof/>
                <w:webHidden/>
              </w:rPr>
              <w:tab/>
            </w:r>
            <w:r w:rsidR="00B65DEF">
              <w:rPr>
                <w:noProof/>
                <w:webHidden/>
              </w:rPr>
              <w:fldChar w:fldCharType="begin"/>
            </w:r>
            <w:r w:rsidR="00B65DEF">
              <w:rPr>
                <w:noProof/>
                <w:webHidden/>
              </w:rPr>
              <w:instrText xml:space="preserve"> PAGEREF _Toc207224842 \h </w:instrText>
            </w:r>
            <w:r w:rsidR="00B65DEF">
              <w:rPr>
                <w:noProof/>
                <w:webHidden/>
              </w:rPr>
            </w:r>
            <w:r w:rsidR="00B65DEF">
              <w:rPr>
                <w:noProof/>
                <w:webHidden/>
              </w:rPr>
              <w:fldChar w:fldCharType="separate"/>
            </w:r>
            <w:r w:rsidR="005A2A3F">
              <w:rPr>
                <w:noProof/>
                <w:webHidden/>
              </w:rPr>
              <w:t>3</w:t>
            </w:r>
            <w:r w:rsidR="00B65DEF">
              <w:rPr>
                <w:noProof/>
                <w:webHidden/>
              </w:rPr>
              <w:fldChar w:fldCharType="end"/>
            </w:r>
          </w:hyperlink>
        </w:p>
        <w:p w14:paraId="14B86E60" w14:textId="2311B73D" w:rsidR="00B65DEF" w:rsidRDefault="008142BE">
          <w:pPr>
            <w:pStyle w:val="TDC3"/>
            <w:rPr>
              <w:rFonts w:asciiTheme="minorHAnsi" w:eastAsiaTheme="minorEastAsia" w:hAnsiTheme="minorHAnsi" w:cstheme="minorBidi"/>
              <w:noProof/>
              <w:szCs w:val="22"/>
              <w:lang w:eastAsia="es-MX"/>
            </w:rPr>
          </w:pPr>
          <w:hyperlink w:anchor="_Toc207224843" w:history="1">
            <w:r w:rsidR="00B65DEF" w:rsidRPr="0041668E">
              <w:rPr>
                <w:rStyle w:val="Hipervnculo"/>
                <w:noProof/>
              </w:rPr>
              <w:t>a) Interposición del Recurso de Revisión.</w:t>
            </w:r>
            <w:r w:rsidR="00B65DEF">
              <w:rPr>
                <w:noProof/>
                <w:webHidden/>
              </w:rPr>
              <w:tab/>
            </w:r>
            <w:r w:rsidR="00B65DEF">
              <w:rPr>
                <w:noProof/>
                <w:webHidden/>
              </w:rPr>
              <w:fldChar w:fldCharType="begin"/>
            </w:r>
            <w:r w:rsidR="00B65DEF">
              <w:rPr>
                <w:noProof/>
                <w:webHidden/>
              </w:rPr>
              <w:instrText xml:space="preserve"> PAGEREF _Toc207224843 \h </w:instrText>
            </w:r>
            <w:r w:rsidR="00B65DEF">
              <w:rPr>
                <w:noProof/>
                <w:webHidden/>
              </w:rPr>
            </w:r>
            <w:r w:rsidR="00B65DEF">
              <w:rPr>
                <w:noProof/>
                <w:webHidden/>
              </w:rPr>
              <w:fldChar w:fldCharType="separate"/>
            </w:r>
            <w:r w:rsidR="005A2A3F">
              <w:rPr>
                <w:noProof/>
                <w:webHidden/>
              </w:rPr>
              <w:t>3</w:t>
            </w:r>
            <w:r w:rsidR="00B65DEF">
              <w:rPr>
                <w:noProof/>
                <w:webHidden/>
              </w:rPr>
              <w:fldChar w:fldCharType="end"/>
            </w:r>
          </w:hyperlink>
        </w:p>
        <w:p w14:paraId="026F12F3" w14:textId="0DF054AE" w:rsidR="00B65DEF" w:rsidRDefault="008142BE">
          <w:pPr>
            <w:pStyle w:val="TDC3"/>
            <w:rPr>
              <w:rFonts w:asciiTheme="minorHAnsi" w:eastAsiaTheme="minorEastAsia" w:hAnsiTheme="minorHAnsi" w:cstheme="minorBidi"/>
              <w:noProof/>
              <w:szCs w:val="22"/>
              <w:lang w:eastAsia="es-MX"/>
            </w:rPr>
          </w:pPr>
          <w:hyperlink w:anchor="_Toc207224844" w:history="1">
            <w:r w:rsidR="00B65DEF" w:rsidRPr="0041668E">
              <w:rPr>
                <w:rStyle w:val="Hipervnculo"/>
                <w:noProof/>
              </w:rPr>
              <w:t>b) Turno del Recurso de Revisión.</w:t>
            </w:r>
            <w:r w:rsidR="00B65DEF">
              <w:rPr>
                <w:noProof/>
                <w:webHidden/>
              </w:rPr>
              <w:tab/>
            </w:r>
            <w:r w:rsidR="00B65DEF">
              <w:rPr>
                <w:noProof/>
                <w:webHidden/>
              </w:rPr>
              <w:fldChar w:fldCharType="begin"/>
            </w:r>
            <w:r w:rsidR="00B65DEF">
              <w:rPr>
                <w:noProof/>
                <w:webHidden/>
              </w:rPr>
              <w:instrText xml:space="preserve"> PAGEREF _Toc207224844 \h </w:instrText>
            </w:r>
            <w:r w:rsidR="00B65DEF">
              <w:rPr>
                <w:noProof/>
                <w:webHidden/>
              </w:rPr>
            </w:r>
            <w:r w:rsidR="00B65DEF">
              <w:rPr>
                <w:noProof/>
                <w:webHidden/>
              </w:rPr>
              <w:fldChar w:fldCharType="separate"/>
            </w:r>
            <w:r w:rsidR="005A2A3F">
              <w:rPr>
                <w:noProof/>
                <w:webHidden/>
              </w:rPr>
              <w:t>3</w:t>
            </w:r>
            <w:r w:rsidR="00B65DEF">
              <w:rPr>
                <w:noProof/>
                <w:webHidden/>
              </w:rPr>
              <w:fldChar w:fldCharType="end"/>
            </w:r>
          </w:hyperlink>
        </w:p>
        <w:p w14:paraId="7A369EFC" w14:textId="122B1C61" w:rsidR="00B65DEF" w:rsidRDefault="008142BE">
          <w:pPr>
            <w:pStyle w:val="TDC3"/>
            <w:rPr>
              <w:rFonts w:asciiTheme="minorHAnsi" w:eastAsiaTheme="minorEastAsia" w:hAnsiTheme="minorHAnsi" w:cstheme="minorBidi"/>
              <w:noProof/>
              <w:szCs w:val="22"/>
              <w:lang w:eastAsia="es-MX"/>
            </w:rPr>
          </w:pPr>
          <w:hyperlink w:anchor="_Toc207224845" w:history="1">
            <w:r w:rsidR="00B65DEF" w:rsidRPr="0041668E">
              <w:rPr>
                <w:rStyle w:val="Hipervnculo"/>
                <w:noProof/>
              </w:rPr>
              <w:t>c) Admisión del Recurso de Revisión.</w:t>
            </w:r>
            <w:r w:rsidR="00B65DEF">
              <w:rPr>
                <w:noProof/>
                <w:webHidden/>
              </w:rPr>
              <w:tab/>
            </w:r>
            <w:r w:rsidR="00B65DEF">
              <w:rPr>
                <w:noProof/>
                <w:webHidden/>
              </w:rPr>
              <w:fldChar w:fldCharType="begin"/>
            </w:r>
            <w:r w:rsidR="00B65DEF">
              <w:rPr>
                <w:noProof/>
                <w:webHidden/>
              </w:rPr>
              <w:instrText xml:space="preserve"> PAGEREF _Toc207224845 \h </w:instrText>
            </w:r>
            <w:r w:rsidR="00B65DEF">
              <w:rPr>
                <w:noProof/>
                <w:webHidden/>
              </w:rPr>
            </w:r>
            <w:r w:rsidR="00B65DEF">
              <w:rPr>
                <w:noProof/>
                <w:webHidden/>
              </w:rPr>
              <w:fldChar w:fldCharType="separate"/>
            </w:r>
            <w:r w:rsidR="005A2A3F">
              <w:rPr>
                <w:noProof/>
                <w:webHidden/>
              </w:rPr>
              <w:t>3</w:t>
            </w:r>
            <w:r w:rsidR="00B65DEF">
              <w:rPr>
                <w:noProof/>
                <w:webHidden/>
              </w:rPr>
              <w:fldChar w:fldCharType="end"/>
            </w:r>
          </w:hyperlink>
        </w:p>
        <w:p w14:paraId="1C7E17EC" w14:textId="7BDA8682" w:rsidR="00B65DEF" w:rsidRDefault="008142BE">
          <w:pPr>
            <w:pStyle w:val="TDC3"/>
            <w:rPr>
              <w:rFonts w:asciiTheme="minorHAnsi" w:eastAsiaTheme="minorEastAsia" w:hAnsiTheme="minorHAnsi" w:cstheme="minorBidi"/>
              <w:noProof/>
              <w:szCs w:val="22"/>
              <w:lang w:eastAsia="es-MX"/>
            </w:rPr>
          </w:pPr>
          <w:hyperlink w:anchor="_Toc207224846" w:history="1">
            <w:r w:rsidR="00B65DEF" w:rsidRPr="0041668E">
              <w:rPr>
                <w:rStyle w:val="Hipervnculo"/>
                <w:rFonts w:eastAsia="Palatino Linotype" w:cs="Palatino Linotype"/>
                <w:noProof/>
              </w:rPr>
              <w:t>d) De la etapa de conciliación.</w:t>
            </w:r>
            <w:r w:rsidR="00B65DEF">
              <w:rPr>
                <w:noProof/>
                <w:webHidden/>
              </w:rPr>
              <w:tab/>
            </w:r>
            <w:r w:rsidR="00B65DEF">
              <w:rPr>
                <w:noProof/>
                <w:webHidden/>
              </w:rPr>
              <w:fldChar w:fldCharType="begin"/>
            </w:r>
            <w:r w:rsidR="00B65DEF">
              <w:rPr>
                <w:noProof/>
                <w:webHidden/>
              </w:rPr>
              <w:instrText xml:space="preserve"> PAGEREF _Toc207224846 \h </w:instrText>
            </w:r>
            <w:r w:rsidR="00B65DEF">
              <w:rPr>
                <w:noProof/>
                <w:webHidden/>
              </w:rPr>
            </w:r>
            <w:r w:rsidR="00B65DEF">
              <w:rPr>
                <w:noProof/>
                <w:webHidden/>
              </w:rPr>
              <w:fldChar w:fldCharType="separate"/>
            </w:r>
            <w:r w:rsidR="005A2A3F">
              <w:rPr>
                <w:noProof/>
                <w:webHidden/>
              </w:rPr>
              <w:t>4</w:t>
            </w:r>
            <w:r w:rsidR="00B65DEF">
              <w:rPr>
                <w:noProof/>
                <w:webHidden/>
              </w:rPr>
              <w:fldChar w:fldCharType="end"/>
            </w:r>
          </w:hyperlink>
        </w:p>
        <w:p w14:paraId="2C687235" w14:textId="1CC67267" w:rsidR="00B65DEF" w:rsidRDefault="008142BE">
          <w:pPr>
            <w:pStyle w:val="TDC3"/>
            <w:rPr>
              <w:rFonts w:asciiTheme="minorHAnsi" w:eastAsiaTheme="minorEastAsia" w:hAnsiTheme="minorHAnsi" w:cstheme="minorBidi"/>
              <w:noProof/>
              <w:szCs w:val="22"/>
              <w:lang w:eastAsia="es-MX"/>
            </w:rPr>
          </w:pPr>
          <w:hyperlink w:anchor="_Toc207224847" w:history="1">
            <w:r w:rsidR="00B65DEF" w:rsidRPr="0041668E">
              <w:rPr>
                <w:rStyle w:val="Hipervnculo"/>
                <w:rFonts w:eastAsia="Palatino Linotype" w:cs="Palatino Linotype"/>
                <w:noProof/>
              </w:rPr>
              <w:t xml:space="preserve">e) </w:t>
            </w:r>
            <w:r w:rsidR="00B65DEF" w:rsidRPr="0041668E">
              <w:rPr>
                <w:rStyle w:val="Hipervnculo"/>
                <w:noProof/>
              </w:rPr>
              <w:t>De la etapa de manifestaciones.</w:t>
            </w:r>
            <w:r w:rsidR="00B65DEF">
              <w:rPr>
                <w:noProof/>
                <w:webHidden/>
              </w:rPr>
              <w:tab/>
            </w:r>
            <w:r w:rsidR="00B65DEF">
              <w:rPr>
                <w:noProof/>
                <w:webHidden/>
              </w:rPr>
              <w:fldChar w:fldCharType="begin"/>
            </w:r>
            <w:r w:rsidR="00B65DEF">
              <w:rPr>
                <w:noProof/>
                <w:webHidden/>
              </w:rPr>
              <w:instrText xml:space="preserve"> PAGEREF _Toc207224847 \h </w:instrText>
            </w:r>
            <w:r w:rsidR="00B65DEF">
              <w:rPr>
                <w:noProof/>
                <w:webHidden/>
              </w:rPr>
            </w:r>
            <w:r w:rsidR="00B65DEF">
              <w:rPr>
                <w:noProof/>
                <w:webHidden/>
              </w:rPr>
              <w:fldChar w:fldCharType="separate"/>
            </w:r>
            <w:r w:rsidR="005A2A3F">
              <w:rPr>
                <w:noProof/>
                <w:webHidden/>
              </w:rPr>
              <w:t>5</w:t>
            </w:r>
            <w:r w:rsidR="00B65DEF">
              <w:rPr>
                <w:noProof/>
                <w:webHidden/>
              </w:rPr>
              <w:fldChar w:fldCharType="end"/>
            </w:r>
          </w:hyperlink>
        </w:p>
        <w:p w14:paraId="3DF21AF2" w14:textId="1924AA02" w:rsidR="00B65DEF" w:rsidRDefault="008142BE">
          <w:pPr>
            <w:pStyle w:val="TDC3"/>
            <w:rPr>
              <w:rFonts w:asciiTheme="minorHAnsi" w:eastAsiaTheme="minorEastAsia" w:hAnsiTheme="minorHAnsi" w:cstheme="minorBidi"/>
              <w:noProof/>
              <w:szCs w:val="22"/>
              <w:lang w:eastAsia="es-MX"/>
            </w:rPr>
          </w:pPr>
          <w:hyperlink w:anchor="_Toc207224848" w:history="1">
            <w:r w:rsidR="00B65DEF" w:rsidRPr="0041668E">
              <w:rPr>
                <w:rStyle w:val="Hipervnculo"/>
                <w:rFonts w:eastAsia="Palatino Linotype" w:cs="Palatino Linotype"/>
                <w:noProof/>
              </w:rPr>
              <w:t xml:space="preserve">f) </w:t>
            </w:r>
            <w:r w:rsidR="00B65DEF" w:rsidRPr="0041668E">
              <w:rPr>
                <w:rStyle w:val="Hipervnculo"/>
                <w:noProof/>
              </w:rPr>
              <w:t>De la Prevención.</w:t>
            </w:r>
            <w:r w:rsidR="00B65DEF">
              <w:rPr>
                <w:noProof/>
                <w:webHidden/>
              </w:rPr>
              <w:tab/>
            </w:r>
            <w:r w:rsidR="00B65DEF">
              <w:rPr>
                <w:noProof/>
                <w:webHidden/>
              </w:rPr>
              <w:fldChar w:fldCharType="begin"/>
            </w:r>
            <w:r w:rsidR="00B65DEF">
              <w:rPr>
                <w:noProof/>
                <w:webHidden/>
              </w:rPr>
              <w:instrText xml:space="preserve"> PAGEREF _Toc207224848 \h </w:instrText>
            </w:r>
            <w:r w:rsidR="00B65DEF">
              <w:rPr>
                <w:noProof/>
                <w:webHidden/>
              </w:rPr>
            </w:r>
            <w:r w:rsidR="00B65DEF">
              <w:rPr>
                <w:noProof/>
                <w:webHidden/>
              </w:rPr>
              <w:fldChar w:fldCharType="separate"/>
            </w:r>
            <w:r w:rsidR="005A2A3F">
              <w:rPr>
                <w:noProof/>
                <w:webHidden/>
              </w:rPr>
              <w:t>5</w:t>
            </w:r>
            <w:r w:rsidR="00B65DEF">
              <w:rPr>
                <w:noProof/>
                <w:webHidden/>
              </w:rPr>
              <w:fldChar w:fldCharType="end"/>
            </w:r>
          </w:hyperlink>
        </w:p>
        <w:p w14:paraId="0C007887" w14:textId="268EFECD" w:rsidR="00B65DEF" w:rsidRDefault="008142BE">
          <w:pPr>
            <w:pStyle w:val="TDC3"/>
            <w:rPr>
              <w:rFonts w:asciiTheme="minorHAnsi" w:eastAsiaTheme="minorEastAsia" w:hAnsiTheme="minorHAnsi" w:cstheme="minorBidi"/>
              <w:noProof/>
              <w:szCs w:val="22"/>
              <w:lang w:eastAsia="es-MX"/>
            </w:rPr>
          </w:pPr>
          <w:hyperlink w:anchor="_Toc207224849" w:history="1">
            <w:r w:rsidR="00B65DEF" w:rsidRPr="0041668E">
              <w:rPr>
                <w:rStyle w:val="Hipervnculo"/>
                <w:rFonts w:eastAsia="Palatino Linotype" w:cs="Palatino Linotype"/>
                <w:noProof/>
              </w:rPr>
              <w:t xml:space="preserve">g) </w:t>
            </w:r>
            <w:r w:rsidR="00B65DEF" w:rsidRPr="0041668E">
              <w:rPr>
                <w:rStyle w:val="Hipervnculo"/>
                <w:noProof/>
              </w:rPr>
              <w:t>De la atención de la Prevención.</w:t>
            </w:r>
            <w:r w:rsidR="00B65DEF">
              <w:rPr>
                <w:noProof/>
                <w:webHidden/>
              </w:rPr>
              <w:tab/>
            </w:r>
            <w:r w:rsidR="00B65DEF">
              <w:rPr>
                <w:noProof/>
                <w:webHidden/>
              </w:rPr>
              <w:fldChar w:fldCharType="begin"/>
            </w:r>
            <w:r w:rsidR="00B65DEF">
              <w:rPr>
                <w:noProof/>
                <w:webHidden/>
              </w:rPr>
              <w:instrText xml:space="preserve"> PAGEREF _Toc207224849 \h </w:instrText>
            </w:r>
            <w:r w:rsidR="00B65DEF">
              <w:rPr>
                <w:noProof/>
                <w:webHidden/>
              </w:rPr>
            </w:r>
            <w:r w:rsidR="00B65DEF">
              <w:rPr>
                <w:noProof/>
                <w:webHidden/>
              </w:rPr>
              <w:fldChar w:fldCharType="separate"/>
            </w:r>
            <w:r w:rsidR="005A2A3F">
              <w:rPr>
                <w:noProof/>
                <w:webHidden/>
              </w:rPr>
              <w:t>6</w:t>
            </w:r>
            <w:r w:rsidR="00B65DEF">
              <w:rPr>
                <w:noProof/>
                <w:webHidden/>
              </w:rPr>
              <w:fldChar w:fldCharType="end"/>
            </w:r>
          </w:hyperlink>
        </w:p>
        <w:p w14:paraId="091C98E1" w14:textId="6844EF8B" w:rsidR="00B65DEF" w:rsidRDefault="008142BE">
          <w:pPr>
            <w:pStyle w:val="TDC3"/>
            <w:rPr>
              <w:rFonts w:asciiTheme="minorHAnsi" w:eastAsiaTheme="minorEastAsia" w:hAnsiTheme="minorHAnsi" w:cstheme="minorBidi"/>
              <w:noProof/>
              <w:szCs w:val="22"/>
              <w:lang w:eastAsia="es-MX"/>
            </w:rPr>
          </w:pPr>
          <w:hyperlink w:anchor="_Toc207224850" w:history="1">
            <w:r w:rsidR="00B65DEF" w:rsidRPr="0041668E">
              <w:rPr>
                <w:rStyle w:val="Hipervnculo"/>
                <w:noProof/>
              </w:rPr>
              <w:t>h) Cierre de instrucción.</w:t>
            </w:r>
            <w:r w:rsidR="00B65DEF">
              <w:rPr>
                <w:noProof/>
                <w:webHidden/>
              </w:rPr>
              <w:tab/>
            </w:r>
            <w:r w:rsidR="00B65DEF">
              <w:rPr>
                <w:noProof/>
                <w:webHidden/>
              </w:rPr>
              <w:fldChar w:fldCharType="begin"/>
            </w:r>
            <w:r w:rsidR="00B65DEF">
              <w:rPr>
                <w:noProof/>
                <w:webHidden/>
              </w:rPr>
              <w:instrText xml:space="preserve"> PAGEREF _Toc207224850 \h </w:instrText>
            </w:r>
            <w:r w:rsidR="00B65DEF">
              <w:rPr>
                <w:noProof/>
                <w:webHidden/>
              </w:rPr>
            </w:r>
            <w:r w:rsidR="00B65DEF">
              <w:rPr>
                <w:noProof/>
                <w:webHidden/>
              </w:rPr>
              <w:fldChar w:fldCharType="separate"/>
            </w:r>
            <w:r w:rsidR="005A2A3F">
              <w:rPr>
                <w:noProof/>
                <w:webHidden/>
              </w:rPr>
              <w:t>6</w:t>
            </w:r>
            <w:r w:rsidR="00B65DEF">
              <w:rPr>
                <w:noProof/>
                <w:webHidden/>
              </w:rPr>
              <w:fldChar w:fldCharType="end"/>
            </w:r>
          </w:hyperlink>
        </w:p>
        <w:p w14:paraId="2921AE4E" w14:textId="19C8141C" w:rsidR="00B65DEF" w:rsidRDefault="008142BE">
          <w:pPr>
            <w:pStyle w:val="TDC3"/>
            <w:rPr>
              <w:rFonts w:asciiTheme="minorHAnsi" w:eastAsiaTheme="minorEastAsia" w:hAnsiTheme="minorHAnsi" w:cstheme="minorBidi"/>
              <w:noProof/>
              <w:szCs w:val="22"/>
              <w:lang w:eastAsia="es-MX"/>
            </w:rPr>
          </w:pPr>
          <w:hyperlink w:anchor="_Toc207224851" w:history="1">
            <w:r w:rsidR="00B65DEF" w:rsidRPr="0041668E">
              <w:rPr>
                <w:rStyle w:val="Hipervnculo"/>
                <w:noProof/>
              </w:rPr>
              <w:t xml:space="preserve">i) </w:t>
            </w:r>
            <w:r w:rsidR="00B65DEF" w:rsidRPr="0041668E">
              <w:rPr>
                <w:rStyle w:val="Hipervnculo"/>
                <w:rFonts w:eastAsia="Palatino Linotype" w:cs="Palatino Linotype"/>
                <w:noProof/>
              </w:rPr>
              <w:t>Ampliación del término para resolver</w:t>
            </w:r>
            <w:r w:rsidR="00B65DEF" w:rsidRPr="0041668E">
              <w:rPr>
                <w:rStyle w:val="Hipervnculo"/>
                <w:noProof/>
              </w:rPr>
              <w:t>.</w:t>
            </w:r>
            <w:r w:rsidR="00B65DEF">
              <w:rPr>
                <w:noProof/>
                <w:webHidden/>
              </w:rPr>
              <w:tab/>
            </w:r>
            <w:r w:rsidR="00B65DEF">
              <w:rPr>
                <w:noProof/>
                <w:webHidden/>
              </w:rPr>
              <w:fldChar w:fldCharType="begin"/>
            </w:r>
            <w:r w:rsidR="00B65DEF">
              <w:rPr>
                <w:noProof/>
                <w:webHidden/>
              </w:rPr>
              <w:instrText xml:space="preserve"> PAGEREF _Toc207224851 \h </w:instrText>
            </w:r>
            <w:r w:rsidR="00B65DEF">
              <w:rPr>
                <w:noProof/>
                <w:webHidden/>
              </w:rPr>
            </w:r>
            <w:r w:rsidR="00B65DEF">
              <w:rPr>
                <w:noProof/>
                <w:webHidden/>
              </w:rPr>
              <w:fldChar w:fldCharType="separate"/>
            </w:r>
            <w:r w:rsidR="005A2A3F">
              <w:rPr>
                <w:noProof/>
                <w:webHidden/>
              </w:rPr>
              <w:t>6</w:t>
            </w:r>
            <w:r w:rsidR="00B65DEF">
              <w:rPr>
                <w:noProof/>
                <w:webHidden/>
              </w:rPr>
              <w:fldChar w:fldCharType="end"/>
            </w:r>
          </w:hyperlink>
        </w:p>
        <w:p w14:paraId="0C28B384" w14:textId="0C3356CA" w:rsidR="00B65DEF" w:rsidRDefault="008142BE">
          <w:pPr>
            <w:pStyle w:val="TDC1"/>
            <w:tabs>
              <w:tab w:val="right" w:leader="dot" w:pos="9034"/>
            </w:tabs>
            <w:rPr>
              <w:rFonts w:asciiTheme="minorHAnsi" w:eastAsiaTheme="minorEastAsia" w:hAnsiTheme="minorHAnsi" w:cstheme="minorBidi"/>
              <w:noProof/>
              <w:szCs w:val="22"/>
              <w:lang w:eastAsia="es-MX"/>
            </w:rPr>
          </w:pPr>
          <w:hyperlink w:anchor="_Toc207224852" w:history="1">
            <w:r w:rsidR="00B65DEF" w:rsidRPr="0041668E">
              <w:rPr>
                <w:rStyle w:val="Hipervnculo"/>
                <w:rFonts w:eastAsiaTheme="minorHAnsi"/>
                <w:noProof/>
                <w:lang w:eastAsia="en-US"/>
              </w:rPr>
              <w:t>CONSIDERANDOS</w:t>
            </w:r>
            <w:r w:rsidR="00B65DEF">
              <w:rPr>
                <w:noProof/>
                <w:webHidden/>
              </w:rPr>
              <w:tab/>
            </w:r>
            <w:r w:rsidR="00B65DEF">
              <w:rPr>
                <w:noProof/>
                <w:webHidden/>
              </w:rPr>
              <w:fldChar w:fldCharType="begin"/>
            </w:r>
            <w:r w:rsidR="00B65DEF">
              <w:rPr>
                <w:noProof/>
                <w:webHidden/>
              </w:rPr>
              <w:instrText xml:space="preserve"> PAGEREF _Toc207224852 \h </w:instrText>
            </w:r>
            <w:r w:rsidR="00B65DEF">
              <w:rPr>
                <w:noProof/>
                <w:webHidden/>
              </w:rPr>
            </w:r>
            <w:r w:rsidR="00B65DEF">
              <w:rPr>
                <w:noProof/>
                <w:webHidden/>
              </w:rPr>
              <w:fldChar w:fldCharType="separate"/>
            </w:r>
            <w:r w:rsidR="005A2A3F">
              <w:rPr>
                <w:noProof/>
                <w:webHidden/>
              </w:rPr>
              <w:t>9</w:t>
            </w:r>
            <w:r w:rsidR="00B65DEF">
              <w:rPr>
                <w:noProof/>
                <w:webHidden/>
              </w:rPr>
              <w:fldChar w:fldCharType="end"/>
            </w:r>
          </w:hyperlink>
        </w:p>
        <w:p w14:paraId="107B85E1" w14:textId="3657D4F8" w:rsidR="00B65DEF" w:rsidRDefault="008142BE">
          <w:pPr>
            <w:pStyle w:val="TDC2"/>
            <w:rPr>
              <w:rFonts w:asciiTheme="minorHAnsi" w:eastAsiaTheme="minorEastAsia" w:hAnsiTheme="minorHAnsi" w:cstheme="minorBidi"/>
              <w:noProof/>
              <w:szCs w:val="22"/>
              <w:lang w:eastAsia="es-MX"/>
            </w:rPr>
          </w:pPr>
          <w:hyperlink w:anchor="_Toc207224853" w:history="1">
            <w:r w:rsidR="00B65DEF" w:rsidRPr="0041668E">
              <w:rPr>
                <w:rStyle w:val="Hipervnculo"/>
                <w:rFonts w:eastAsia="Batang"/>
                <w:noProof/>
              </w:rPr>
              <w:t>PRIMERO. Procedibilidad</w:t>
            </w:r>
            <w:r w:rsidR="00B65DEF">
              <w:rPr>
                <w:noProof/>
                <w:webHidden/>
              </w:rPr>
              <w:tab/>
            </w:r>
            <w:r w:rsidR="00B65DEF">
              <w:rPr>
                <w:noProof/>
                <w:webHidden/>
              </w:rPr>
              <w:fldChar w:fldCharType="begin"/>
            </w:r>
            <w:r w:rsidR="00B65DEF">
              <w:rPr>
                <w:noProof/>
                <w:webHidden/>
              </w:rPr>
              <w:instrText xml:space="preserve"> PAGEREF _Toc207224853 \h </w:instrText>
            </w:r>
            <w:r w:rsidR="00B65DEF">
              <w:rPr>
                <w:noProof/>
                <w:webHidden/>
              </w:rPr>
            </w:r>
            <w:r w:rsidR="00B65DEF">
              <w:rPr>
                <w:noProof/>
                <w:webHidden/>
              </w:rPr>
              <w:fldChar w:fldCharType="separate"/>
            </w:r>
            <w:r w:rsidR="005A2A3F">
              <w:rPr>
                <w:noProof/>
                <w:webHidden/>
              </w:rPr>
              <w:t>9</w:t>
            </w:r>
            <w:r w:rsidR="00B65DEF">
              <w:rPr>
                <w:noProof/>
                <w:webHidden/>
              </w:rPr>
              <w:fldChar w:fldCharType="end"/>
            </w:r>
          </w:hyperlink>
        </w:p>
        <w:p w14:paraId="6DCBC1AE" w14:textId="134A8067" w:rsidR="00B65DEF" w:rsidRDefault="008142BE">
          <w:pPr>
            <w:pStyle w:val="TDC3"/>
            <w:rPr>
              <w:rFonts w:asciiTheme="minorHAnsi" w:eastAsiaTheme="minorEastAsia" w:hAnsiTheme="minorHAnsi" w:cstheme="minorBidi"/>
              <w:noProof/>
              <w:szCs w:val="22"/>
              <w:lang w:eastAsia="es-MX"/>
            </w:rPr>
          </w:pPr>
          <w:hyperlink w:anchor="_Toc207224854" w:history="1">
            <w:r w:rsidR="00B65DEF" w:rsidRPr="0041668E">
              <w:rPr>
                <w:rStyle w:val="Hipervnculo"/>
                <w:noProof/>
              </w:rPr>
              <w:t>a) Competencia del Instituto</w:t>
            </w:r>
            <w:r w:rsidR="00B65DEF">
              <w:rPr>
                <w:noProof/>
                <w:webHidden/>
              </w:rPr>
              <w:tab/>
            </w:r>
            <w:r w:rsidR="00B65DEF">
              <w:rPr>
                <w:noProof/>
                <w:webHidden/>
              </w:rPr>
              <w:fldChar w:fldCharType="begin"/>
            </w:r>
            <w:r w:rsidR="00B65DEF">
              <w:rPr>
                <w:noProof/>
                <w:webHidden/>
              </w:rPr>
              <w:instrText xml:space="preserve"> PAGEREF _Toc207224854 \h </w:instrText>
            </w:r>
            <w:r w:rsidR="00B65DEF">
              <w:rPr>
                <w:noProof/>
                <w:webHidden/>
              </w:rPr>
            </w:r>
            <w:r w:rsidR="00B65DEF">
              <w:rPr>
                <w:noProof/>
                <w:webHidden/>
              </w:rPr>
              <w:fldChar w:fldCharType="separate"/>
            </w:r>
            <w:r w:rsidR="005A2A3F">
              <w:rPr>
                <w:noProof/>
                <w:webHidden/>
              </w:rPr>
              <w:t>9</w:t>
            </w:r>
            <w:r w:rsidR="00B65DEF">
              <w:rPr>
                <w:noProof/>
                <w:webHidden/>
              </w:rPr>
              <w:fldChar w:fldCharType="end"/>
            </w:r>
          </w:hyperlink>
        </w:p>
        <w:p w14:paraId="3CD23236" w14:textId="44C8CBCA" w:rsidR="00B65DEF" w:rsidRDefault="008142BE">
          <w:pPr>
            <w:pStyle w:val="TDC3"/>
            <w:rPr>
              <w:rFonts w:asciiTheme="minorHAnsi" w:eastAsiaTheme="minorEastAsia" w:hAnsiTheme="minorHAnsi" w:cstheme="minorBidi"/>
              <w:noProof/>
              <w:szCs w:val="22"/>
              <w:lang w:eastAsia="es-MX"/>
            </w:rPr>
          </w:pPr>
          <w:hyperlink w:anchor="_Toc207224855" w:history="1">
            <w:r w:rsidR="00B65DEF" w:rsidRPr="0041668E">
              <w:rPr>
                <w:rStyle w:val="Hipervnculo"/>
                <w:noProof/>
              </w:rPr>
              <w:t>b) Legitimidad de la parte recurrente</w:t>
            </w:r>
            <w:r w:rsidR="00B65DEF">
              <w:rPr>
                <w:noProof/>
                <w:webHidden/>
              </w:rPr>
              <w:tab/>
            </w:r>
            <w:r w:rsidR="00B65DEF">
              <w:rPr>
                <w:noProof/>
                <w:webHidden/>
              </w:rPr>
              <w:fldChar w:fldCharType="begin"/>
            </w:r>
            <w:r w:rsidR="00B65DEF">
              <w:rPr>
                <w:noProof/>
                <w:webHidden/>
              </w:rPr>
              <w:instrText xml:space="preserve"> PAGEREF _Toc207224855 \h </w:instrText>
            </w:r>
            <w:r w:rsidR="00B65DEF">
              <w:rPr>
                <w:noProof/>
                <w:webHidden/>
              </w:rPr>
            </w:r>
            <w:r w:rsidR="00B65DEF">
              <w:rPr>
                <w:noProof/>
                <w:webHidden/>
              </w:rPr>
              <w:fldChar w:fldCharType="separate"/>
            </w:r>
            <w:r w:rsidR="005A2A3F">
              <w:rPr>
                <w:noProof/>
                <w:webHidden/>
              </w:rPr>
              <w:t>10</w:t>
            </w:r>
            <w:r w:rsidR="00B65DEF">
              <w:rPr>
                <w:noProof/>
                <w:webHidden/>
              </w:rPr>
              <w:fldChar w:fldCharType="end"/>
            </w:r>
          </w:hyperlink>
        </w:p>
        <w:p w14:paraId="66DD2126" w14:textId="69E6C1AC" w:rsidR="00B65DEF" w:rsidRDefault="008142BE">
          <w:pPr>
            <w:pStyle w:val="TDC3"/>
            <w:rPr>
              <w:rFonts w:asciiTheme="minorHAnsi" w:eastAsiaTheme="minorEastAsia" w:hAnsiTheme="minorHAnsi" w:cstheme="minorBidi"/>
              <w:noProof/>
              <w:szCs w:val="22"/>
              <w:lang w:eastAsia="es-MX"/>
            </w:rPr>
          </w:pPr>
          <w:hyperlink w:anchor="_Toc207224856" w:history="1">
            <w:r w:rsidR="00B65DEF" w:rsidRPr="0041668E">
              <w:rPr>
                <w:rStyle w:val="Hipervnculo"/>
                <w:rFonts w:eastAsia="Calibri"/>
                <w:noProof/>
                <w:lang w:eastAsia="es-ES_tradnl"/>
              </w:rPr>
              <w:t>c) Plazo para interponer el recurso</w:t>
            </w:r>
            <w:r w:rsidR="00B65DEF">
              <w:rPr>
                <w:noProof/>
                <w:webHidden/>
              </w:rPr>
              <w:tab/>
            </w:r>
            <w:r w:rsidR="00B65DEF">
              <w:rPr>
                <w:noProof/>
                <w:webHidden/>
              </w:rPr>
              <w:fldChar w:fldCharType="begin"/>
            </w:r>
            <w:r w:rsidR="00B65DEF">
              <w:rPr>
                <w:noProof/>
                <w:webHidden/>
              </w:rPr>
              <w:instrText xml:space="preserve"> PAGEREF _Toc207224856 \h </w:instrText>
            </w:r>
            <w:r w:rsidR="00B65DEF">
              <w:rPr>
                <w:noProof/>
                <w:webHidden/>
              </w:rPr>
            </w:r>
            <w:r w:rsidR="00B65DEF">
              <w:rPr>
                <w:noProof/>
                <w:webHidden/>
              </w:rPr>
              <w:fldChar w:fldCharType="separate"/>
            </w:r>
            <w:r w:rsidR="005A2A3F">
              <w:rPr>
                <w:noProof/>
                <w:webHidden/>
              </w:rPr>
              <w:t>11</w:t>
            </w:r>
            <w:r w:rsidR="00B65DEF">
              <w:rPr>
                <w:noProof/>
                <w:webHidden/>
              </w:rPr>
              <w:fldChar w:fldCharType="end"/>
            </w:r>
          </w:hyperlink>
        </w:p>
        <w:p w14:paraId="4C4D9F59" w14:textId="38E5FC6A" w:rsidR="00B65DEF" w:rsidRDefault="008142BE">
          <w:pPr>
            <w:pStyle w:val="TDC3"/>
            <w:rPr>
              <w:rFonts w:asciiTheme="minorHAnsi" w:eastAsiaTheme="minorEastAsia" w:hAnsiTheme="minorHAnsi" w:cstheme="minorBidi"/>
              <w:noProof/>
              <w:szCs w:val="22"/>
              <w:lang w:eastAsia="es-MX"/>
            </w:rPr>
          </w:pPr>
          <w:hyperlink w:anchor="_Toc207224857" w:history="1">
            <w:r w:rsidR="00B65DEF" w:rsidRPr="0041668E">
              <w:rPr>
                <w:rStyle w:val="Hipervnculo"/>
                <w:rFonts w:eastAsia="Calibri"/>
                <w:noProof/>
                <w:lang w:eastAsia="es-ES_tradnl"/>
              </w:rPr>
              <w:t>d) Causal de procedencia</w:t>
            </w:r>
            <w:r w:rsidR="00B65DEF">
              <w:rPr>
                <w:noProof/>
                <w:webHidden/>
              </w:rPr>
              <w:tab/>
            </w:r>
            <w:r w:rsidR="00B65DEF">
              <w:rPr>
                <w:noProof/>
                <w:webHidden/>
              </w:rPr>
              <w:fldChar w:fldCharType="begin"/>
            </w:r>
            <w:r w:rsidR="00B65DEF">
              <w:rPr>
                <w:noProof/>
                <w:webHidden/>
              </w:rPr>
              <w:instrText xml:space="preserve"> PAGEREF _Toc207224857 \h </w:instrText>
            </w:r>
            <w:r w:rsidR="00B65DEF">
              <w:rPr>
                <w:noProof/>
                <w:webHidden/>
              </w:rPr>
            </w:r>
            <w:r w:rsidR="00B65DEF">
              <w:rPr>
                <w:noProof/>
                <w:webHidden/>
              </w:rPr>
              <w:fldChar w:fldCharType="separate"/>
            </w:r>
            <w:r w:rsidR="005A2A3F">
              <w:rPr>
                <w:noProof/>
                <w:webHidden/>
              </w:rPr>
              <w:t>12</w:t>
            </w:r>
            <w:r w:rsidR="00B65DEF">
              <w:rPr>
                <w:noProof/>
                <w:webHidden/>
              </w:rPr>
              <w:fldChar w:fldCharType="end"/>
            </w:r>
          </w:hyperlink>
        </w:p>
        <w:p w14:paraId="58E6EC6D" w14:textId="14432D21" w:rsidR="00B65DEF" w:rsidRDefault="008142BE">
          <w:pPr>
            <w:pStyle w:val="TDC3"/>
            <w:rPr>
              <w:rFonts w:asciiTheme="minorHAnsi" w:eastAsiaTheme="minorEastAsia" w:hAnsiTheme="minorHAnsi" w:cstheme="minorBidi"/>
              <w:noProof/>
              <w:szCs w:val="22"/>
              <w:lang w:eastAsia="es-MX"/>
            </w:rPr>
          </w:pPr>
          <w:hyperlink w:anchor="_Toc207224858" w:history="1">
            <w:r w:rsidR="00B65DEF" w:rsidRPr="0041668E">
              <w:rPr>
                <w:rStyle w:val="Hipervnculo"/>
                <w:noProof/>
              </w:rPr>
              <w:t>e) Requisitos formales para la interposición del recurso</w:t>
            </w:r>
            <w:r w:rsidR="00B65DEF">
              <w:rPr>
                <w:noProof/>
                <w:webHidden/>
              </w:rPr>
              <w:tab/>
            </w:r>
            <w:r w:rsidR="00B65DEF">
              <w:rPr>
                <w:noProof/>
                <w:webHidden/>
              </w:rPr>
              <w:fldChar w:fldCharType="begin"/>
            </w:r>
            <w:r w:rsidR="00B65DEF">
              <w:rPr>
                <w:noProof/>
                <w:webHidden/>
              </w:rPr>
              <w:instrText xml:space="preserve"> PAGEREF _Toc207224858 \h </w:instrText>
            </w:r>
            <w:r w:rsidR="00B65DEF">
              <w:rPr>
                <w:noProof/>
                <w:webHidden/>
              </w:rPr>
            </w:r>
            <w:r w:rsidR="00B65DEF">
              <w:rPr>
                <w:noProof/>
                <w:webHidden/>
              </w:rPr>
              <w:fldChar w:fldCharType="separate"/>
            </w:r>
            <w:r w:rsidR="005A2A3F">
              <w:rPr>
                <w:noProof/>
                <w:webHidden/>
              </w:rPr>
              <w:t>12</w:t>
            </w:r>
            <w:r w:rsidR="00B65DEF">
              <w:rPr>
                <w:noProof/>
                <w:webHidden/>
              </w:rPr>
              <w:fldChar w:fldCharType="end"/>
            </w:r>
          </w:hyperlink>
        </w:p>
        <w:p w14:paraId="2E08FC4C" w14:textId="282EBA50" w:rsidR="00B65DEF" w:rsidRDefault="008142BE">
          <w:pPr>
            <w:pStyle w:val="TDC3"/>
            <w:rPr>
              <w:rFonts w:asciiTheme="minorHAnsi" w:eastAsiaTheme="minorEastAsia" w:hAnsiTheme="minorHAnsi" w:cstheme="minorBidi"/>
              <w:noProof/>
              <w:szCs w:val="22"/>
              <w:lang w:eastAsia="es-MX"/>
            </w:rPr>
          </w:pPr>
          <w:hyperlink w:anchor="_Toc207224859" w:history="1">
            <w:r w:rsidR="00B65DEF" w:rsidRPr="0041668E">
              <w:rPr>
                <w:rStyle w:val="Hipervnculo"/>
                <w:noProof/>
              </w:rPr>
              <w:t>f) Conclusión</w:t>
            </w:r>
            <w:r w:rsidR="00B65DEF">
              <w:rPr>
                <w:noProof/>
                <w:webHidden/>
              </w:rPr>
              <w:tab/>
            </w:r>
            <w:r w:rsidR="00B65DEF">
              <w:rPr>
                <w:noProof/>
                <w:webHidden/>
              </w:rPr>
              <w:fldChar w:fldCharType="begin"/>
            </w:r>
            <w:r w:rsidR="00B65DEF">
              <w:rPr>
                <w:noProof/>
                <w:webHidden/>
              </w:rPr>
              <w:instrText xml:space="preserve"> PAGEREF _Toc207224859 \h </w:instrText>
            </w:r>
            <w:r w:rsidR="00B65DEF">
              <w:rPr>
                <w:noProof/>
                <w:webHidden/>
              </w:rPr>
            </w:r>
            <w:r w:rsidR="00B65DEF">
              <w:rPr>
                <w:noProof/>
                <w:webHidden/>
              </w:rPr>
              <w:fldChar w:fldCharType="separate"/>
            </w:r>
            <w:r w:rsidR="005A2A3F">
              <w:rPr>
                <w:noProof/>
                <w:webHidden/>
              </w:rPr>
              <w:t>26</w:t>
            </w:r>
            <w:r w:rsidR="00B65DEF">
              <w:rPr>
                <w:noProof/>
                <w:webHidden/>
              </w:rPr>
              <w:fldChar w:fldCharType="end"/>
            </w:r>
          </w:hyperlink>
        </w:p>
        <w:p w14:paraId="29C3BC43" w14:textId="32F9D29B" w:rsidR="00B65DEF" w:rsidRDefault="008142BE">
          <w:pPr>
            <w:pStyle w:val="TDC1"/>
            <w:tabs>
              <w:tab w:val="right" w:leader="dot" w:pos="9034"/>
            </w:tabs>
            <w:rPr>
              <w:rFonts w:asciiTheme="minorHAnsi" w:eastAsiaTheme="minorEastAsia" w:hAnsiTheme="minorHAnsi" w:cstheme="minorBidi"/>
              <w:noProof/>
              <w:szCs w:val="22"/>
              <w:lang w:eastAsia="es-MX"/>
            </w:rPr>
          </w:pPr>
          <w:hyperlink w:anchor="_Toc207224860" w:history="1">
            <w:r w:rsidR="00B65DEF" w:rsidRPr="0041668E">
              <w:rPr>
                <w:rStyle w:val="Hipervnculo"/>
                <w:noProof/>
              </w:rPr>
              <w:t>RESUELVE</w:t>
            </w:r>
            <w:r w:rsidR="00B65DEF">
              <w:rPr>
                <w:noProof/>
                <w:webHidden/>
              </w:rPr>
              <w:tab/>
            </w:r>
            <w:r w:rsidR="00B65DEF">
              <w:rPr>
                <w:noProof/>
                <w:webHidden/>
              </w:rPr>
              <w:fldChar w:fldCharType="begin"/>
            </w:r>
            <w:r w:rsidR="00B65DEF">
              <w:rPr>
                <w:noProof/>
                <w:webHidden/>
              </w:rPr>
              <w:instrText xml:space="preserve"> PAGEREF _Toc207224860 \h </w:instrText>
            </w:r>
            <w:r w:rsidR="00B65DEF">
              <w:rPr>
                <w:noProof/>
                <w:webHidden/>
              </w:rPr>
            </w:r>
            <w:r w:rsidR="00B65DEF">
              <w:rPr>
                <w:noProof/>
                <w:webHidden/>
              </w:rPr>
              <w:fldChar w:fldCharType="separate"/>
            </w:r>
            <w:r w:rsidR="005A2A3F">
              <w:rPr>
                <w:noProof/>
                <w:webHidden/>
              </w:rPr>
              <w:t>26</w:t>
            </w:r>
            <w:r w:rsidR="00B65DEF">
              <w:rPr>
                <w:noProof/>
                <w:webHidden/>
              </w:rPr>
              <w:fldChar w:fldCharType="end"/>
            </w:r>
          </w:hyperlink>
        </w:p>
        <w:p w14:paraId="0C82FD7A" w14:textId="0517301B" w:rsidR="009B2945" w:rsidRPr="00B65DEF" w:rsidRDefault="00AE3DA7" w:rsidP="00B65DEF">
          <w:pPr>
            <w:spacing w:line="240" w:lineRule="auto"/>
            <w:rPr>
              <w:b/>
              <w:bCs/>
              <w:szCs w:val="22"/>
              <w:lang w:val="es-ES"/>
            </w:rPr>
          </w:pPr>
          <w:r w:rsidRPr="00B65DEF">
            <w:rPr>
              <w:b/>
              <w:bCs/>
              <w:szCs w:val="22"/>
              <w:lang w:val="es-ES"/>
            </w:rPr>
            <w:fldChar w:fldCharType="end"/>
          </w:r>
        </w:p>
      </w:sdtContent>
    </w:sdt>
    <w:p w14:paraId="603A07E2" w14:textId="77777777" w:rsidR="00646436" w:rsidRPr="00B65DEF" w:rsidRDefault="00646436" w:rsidP="00B65DEF">
      <w:pPr>
        <w:rPr>
          <w:rFonts w:cs="Tahoma"/>
          <w:szCs w:val="22"/>
        </w:rPr>
        <w:sectPr w:rsidR="00646436" w:rsidRPr="00B65DE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676F21D" w:rsidR="00775BFC" w:rsidRPr="00B65DEF" w:rsidRDefault="00775BFC" w:rsidP="00B65DEF">
      <w:pPr>
        <w:rPr>
          <w:szCs w:val="22"/>
        </w:rPr>
      </w:pPr>
      <w:r w:rsidRPr="00B65DEF">
        <w:rPr>
          <w:szCs w:val="22"/>
        </w:rPr>
        <w:lastRenderedPageBreak/>
        <w:t>Resolución del Pleno del Instituto de Transparencia, Acceso a la Información Pública y Protección de Datos Personales del Estado de México y Municipios, con domicilio en Metepec, Estado de México, de</w:t>
      </w:r>
      <w:r w:rsidR="0098138C" w:rsidRPr="00B65DEF">
        <w:rPr>
          <w:szCs w:val="22"/>
        </w:rPr>
        <w:t>l</w:t>
      </w:r>
      <w:r w:rsidRPr="00B65DEF">
        <w:rPr>
          <w:szCs w:val="22"/>
        </w:rPr>
        <w:t xml:space="preserve"> </w:t>
      </w:r>
      <w:r w:rsidR="0075088B" w:rsidRPr="00B65DEF">
        <w:rPr>
          <w:b/>
          <w:szCs w:val="22"/>
        </w:rPr>
        <w:t>veintisiete</w:t>
      </w:r>
      <w:r w:rsidR="008E23D3" w:rsidRPr="00B65DEF">
        <w:rPr>
          <w:b/>
          <w:szCs w:val="22"/>
        </w:rPr>
        <w:t xml:space="preserve"> de agosto</w:t>
      </w:r>
      <w:r w:rsidR="00FC15AD" w:rsidRPr="00B65DEF">
        <w:rPr>
          <w:b/>
          <w:szCs w:val="22"/>
        </w:rPr>
        <w:t xml:space="preserve"> </w:t>
      </w:r>
      <w:r w:rsidRPr="00B65DEF">
        <w:rPr>
          <w:b/>
          <w:szCs w:val="22"/>
        </w:rPr>
        <w:t xml:space="preserve">de dos mil </w:t>
      </w:r>
      <w:r w:rsidR="00FC15AD" w:rsidRPr="00B65DEF">
        <w:rPr>
          <w:b/>
          <w:szCs w:val="22"/>
        </w:rPr>
        <w:t>veinticinco</w:t>
      </w:r>
      <w:r w:rsidR="00BB704F" w:rsidRPr="00B65DEF">
        <w:rPr>
          <w:b/>
          <w:szCs w:val="22"/>
        </w:rPr>
        <w:t>.</w:t>
      </w:r>
    </w:p>
    <w:p w14:paraId="0AF3AAC4" w14:textId="77777777" w:rsidR="00775BFC" w:rsidRPr="00B65DEF" w:rsidRDefault="00775BFC" w:rsidP="00B65DEF">
      <w:pPr>
        <w:rPr>
          <w:szCs w:val="22"/>
        </w:rPr>
      </w:pPr>
    </w:p>
    <w:p w14:paraId="40EAE038" w14:textId="61945CFD" w:rsidR="00775BFC" w:rsidRPr="00B65DEF" w:rsidRDefault="00775BFC" w:rsidP="00B65DEF">
      <w:pPr>
        <w:rPr>
          <w:szCs w:val="22"/>
        </w:rPr>
      </w:pPr>
      <w:r w:rsidRPr="00B65DEF">
        <w:rPr>
          <w:b/>
          <w:szCs w:val="22"/>
        </w:rPr>
        <w:t xml:space="preserve">VISTO </w:t>
      </w:r>
      <w:r w:rsidR="00FC15AD" w:rsidRPr="00B65DEF">
        <w:rPr>
          <w:szCs w:val="22"/>
        </w:rPr>
        <w:t>el</w:t>
      </w:r>
      <w:r w:rsidRPr="00B65DEF">
        <w:rPr>
          <w:szCs w:val="22"/>
        </w:rPr>
        <w:t xml:space="preserve"> expedient</w:t>
      </w:r>
      <w:r w:rsidR="00FC15AD" w:rsidRPr="00B65DEF">
        <w:rPr>
          <w:szCs w:val="22"/>
        </w:rPr>
        <w:t>e</w:t>
      </w:r>
      <w:r w:rsidRPr="00B65DEF">
        <w:rPr>
          <w:szCs w:val="22"/>
        </w:rPr>
        <w:t xml:space="preserve"> formado con motivo del Recurso de Revisión </w:t>
      </w:r>
      <w:r w:rsidR="0075088B" w:rsidRPr="00B65DEF">
        <w:rPr>
          <w:rFonts w:eastAsia="Calibri" w:cs="Tahoma"/>
          <w:b/>
          <w:szCs w:val="22"/>
          <w:lang w:eastAsia="en-US"/>
        </w:rPr>
        <w:t>07697/INFOEM/AD/RR/2024</w:t>
      </w:r>
      <w:r w:rsidR="0098138C" w:rsidRPr="00B65DEF">
        <w:rPr>
          <w:rFonts w:eastAsia="Calibri" w:cs="Tahoma"/>
          <w:b/>
          <w:szCs w:val="22"/>
          <w:lang w:eastAsia="en-US"/>
        </w:rPr>
        <w:t xml:space="preserve"> </w:t>
      </w:r>
      <w:r w:rsidRPr="00B65DEF">
        <w:rPr>
          <w:szCs w:val="22"/>
        </w:rPr>
        <w:t xml:space="preserve">interpuesto por </w:t>
      </w:r>
      <w:r w:rsidR="00CA0415">
        <w:rPr>
          <w:b/>
          <w:bCs/>
          <w:szCs w:val="22"/>
        </w:rPr>
        <w:t>XXXXX XXXXXXXXX XXXXXX XXXXX</w:t>
      </w:r>
      <w:r w:rsidRPr="00B65DEF">
        <w:rPr>
          <w:szCs w:val="22"/>
        </w:rPr>
        <w:t xml:space="preserve">, a quien en lo subsecuente se le denominará </w:t>
      </w:r>
      <w:r w:rsidRPr="00B65DEF">
        <w:rPr>
          <w:b/>
          <w:bCs/>
          <w:szCs w:val="22"/>
        </w:rPr>
        <w:t>LA PARTE RECURRENTE</w:t>
      </w:r>
      <w:r w:rsidRPr="00B65DEF">
        <w:rPr>
          <w:szCs w:val="22"/>
        </w:rPr>
        <w:t xml:space="preserve">, en contra de </w:t>
      </w:r>
      <w:r w:rsidR="0007075E" w:rsidRPr="00B65DEF">
        <w:rPr>
          <w:szCs w:val="22"/>
        </w:rPr>
        <w:t xml:space="preserve">la falta de </w:t>
      </w:r>
      <w:r w:rsidRPr="00B65DEF">
        <w:rPr>
          <w:szCs w:val="22"/>
        </w:rPr>
        <w:t xml:space="preserve">respuesta </w:t>
      </w:r>
      <w:r w:rsidR="0007075E" w:rsidRPr="00B65DEF">
        <w:rPr>
          <w:szCs w:val="22"/>
        </w:rPr>
        <w:t>d</w:t>
      </w:r>
      <w:r w:rsidR="00F971B1" w:rsidRPr="00B65DEF">
        <w:rPr>
          <w:szCs w:val="22"/>
        </w:rPr>
        <w:t>el</w:t>
      </w:r>
      <w:r w:rsidRPr="00B65DEF">
        <w:rPr>
          <w:szCs w:val="22"/>
        </w:rPr>
        <w:t xml:space="preserve"> </w:t>
      </w:r>
      <w:r w:rsidR="00D73113" w:rsidRPr="00B65DEF">
        <w:rPr>
          <w:b/>
          <w:bCs/>
          <w:szCs w:val="22"/>
        </w:rPr>
        <w:t>Ayuntamiento de la Paz</w:t>
      </w:r>
      <w:r w:rsidRPr="00B65DEF">
        <w:rPr>
          <w:szCs w:val="22"/>
        </w:rPr>
        <w:t xml:space="preserve">, en adelante </w:t>
      </w:r>
      <w:r w:rsidRPr="00B65DEF">
        <w:rPr>
          <w:b/>
          <w:bCs/>
          <w:szCs w:val="22"/>
        </w:rPr>
        <w:t>EL SUJETO OBLIGADO</w:t>
      </w:r>
      <w:r w:rsidR="00F971B1" w:rsidRPr="00B65DEF">
        <w:rPr>
          <w:b/>
          <w:bCs/>
          <w:szCs w:val="22"/>
        </w:rPr>
        <w:t xml:space="preserve"> </w:t>
      </w:r>
      <w:r w:rsidR="00F971B1" w:rsidRPr="00B65DEF">
        <w:rPr>
          <w:szCs w:val="22"/>
        </w:rPr>
        <w:t xml:space="preserve">o </w:t>
      </w:r>
      <w:r w:rsidR="00F971B1" w:rsidRPr="00B65DEF">
        <w:rPr>
          <w:b/>
          <w:szCs w:val="22"/>
        </w:rPr>
        <w:t>RESPONSABLE</w:t>
      </w:r>
      <w:r w:rsidRPr="00B65DEF">
        <w:rPr>
          <w:rFonts w:eastAsia="Calibri"/>
          <w:szCs w:val="22"/>
          <w:lang w:eastAsia="en-US"/>
        </w:rPr>
        <w:t xml:space="preserve">, </w:t>
      </w:r>
      <w:r w:rsidRPr="00B65DEF">
        <w:rPr>
          <w:szCs w:val="22"/>
        </w:rPr>
        <w:t>se emite la presente Resolución con base en los Antecedentes y Considerandos que se exponen a continuación:</w:t>
      </w:r>
    </w:p>
    <w:p w14:paraId="2116968C" w14:textId="77777777" w:rsidR="00775BFC" w:rsidRPr="00B65DEF" w:rsidRDefault="00775BFC" w:rsidP="00B65DEF">
      <w:pPr>
        <w:rPr>
          <w:szCs w:val="22"/>
        </w:rPr>
      </w:pPr>
    </w:p>
    <w:p w14:paraId="5A444FB6" w14:textId="639D3567" w:rsidR="00664420" w:rsidRPr="00B65DEF" w:rsidRDefault="00664420" w:rsidP="00B65DEF">
      <w:pPr>
        <w:pStyle w:val="Ttulo1"/>
        <w:rPr>
          <w:szCs w:val="22"/>
        </w:rPr>
      </w:pPr>
      <w:bookmarkStart w:id="2" w:name="_Toc207224838"/>
      <w:r w:rsidRPr="00B65DEF">
        <w:rPr>
          <w:szCs w:val="22"/>
        </w:rPr>
        <w:t>ANTECEDENTES</w:t>
      </w:r>
      <w:bookmarkEnd w:id="2"/>
    </w:p>
    <w:p w14:paraId="5CB5034E" w14:textId="77777777" w:rsidR="00AC2DB8" w:rsidRPr="00B65DEF" w:rsidRDefault="00AC2DB8" w:rsidP="00B65DEF">
      <w:pPr>
        <w:rPr>
          <w:szCs w:val="22"/>
        </w:rPr>
      </w:pPr>
    </w:p>
    <w:p w14:paraId="09B2D38F" w14:textId="4004EFF4" w:rsidR="00664420" w:rsidRPr="00B65DEF" w:rsidRDefault="00E37A3F" w:rsidP="00B65DEF">
      <w:pPr>
        <w:pStyle w:val="Ttulo2"/>
        <w:rPr>
          <w:szCs w:val="22"/>
        </w:rPr>
      </w:pPr>
      <w:bookmarkStart w:id="3" w:name="_Toc207224839"/>
      <w:r w:rsidRPr="00B65DEF">
        <w:rPr>
          <w:szCs w:val="22"/>
        </w:rPr>
        <w:t xml:space="preserve">DE LA SOLICITUD DE </w:t>
      </w:r>
      <w:r w:rsidR="007602D9" w:rsidRPr="00B65DEF">
        <w:rPr>
          <w:szCs w:val="22"/>
        </w:rPr>
        <w:t>ACCESO A DATOS PERSONALES</w:t>
      </w:r>
      <w:bookmarkEnd w:id="3"/>
      <w:r w:rsidR="007602D9" w:rsidRPr="00B65DEF">
        <w:rPr>
          <w:szCs w:val="22"/>
        </w:rPr>
        <w:t xml:space="preserve"> </w:t>
      </w:r>
    </w:p>
    <w:p w14:paraId="7B7535DF" w14:textId="77777777" w:rsidR="00E37A3F" w:rsidRPr="00B65DEF" w:rsidRDefault="00E37A3F" w:rsidP="00B65DEF">
      <w:pPr>
        <w:rPr>
          <w:szCs w:val="22"/>
        </w:rPr>
      </w:pPr>
    </w:p>
    <w:p w14:paraId="2C6AD1A5" w14:textId="778EC82E" w:rsidR="00664420" w:rsidRPr="00B65DEF" w:rsidRDefault="00E37A3F" w:rsidP="00B65DEF">
      <w:pPr>
        <w:pStyle w:val="Ttulo3"/>
        <w:rPr>
          <w:szCs w:val="22"/>
        </w:rPr>
      </w:pPr>
      <w:bookmarkStart w:id="4" w:name="_Toc207224840"/>
      <w:r w:rsidRPr="00B65DEF">
        <w:rPr>
          <w:szCs w:val="22"/>
        </w:rPr>
        <w:t xml:space="preserve">a) </w:t>
      </w:r>
      <w:r w:rsidR="006B10B0" w:rsidRPr="00B65DEF">
        <w:rPr>
          <w:szCs w:val="22"/>
        </w:rPr>
        <w:t>S</w:t>
      </w:r>
      <w:r w:rsidR="00664420" w:rsidRPr="00B65DEF">
        <w:rPr>
          <w:szCs w:val="22"/>
        </w:rPr>
        <w:t xml:space="preserve">olicitud de </w:t>
      </w:r>
      <w:r w:rsidR="00C40140" w:rsidRPr="00B65DEF">
        <w:rPr>
          <w:szCs w:val="22"/>
        </w:rPr>
        <w:t>Acceso a D</w:t>
      </w:r>
      <w:r w:rsidR="007602D9" w:rsidRPr="00B65DEF">
        <w:rPr>
          <w:szCs w:val="22"/>
        </w:rPr>
        <w:t>atos</w:t>
      </w:r>
      <w:r w:rsidR="00C40140" w:rsidRPr="00B65DEF">
        <w:rPr>
          <w:szCs w:val="22"/>
        </w:rPr>
        <w:t>.</w:t>
      </w:r>
      <w:bookmarkEnd w:id="4"/>
    </w:p>
    <w:p w14:paraId="06AF0DAE" w14:textId="52DC0304" w:rsidR="00540808" w:rsidRPr="00B65DEF" w:rsidRDefault="00540808" w:rsidP="00B65DEF">
      <w:pPr>
        <w:widowControl w:val="0"/>
        <w:pBdr>
          <w:top w:val="nil"/>
          <w:left w:val="nil"/>
          <w:bottom w:val="nil"/>
          <w:right w:val="nil"/>
          <w:between w:val="nil"/>
        </w:pBdr>
        <w:spacing w:line="404" w:lineRule="auto"/>
        <w:ind w:left="7" w:firstLine="6"/>
        <w:rPr>
          <w:rFonts w:eastAsia="Palatino Linotype" w:cs="Palatino Linotype"/>
          <w:szCs w:val="22"/>
        </w:rPr>
      </w:pPr>
      <w:r w:rsidRPr="00B65DEF">
        <w:rPr>
          <w:rFonts w:eastAsia="Palatino Linotype" w:cs="Palatino Linotype"/>
          <w:szCs w:val="22"/>
          <w:lang w:eastAsia="es-MX"/>
        </w:rPr>
        <w:t>El</w:t>
      </w:r>
      <w:r w:rsidRPr="00B65DEF">
        <w:rPr>
          <w:rFonts w:eastAsia="Palatino Linotype" w:cs="Palatino Linotype"/>
          <w:szCs w:val="22"/>
        </w:rPr>
        <w:t xml:space="preserve"> </w:t>
      </w:r>
      <w:r w:rsidRPr="00B65DEF">
        <w:rPr>
          <w:rFonts w:eastAsia="Palatino Linotype" w:cs="Palatino Linotype"/>
          <w:b/>
          <w:bCs/>
          <w:szCs w:val="22"/>
        </w:rPr>
        <w:t>veintiocho de octubre de dos mil veinticuatro</w:t>
      </w:r>
      <w:r w:rsidRPr="00B65DEF">
        <w:rPr>
          <w:rFonts w:eastAsia="Palatino Linotype" w:cs="Palatino Linotype"/>
          <w:szCs w:val="22"/>
        </w:rPr>
        <w:t xml:space="preserve">, </w:t>
      </w:r>
      <w:r w:rsidRPr="00B65DEF">
        <w:rPr>
          <w:b/>
          <w:szCs w:val="22"/>
          <w:lang w:eastAsia="es-ES_tradnl"/>
        </w:rPr>
        <w:t>LA PARTE RECURRENTE</w:t>
      </w:r>
      <w:r w:rsidRPr="00B65DEF">
        <w:rPr>
          <w:rFonts w:cs="Arial"/>
          <w:szCs w:val="22"/>
        </w:rPr>
        <w:t xml:space="preserve"> </w:t>
      </w:r>
      <w:r w:rsidRPr="00B65DEF">
        <w:rPr>
          <w:szCs w:val="22"/>
        </w:rPr>
        <w:t xml:space="preserve">presentó </w:t>
      </w:r>
      <w:r w:rsidRPr="00B65DEF">
        <w:rPr>
          <w:rFonts w:cs="Arial"/>
          <w:szCs w:val="22"/>
        </w:rPr>
        <w:t>a través del Sistema de Acceso, Rectificación, Cancelación y Oposición de Datos Personales del Estado de México</w:t>
      </w:r>
      <w:r w:rsidRPr="00B65DEF">
        <w:rPr>
          <w:rFonts w:cs="Segoe UI"/>
          <w:szCs w:val="22"/>
        </w:rPr>
        <w:t xml:space="preserve">, </w:t>
      </w:r>
      <w:r w:rsidRPr="00B65DEF">
        <w:rPr>
          <w:rFonts w:cs="Arial"/>
          <w:szCs w:val="22"/>
        </w:rPr>
        <w:t xml:space="preserve">que en lo subsecuente se denominará </w:t>
      </w:r>
      <w:r w:rsidRPr="00B65DEF">
        <w:rPr>
          <w:rFonts w:cs="Arial"/>
          <w:b/>
          <w:szCs w:val="22"/>
        </w:rPr>
        <w:t>EL SARCOEM</w:t>
      </w:r>
      <w:r w:rsidRPr="00B65DEF">
        <w:rPr>
          <w:bCs/>
          <w:szCs w:val="22"/>
        </w:rPr>
        <w:t xml:space="preserve">, la solicitud de acceso a datos personales a </w:t>
      </w:r>
      <w:r w:rsidRPr="00B65DEF">
        <w:rPr>
          <w:rFonts w:eastAsia="Palatino Linotype" w:cs="Palatino Linotype"/>
          <w:szCs w:val="22"/>
        </w:rPr>
        <w:t xml:space="preserve">la cual se le asignó el número de folio </w:t>
      </w:r>
      <w:r w:rsidRPr="00B65DEF">
        <w:rPr>
          <w:rFonts w:eastAsia="Palatino Linotype" w:cs="Palatino Linotype"/>
          <w:b/>
          <w:bCs/>
          <w:szCs w:val="22"/>
        </w:rPr>
        <w:t xml:space="preserve">00002/LAPAZ/AD/2024, </w:t>
      </w:r>
      <w:r w:rsidRPr="00B65DEF">
        <w:rPr>
          <w:rFonts w:eastAsia="Palatino Linotype" w:cs="Palatino Linotype"/>
          <w:szCs w:val="22"/>
        </w:rPr>
        <w:t>mediante la cual requirió lo siguiente:</w:t>
      </w:r>
    </w:p>
    <w:p w14:paraId="33F62D2C" w14:textId="77777777" w:rsidR="005D11A1" w:rsidRPr="00B65DEF" w:rsidRDefault="005D11A1" w:rsidP="00B65DEF">
      <w:pPr>
        <w:widowControl w:val="0"/>
        <w:pBdr>
          <w:top w:val="nil"/>
          <w:left w:val="nil"/>
          <w:bottom w:val="nil"/>
          <w:right w:val="nil"/>
          <w:between w:val="nil"/>
        </w:pBdr>
        <w:spacing w:line="404" w:lineRule="auto"/>
        <w:ind w:left="7" w:firstLine="6"/>
        <w:rPr>
          <w:rFonts w:eastAsia="Palatino Linotype" w:cs="Palatino Linotype"/>
          <w:szCs w:val="22"/>
        </w:rPr>
      </w:pPr>
    </w:p>
    <w:p w14:paraId="1F7ADFAD" w14:textId="0BB7A11E" w:rsidR="00F971B1" w:rsidRPr="00B65DEF" w:rsidRDefault="00F971B1" w:rsidP="00B65DEF">
      <w:pPr>
        <w:tabs>
          <w:tab w:val="left" w:pos="851"/>
        </w:tabs>
        <w:ind w:left="851" w:right="901"/>
        <w:rPr>
          <w:szCs w:val="22"/>
        </w:rPr>
      </w:pPr>
      <w:r w:rsidRPr="00B65DEF">
        <w:rPr>
          <w:rFonts w:cs="Arial"/>
          <w:i/>
          <w:szCs w:val="22"/>
        </w:rPr>
        <w:t>“</w:t>
      </w:r>
      <w:r w:rsidR="00540808" w:rsidRPr="00B65DEF">
        <w:rPr>
          <w:rFonts w:cs="Arial"/>
          <w:i/>
          <w:szCs w:val="22"/>
        </w:rPr>
        <w:t xml:space="preserve">REQUIERO COPIAS CERTIFICADAS DE LAS FOJAS DEL EXPEDIENTE TOTAL Y COMPLETO QUE INTEGRAN EL TRASLADO DE DOMINIO EFECTUADO EN EL AÑO 1994 DEL DEPARTAMENTO UBICADO EN </w:t>
      </w:r>
      <w:r w:rsidR="00540808" w:rsidRPr="00B65DEF">
        <w:rPr>
          <w:rFonts w:cs="Arial"/>
          <w:i/>
          <w:szCs w:val="22"/>
        </w:rPr>
        <w:lastRenderedPageBreak/>
        <w:t xml:space="preserve">UNIDAD HABITACIONAL TEPOZAN, </w:t>
      </w:r>
      <w:r w:rsidR="00CA0415">
        <w:rPr>
          <w:rFonts w:cs="Arial"/>
          <w:i/>
          <w:szCs w:val="22"/>
        </w:rPr>
        <w:t xml:space="preserve">XXXXXXXXX XXX XXXX XX X XXXX XXXXXXX X </w:t>
      </w:r>
      <w:proofErr w:type="spellStart"/>
      <w:r w:rsidR="00CA0415">
        <w:rPr>
          <w:rFonts w:cs="Arial"/>
          <w:i/>
          <w:szCs w:val="22"/>
        </w:rPr>
        <w:t>X</w:t>
      </w:r>
      <w:proofErr w:type="spellEnd"/>
      <w:r w:rsidR="00CA0415">
        <w:rPr>
          <w:rFonts w:cs="Arial"/>
          <w:i/>
          <w:szCs w:val="22"/>
        </w:rPr>
        <w:t xml:space="preserve"> XXXXXXXXXX X XXXXXX XXXXX</w:t>
      </w:r>
      <w:r w:rsidR="00540808" w:rsidRPr="00B65DEF">
        <w:rPr>
          <w:rFonts w:cs="Arial"/>
          <w:i/>
          <w:szCs w:val="22"/>
        </w:rPr>
        <w:t xml:space="preserve"> CON CLAVE CATASTRAL NUMERO </w:t>
      </w:r>
      <w:r w:rsidR="00CA0415">
        <w:rPr>
          <w:rFonts w:cs="Arial"/>
          <w:i/>
          <w:szCs w:val="22"/>
        </w:rPr>
        <w:t>XXXXXXXXXXXXXX</w:t>
      </w:r>
      <w:r w:rsidR="00540808" w:rsidRPr="00B65DEF">
        <w:rPr>
          <w:rFonts w:cs="Arial"/>
          <w:i/>
          <w:szCs w:val="22"/>
        </w:rPr>
        <w:t xml:space="preserve">; ACLARANDO QUE MI NOMBRE ES </w:t>
      </w:r>
      <w:bookmarkStart w:id="5" w:name="_GoBack"/>
      <w:r w:rsidR="00CA0415">
        <w:rPr>
          <w:rFonts w:cs="Arial"/>
          <w:i/>
          <w:szCs w:val="22"/>
        </w:rPr>
        <w:t>XXXXX XXXXXXXXX XXXXXXX XXXXX</w:t>
      </w:r>
      <w:bookmarkEnd w:id="5"/>
      <w:r w:rsidR="00540808" w:rsidRPr="00B65DEF">
        <w:rPr>
          <w:rFonts w:cs="Arial"/>
          <w:i/>
          <w:szCs w:val="22"/>
        </w:rPr>
        <w:t xml:space="preserve"> Y QUE HABITO DESDE HACE 26 AÑOS EL DEPARTAMENTO ANTES DESCRITO CONTANDO ACTUALMENTE CON PODER NOTARIAL CON EL CUAL ACREDITO LA PROPIEDAD DE DICHO BIEN.</w:t>
      </w:r>
      <w:r w:rsidRPr="00B65DEF">
        <w:rPr>
          <w:rFonts w:cs="Arial"/>
          <w:i/>
          <w:szCs w:val="22"/>
        </w:rPr>
        <w:t>”</w:t>
      </w:r>
      <w:r w:rsidRPr="00B65DEF">
        <w:rPr>
          <w:szCs w:val="22"/>
        </w:rPr>
        <w:t xml:space="preserve"> </w:t>
      </w:r>
    </w:p>
    <w:p w14:paraId="2042D024" w14:textId="77777777" w:rsidR="00AA1BE5" w:rsidRPr="00B65DEF" w:rsidRDefault="00AA1BE5" w:rsidP="00B65DEF">
      <w:pPr>
        <w:widowControl w:val="0"/>
        <w:pBdr>
          <w:top w:val="nil"/>
          <w:left w:val="nil"/>
          <w:bottom w:val="nil"/>
          <w:right w:val="nil"/>
          <w:between w:val="nil"/>
        </w:pBdr>
        <w:rPr>
          <w:rFonts w:eastAsia="Palatino Linotype" w:cs="Palatino Linotype"/>
          <w:szCs w:val="22"/>
        </w:rPr>
      </w:pPr>
    </w:p>
    <w:p w14:paraId="0B636F77" w14:textId="0727B540" w:rsidR="00540808" w:rsidRPr="00B65DEF" w:rsidRDefault="00540808" w:rsidP="00B65DEF">
      <w:pPr>
        <w:rPr>
          <w:rFonts w:cs="Arial"/>
          <w:szCs w:val="22"/>
        </w:rPr>
      </w:pPr>
      <w:r w:rsidRPr="00B65DEF">
        <w:rPr>
          <w:rFonts w:cs="Arial"/>
          <w:szCs w:val="22"/>
        </w:rPr>
        <w:t>Cabe s</w:t>
      </w:r>
      <w:r w:rsidR="007C68A0" w:rsidRPr="00B65DEF">
        <w:rPr>
          <w:rFonts w:cs="Arial"/>
          <w:szCs w:val="22"/>
        </w:rPr>
        <w:t>eñalar que la particular adjuntó</w:t>
      </w:r>
      <w:r w:rsidRPr="00B65DEF">
        <w:rPr>
          <w:rFonts w:cs="Arial"/>
          <w:szCs w:val="22"/>
        </w:rPr>
        <w:t xml:space="preserve"> a su solicitud de acceso a datos personales los archivos siguientes:</w:t>
      </w:r>
    </w:p>
    <w:p w14:paraId="00B7DC4F" w14:textId="77777777" w:rsidR="00540808" w:rsidRPr="00B65DEF" w:rsidRDefault="00540808" w:rsidP="00B65DEF">
      <w:pPr>
        <w:rPr>
          <w:rFonts w:cs="Arial"/>
          <w:szCs w:val="22"/>
        </w:rPr>
      </w:pPr>
    </w:p>
    <w:p w14:paraId="288B7F65" w14:textId="633DEE1D" w:rsidR="00540808" w:rsidRPr="00B65DEF" w:rsidRDefault="00540808" w:rsidP="00B65DEF">
      <w:pPr>
        <w:numPr>
          <w:ilvl w:val="0"/>
          <w:numId w:val="36"/>
        </w:numPr>
        <w:rPr>
          <w:rFonts w:cs="Arial"/>
          <w:szCs w:val="22"/>
        </w:rPr>
      </w:pPr>
      <w:proofErr w:type="spellStart"/>
      <w:r w:rsidRPr="00B65DEF">
        <w:rPr>
          <w:rFonts w:cs="Arial"/>
          <w:b/>
          <w:bCs/>
          <w:i/>
          <w:iCs/>
          <w:szCs w:val="22"/>
        </w:rPr>
        <w:t>CamScanner</w:t>
      </w:r>
      <w:proofErr w:type="spellEnd"/>
      <w:r w:rsidRPr="00B65DEF">
        <w:rPr>
          <w:rFonts w:cs="Arial"/>
          <w:b/>
          <w:bCs/>
          <w:i/>
          <w:iCs/>
          <w:szCs w:val="22"/>
        </w:rPr>
        <w:t xml:space="preserve"> 28-10-2024 13.41.pdf</w:t>
      </w:r>
      <w:r w:rsidRPr="00B65DEF">
        <w:rPr>
          <w:rFonts w:cs="Arial"/>
          <w:szCs w:val="22"/>
        </w:rPr>
        <w:t xml:space="preserve">.-Credencial para votar con fotografía expedida a favor de la C. </w:t>
      </w:r>
      <w:r w:rsidR="00CA0415">
        <w:rPr>
          <w:rFonts w:cs="Arial"/>
          <w:szCs w:val="22"/>
        </w:rPr>
        <w:t>XXXXX XXXXXXXXX XXXXXXX XXXXX</w:t>
      </w:r>
      <w:r w:rsidRPr="00B65DEF">
        <w:rPr>
          <w:rFonts w:cs="Arial"/>
          <w:szCs w:val="22"/>
        </w:rPr>
        <w:t xml:space="preserve"> por el Instituto Nacional Electoral.</w:t>
      </w:r>
    </w:p>
    <w:p w14:paraId="0AA2FE1E" w14:textId="77777777" w:rsidR="00540808" w:rsidRPr="00B65DEF" w:rsidRDefault="00540808" w:rsidP="00B65DEF">
      <w:pPr>
        <w:numPr>
          <w:ilvl w:val="0"/>
          <w:numId w:val="36"/>
        </w:numPr>
        <w:rPr>
          <w:rFonts w:cs="Arial"/>
          <w:szCs w:val="22"/>
        </w:rPr>
      </w:pPr>
      <w:proofErr w:type="spellStart"/>
      <w:r w:rsidRPr="00B65DEF">
        <w:rPr>
          <w:rFonts w:cs="Arial"/>
          <w:b/>
          <w:bCs/>
          <w:i/>
          <w:iCs/>
          <w:szCs w:val="22"/>
        </w:rPr>
        <w:t>CamScanner</w:t>
      </w:r>
      <w:proofErr w:type="spellEnd"/>
      <w:r w:rsidRPr="00B65DEF">
        <w:rPr>
          <w:rFonts w:cs="Arial"/>
          <w:b/>
          <w:bCs/>
          <w:i/>
          <w:iCs/>
          <w:szCs w:val="22"/>
        </w:rPr>
        <w:t xml:space="preserve"> 28-10-2024 13.46.pdf</w:t>
      </w:r>
      <w:r w:rsidRPr="00B65DEF">
        <w:rPr>
          <w:rFonts w:cs="Arial"/>
          <w:szCs w:val="22"/>
        </w:rPr>
        <w:t>.- Recibo predial del departamento mencionado en la solicitud de acceso a datos.</w:t>
      </w:r>
    </w:p>
    <w:p w14:paraId="29FB7B43" w14:textId="77777777" w:rsidR="00540808" w:rsidRPr="00B65DEF" w:rsidRDefault="00540808" w:rsidP="00B65DEF">
      <w:pPr>
        <w:numPr>
          <w:ilvl w:val="0"/>
          <w:numId w:val="36"/>
        </w:numPr>
        <w:rPr>
          <w:rFonts w:cs="Arial"/>
          <w:szCs w:val="22"/>
        </w:rPr>
      </w:pPr>
      <w:proofErr w:type="spellStart"/>
      <w:r w:rsidRPr="00B65DEF">
        <w:rPr>
          <w:rFonts w:cs="Arial"/>
          <w:b/>
          <w:bCs/>
          <w:i/>
          <w:iCs/>
          <w:szCs w:val="22"/>
        </w:rPr>
        <w:t>CamScanner</w:t>
      </w:r>
      <w:proofErr w:type="spellEnd"/>
      <w:r w:rsidRPr="00B65DEF">
        <w:rPr>
          <w:rFonts w:cs="Arial"/>
          <w:b/>
          <w:bCs/>
          <w:i/>
          <w:iCs/>
          <w:szCs w:val="22"/>
        </w:rPr>
        <w:t xml:space="preserve"> 28-10-2024 13.43.pdf</w:t>
      </w:r>
      <w:r w:rsidRPr="00B65DEF">
        <w:rPr>
          <w:rFonts w:cs="Arial"/>
          <w:szCs w:val="22"/>
        </w:rPr>
        <w:t>.- Copia certificada del Poder General otorgado a nombre de la solicitante, de fecha 20 de septiembre de 2018.</w:t>
      </w:r>
    </w:p>
    <w:p w14:paraId="1C6ECD55" w14:textId="77777777" w:rsidR="00254444" w:rsidRPr="00B65DEF" w:rsidRDefault="00254444" w:rsidP="00B65DEF">
      <w:pPr>
        <w:rPr>
          <w:rFonts w:cs="Arial"/>
          <w:b/>
          <w:bCs/>
          <w:szCs w:val="22"/>
        </w:rPr>
      </w:pPr>
    </w:p>
    <w:p w14:paraId="395BDD0A" w14:textId="77777777" w:rsidR="00540808" w:rsidRPr="00B65DEF" w:rsidRDefault="00540808" w:rsidP="00B65DEF">
      <w:pPr>
        <w:rPr>
          <w:rFonts w:cs="Arial"/>
          <w:szCs w:val="22"/>
        </w:rPr>
      </w:pPr>
      <w:r w:rsidRPr="00B65DEF">
        <w:rPr>
          <w:rFonts w:cs="Arial"/>
          <w:b/>
          <w:bCs/>
          <w:szCs w:val="22"/>
        </w:rPr>
        <w:t>Modalidad de entrega:</w:t>
      </w:r>
      <w:r w:rsidRPr="00B65DEF">
        <w:rPr>
          <w:rFonts w:cs="Arial"/>
          <w:szCs w:val="22"/>
        </w:rPr>
        <w:t xml:space="preserve"> Mediante copias fotostáticas y copias certificadas.</w:t>
      </w:r>
    </w:p>
    <w:p w14:paraId="3F26A58C" w14:textId="77777777" w:rsidR="00457B55" w:rsidRPr="00B65DEF" w:rsidRDefault="00457B55" w:rsidP="00B65DEF">
      <w:pPr>
        <w:widowControl w:val="0"/>
        <w:pBdr>
          <w:top w:val="nil"/>
          <w:left w:val="nil"/>
          <w:bottom w:val="nil"/>
          <w:right w:val="nil"/>
          <w:between w:val="nil"/>
        </w:pBdr>
        <w:rPr>
          <w:rFonts w:eastAsia="Palatino Linotype" w:cs="Palatino Linotype"/>
          <w:b/>
          <w:bCs/>
          <w:szCs w:val="22"/>
        </w:rPr>
      </w:pPr>
    </w:p>
    <w:p w14:paraId="10B94F39" w14:textId="06245D14" w:rsidR="00457B55" w:rsidRPr="00B65DEF" w:rsidRDefault="00457B55" w:rsidP="00B65DEF">
      <w:pPr>
        <w:widowControl w:val="0"/>
        <w:pBdr>
          <w:top w:val="nil"/>
          <w:left w:val="nil"/>
          <w:bottom w:val="nil"/>
          <w:right w:val="nil"/>
          <w:between w:val="nil"/>
        </w:pBdr>
        <w:rPr>
          <w:rFonts w:eastAsia="Palatino Linotype" w:cs="Palatino Linotype"/>
          <w:szCs w:val="22"/>
        </w:rPr>
      </w:pPr>
      <w:r w:rsidRPr="00B65DEF">
        <w:rPr>
          <w:rFonts w:eastAsia="Palatino Linotype" w:cs="Palatino Linotype"/>
          <w:b/>
          <w:bCs/>
          <w:szCs w:val="22"/>
        </w:rPr>
        <w:t xml:space="preserve">Medio para oír y recibir notificaciones: </w:t>
      </w:r>
      <w:r w:rsidR="00AA1BE5" w:rsidRPr="00B65DEF">
        <w:rPr>
          <w:rFonts w:eastAsia="Palatino Linotype" w:cs="Palatino Linotype"/>
          <w:b/>
          <w:szCs w:val="22"/>
        </w:rPr>
        <w:t>SARCOEM</w:t>
      </w:r>
      <w:r w:rsidR="00540808" w:rsidRPr="00B65DEF">
        <w:rPr>
          <w:rFonts w:eastAsia="Palatino Linotype" w:cs="Palatino Linotype"/>
          <w:szCs w:val="22"/>
        </w:rPr>
        <w:t xml:space="preserve"> y</w:t>
      </w:r>
      <w:r w:rsidR="00540808" w:rsidRPr="00B65DEF">
        <w:rPr>
          <w:rFonts w:eastAsia="Palatino Linotype" w:cs="Palatino Linotype"/>
          <w:b/>
          <w:szCs w:val="22"/>
        </w:rPr>
        <w:t xml:space="preserve"> Notificación en la Unidad de Información</w:t>
      </w:r>
    </w:p>
    <w:p w14:paraId="06532E46" w14:textId="77777777" w:rsidR="004270C7" w:rsidRPr="00B65DEF" w:rsidRDefault="004270C7" w:rsidP="00B65DEF">
      <w:pPr>
        <w:widowControl w:val="0"/>
        <w:pBdr>
          <w:top w:val="nil"/>
          <w:left w:val="nil"/>
          <w:bottom w:val="nil"/>
          <w:right w:val="nil"/>
          <w:between w:val="nil"/>
        </w:pBdr>
        <w:rPr>
          <w:rFonts w:eastAsia="Palatino Linotype" w:cs="Palatino Linotype"/>
          <w:b/>
          <w:bCs/>
          <w:szCs w:val="22"/>
        </w:rPr>
      </w:pPr>
    </w:p>
    <w:p w14:paraId="3212BA4D" w14:textId="5606556C" w:rsidR="00664420" w:rsidRPr="00B65DEF" w:rsidRDefault="00B65DEF" w:rsidP="00B65DEF">
      <w:pPr>
        <w:pStyle w:val="Ttulo3"/>
        <w:rPr>
          <w:rFonts w:eastAsia="Calibri"/>
          <w:szCs w:val="22"/>
          <w:lang w:eastAsia="en-US"/>
        </w:rPr>
      </w:pPr>
      <w:bookmarkStart w:id="6" w:name="_Toc173945414"/>
      <w:bookmarkStart w:id="7" w:name="_Toc207224841"/>
      <w:r>
        <w:rPr>
          <w:szCs w:val="22"/>
        </w:rPr>
        <w:lastRenderedPageBreak/>
        <w:t>b</w:t>
      </w:r>
      <w:r w:rsidR="00E2605C" w:rsidRPr="00B65DEF">
        <w:rPr>
          <w:szCs w:val="22"/>
        </w:rPr>
        <w:t xml:space="preserve">) </w:t>
      </w:r>
      <w:bookmarkEnd w:id="6"/>
      <w:r w:rsidR="00664420" w:rsidRPr="00B65DEF">
        <w:rPr>
          <w:szCs w:val="22"/>
          <w:lang w:val="es-ES"/>
        </w:rPr>
        <w:t xml:space="preserve">Respuesta </w:t>
      </w:r>
      <w:r w:rsidR="00664420" w:rsidRPr="00B65DEF">
        <w:rPr>
          <w:rFonts w:eastAsia="Calibri"/>
          <w:szCs w:val="22"/>
          <w:lang w:eastAsia="en-US"/>
        </w:rPr>
        <w:t>del Sujeto Obligado</w:t>
      </w:r>
      <w:r w:rsidR="003C128C" w:rsidRPr="00B65DEF">
        <w:rPr>
          <w:rFonts w:eastAsia="Calibri"/>
          <w:szCs w:val="22"/>
          <w:lang w:eastAsia="en-US"/>
        </w:rPr>
        <w:t>.</w:t>
      </w:r>
      <w:bookmarkEnd w:id="7"/>
    </w:p>
    <w:p w14:paraId="2C10A2E3" w14:textId="77777777" w:rsidR="00D572AA" w:rsidRPr="00B65DEF" w:rsidRDefault="00D572AA" w:rsidP="00B65DEF">
      <w:pPr>
        <w:pStyle w:val="Prrafodelista"/>
        <w:tabs>
          <w:tab w:val="left" w:pos="709"/>
        </w:tabs>
        <w:ind w:left="0"/>
        <w:contextualSpacing w:val="0"/>
        <w:rPr>
          <w:rFonts w:cs="Arial"/>
          <w:szCs w:val="22"/>
        </w:rPr>
      </w:pPr>
      <w:r w:rsidRPr="00B65DEF">
        <w:rPr>
          <w:rFonts w:cs="Arial"/>
          <w:szCs w:val="22"/>
        </w:rPr>
        <w:t xml:space="preserve">Del expediente electrónico conformado en el </w:t>
      </w:r>
      <w:r w:rsidRPr="00B65DEF">
        <w:rPr>
          <w:rFonts w:cs="Arial"/>
          <w:b/>
          <w:szCs w:val="22"/>
        </w:rPr>
        <w:t>SARCOEM</w:t>
      </w:r>
      <w:r w:rsidRPr="00B65DEF">
        <w:rPr>
          <w:rFonts w:cs="Arial"/>
          <w:szCs w:val="22"/>
        </w:rPr>
        <w:t xml:space="preserve">, se advierte que </w:t>
      </w:r>
      <w:r w:rsidRPr="00B65DEF">
        <w:rPr>
          <w:rFonts w:cs="Arial"/>
          <w:b/>
          <w:bCs/>
          <w:szCs w:val="22"/>
        </w:rPr>
        <w:t xml:space="preserve">EL SUJETO OBLIGADO </w:t>
      </w:r>
      <w:r w:rsidRPr="00B65DEF">
        <w:rPr>
          <w:rFonts w:cs="Arial"/>
          <w:szCs w:val="22"/>
        </w:rPr>
        <w:t>no emitió una respuesta al particular.</w:t>
      </w:r>
    </w:p>
    <w:p w14:paraId="5A5DAB9E" w14:textId="075835EE" w:rsidR="00E37A3F" w:rsidRPr="00B65DEF" w:rsidRDefault="00E37A3F" w:rsidP="00B65DEF">
      <w:pPr>
        <w:pStyle w:val="Ttulo2"/>
        <w:jc w:val="left"/>
        <w:rPr>
          <w:szCs w:val="22"/>
        </w:rPr>
      </w:pPr>
      <w:bookmarkStart w:id="8" w:name="_Toc207224842"/>
      <w:r w:rsidRPr="00B65DEF">
        <w:rPr>
          <w:szCs w:val="22"/>
        </w:rPr>
        <w:t>DEL RECURSO DE REVISIÓN</w:t>
      </w:r>
      <w:bookmarkEnd w:id="8"/>
    </w:p>
    <w:p w14:paraId="2B216813" w14:textId="079ACD06" w:rsidR="00664420" w:rsidRPr="00B65DEF" w:rsidRDefault="006E25BC" w:rsidP="00B65DEF">
      <w:pPr>
        <w:pStyle w:val="Ttulo3"/>
        <w:rPr>
          <w:szCs w:val="22"/>
        </w:rPr>
      </w:pPr>
      <w:bookmarkStart w:id="9" w:name="_Toc207224843"/>
      <w:r w:rsidRPr="00B65DEF">
        <w:rPr>
          <w:szCs w:val="22"/>
        </w:rPr>
        <w:t xml:space="preserve">a) </w:t>
      </w:r>
      <w:r w:rsidR="00664420" w:rsidRPr="00B65DEF">
        <w:rPr>
          <w:szCs w:val="22"/>
        </w:rPr>
        <w:t>Interposición del Recurso de Revisión</w:t>
      </w:r>
      <w:r w:rsidR="003C128C" w:rsidRPr="00B65DEF">
        <w:rPr>
          <w:szCs w:val="22"/>
        </w:rPr>
        <w:t>.</w:t>
      </w:r>
      <w:bookmarkEnd w:id="9"/>
    </w:p>
    <w:p w14:paraId="5CD164ED" w14:textId="439ACF68" w:rsidR="001B187E" w:rsidRPr="00B65DEF" w:rsidRDefault="001B187E" w:rsidP="00B65DEF">
      <w:pPr>
        <w:rPr>
          <w:rFonts w:cs="Arial"/>
          <w:szCs w:val="22"/>
        </w:rPr>
      </w:pPr>
      <w:r w:rsidRPr="00B65DEF">
        <w:rPr>
          <w:rFonts w:cs="Arial"/>
          <w:szCs w:val="22"/>
        </w:rPr>
        <w:t xml:space="preserve">Inconforme por la falta de respuesta, el </w:t>
      </w:r>
      <w:r w:rsidRPr="00B65DEF">
        <w:rPr>
          <w:rFonts w:cs="Arial"/>
          <w:b/>
          <w:szCs w:val="22"/>
        </w:rPr>
        <w:t>diecinueve de diciembre de dos mil veinticuatro</w:t>
      </w:r>
      <w:r w:rsidRPr="00B65DEF">
        <w:rPr>
          <w:rFonts w:cs="Arial"/>
          <w:szCs w:val="22"/>
        </w:rPr>
        <w:t xml:space="preserve">, </w:t>
      </w:r>
      <w:r w:rsidRPr="00B65DEF">
        <w:rPr>
          <w:rFonts w:cs="Arial"/>
          <w:b/>
          <w:szCs w:val="22"/>
          <w:lang w:val="es-ES"/>
        </w:rPr>
        <w:t>LA PARTE RECURRENTE</w:t>
      </w:r>
      <w:r w:rsidRPr="00B65DEF">
        <w:rPr>
          <w:rFonts w:cs="Arial"/>
          <w:b/>
          <w:szCs w:val="22"/>
        </w:rPr>
        <w:t xml:space="preserve"> </w:t>
      </w:r>
      <w:r w:rsidRPr="00B65DEF">
        <w:rPr>
          <w:rFonts w:cs="Arial"/>
          <w:szCs w:val="22"/>
        </w:rPr>
        <w:t xml:space="preserve">interpuso el Recurso Revisión objeto del presente estudio, registrado en </w:t>
      </w:r>
      <w:r w:rsidRPr="00B65DEF">
        <w:rPr>
          <w:rFonts w:cs="Arial"/>
          <w:b/>
          <w:szCs w:val="22"/>
        </w:rPr>
        <w:t xml:space="preserve">EL SARCOEM </w:t>
      </w:r>
      <w:r w:rsidRPr="00B65DEF">
        <w:rPr>
          <w:rFonts w:cs="Arial"/>
          <w:szCs w:val="22"/>
        </w:rPr>
        <w:t>con</w:t>
      </w:r>
      <w:r w:rsidRPr="00B65DEF">
        <w:rPr>
          <w:rFonts w:cs="Arial"/>
          <w:b/>
          <w:szCs w:val="22"/>
        </w:rPr>
        <w:t xml:space="preserve"> </w:t>
      </w:r>
      <w:r w:rsidRPr="00B65DEF">
        <w:rPr>
          <w:rFonts w:cs="Arial"/>
          <w:szCs w:val="22"/>
        </w:rPr>
        <w:t xml:space="preserve">el número de expediente </w:t>
      </w:r>
      <w:r w:rsidRPr="00B65DEF">
        <w:rPr>
          <w:szCs w:val="22"/>
        </w:rPr>
        <w:br/>
      </w:r>
      <w:r w:rsidRPr="00B65DEF">
        <w:rPr>
          <w:b/>
          <w:bCs/>
          <w:szCs w:val="22"/>
        </w:rPr>
        <w:t>07697/INFOEM/AD/RR/2024</w:t>
      </w:r>
      <w:r w:rsidRPr="00B65DEF">
        <w:rPr>
          <w:rFonts w:cs="Arial"/>
          <w:b/>
          <w:szCs w:val="22"/>
        </w:rPr>
        <w:t xml:space="preserve">, </w:t>
      </w:r>
      <w:r w:rsidRPr="00B65DEF">
        <w:rPr>
          <w:rFonts w:cs="Arial"/>
          <w:szCs w:val="22"/>
        </w:rPr>
        <w:t>en el que señaló como:</w:t>
      </w:r>
    </w:p>
    <w:p w14:paraId="316BF38E" w14:textId="77777777" w:rsidR="00441D82" w:rsidRPr="00B65DEF" w:rsidRDefault="00441D82" w:rsidP="00B65DEF">
      <w:pPr>
        <w:pBdr>
          <w:top w:val="nil"/>
          <w:left w:val="nil"/>
          <w:bottom w:val="nil"/>
          <w:right w:val="nil"/>
          <w:between w:val="nil"/>
        </w:pBdr>
        <w:tabs>
          <w:tab w:val="left" w:pos="709"/>
        </w:tabs>
        <w:spacing w:before="280" w:after="280"/>
        <w:rPr>
          <w:rFonts w:eastAsia="Palatino Linotype" w:cs="Palatino Linotype"/>
          <w:b/>
          <w:szCs w:val="22"/>
        </w:rPr>
      </w:pPr>
      <w:r w:rsidRPr="00B65DEF">
        <w:rPr>
          <w:rFonts w:eastAsia="Palatino Linotype" w:cs="Palatino Linotype"/>
          <w:b/>
          <w:szCs w:val="22"/>
        </w:rPr>
        <w:t xml:space="preserve">Acto Impugnado: </w:t>
      </w:r>
    </w:p>
    <w:p w14:paraId="156B52B3" w14:textId="6BE4F798" w:rsidR="00441D82" w:rsidRPr="00B65DEF" w:rsidRDefault="00441D82" w:rsidP="00B65DEF">
      <w:pPr>
        <w:tabs>
          <w:tab w:val="left" w:pos="7936"/>
        </w:tabs>
        <w:ind w:left="851" w:right="902"/>
        <w:rPr>
          <w:rFonts w:eastAsia="Palatino Linotype" w:cs="Palatino Linotype"/>
          <w:i/>
          <w:szCs w:val="22"/>
        </w:rPr>
      </w:pPr>
      <w:r w:rsidRPr="00B65DEF">
        <w:rPr>
          <w:rFonts w:eastAsia="Palatino Linotype" w:cs="Palatino Linotype"/>
          <w:i/>
          <w:szCs w:val="22"/>
        </w:rPr>
        <w:t>“</w:t>
      </w:r>
      <w:r w:rsidR="001B187E" w:rsidRPr="00B65DEF">
        <w:rPr>
          <w:rFonts w:eastAsia="Palatino Linotype" w:cs="Palatino Linotype"/>
          <w:i/>
          <w:szCs w:val="22"/>
        </w:rPr>
        <w:t>LA FALTA DE INFORMACIÓN</w:t>
      </w:r>
      <w:r w:rsidRPr="00B65DEF">
        <w:rPr>
          <w:rFonts w:eastAsia="Palatino Linotype" w:cs="Palatino Linotype"/>
          <w:i/>
          <w:szCs w:val="22"/>
        </w:rPr>
        <w:t>” (Sic)</w:t>
      </w:r>
    </w:p>
    <w:p w14:paraId="515054C6" w14:textId="77777777" w:rsidR="00441D82" w:rsidRPr="00B65DEF" w:rsidRDefault="00441D82" w:rsidP="00B65DEF">
      <w:pPr>
        <w:pBdr>
          <w:top w:val="nil"/>
          <w:left w:val="nil"/>
          <w:bottom w:val="nil"/>
          <w:right w:val="nil"/>
          <w:between w:val="nil"/>
        </w:pBdr>
        <w:spacing w:before="280" w:after="280"/>
        <w:rPr>
          <w:rFonts w:eastAsia="Palatino Linotype" w:cs="Palatino Linotype"/>
          <w:szCs w:val="22"/>
        </w:rPr>
      </w:pPr>
      <w:r w:rsidRPr="00B65DEF">
        <w:rPr>
          <w:rFonts w:eastAsia="Palatino Linotype" w:cs="Palatino Linotype"/>
          <w:b/>
          <w:szCs w:val="22"/>
        </w:rPr>
        <w:t>Razones o Motivos de Inconformidad:</w:t>
      </w:r>
    </w:p>
    <w:p w14:paraId="11D10F2B" w14:textId="3F5D2F5D" w:rsidR="00441D82" w:rsidRPr="00B65DEF" w:rsidRDefault="00441D82" w:rsidP="00B65DEF">
      <w:pPr>
        <w:ind w:left="851" w:right="899"/>
        <w:rPr>
          <w:rFonts w:eastAsia="Palatino Linotype" w:cs="Palatino Linotype"/>
          <w:i/>
          <w:szCs w:val="22"/>
        </w:rPr>
      </w:pPr>
      <w:r w:rsidRPr="00B65DEF">
        <w:rPr>
          <w:rFonts w:eastAsia="Palatino Linotype" w:cs="Palatino Linotype"/>
          <w:i/>
          <w:szCs w:val="22"/>
        </w:rPr>
        <w:t>“</w:t>
      </w:r>
      <w:r w:rsidR="001B187E" w:rsidRPr="00B65DEF">
        <w:rPr>
          <w:rFonts w:eastAsia="Palatino Linotype" w:cs="Palatino Linotype"/>
          <w:i/>
          <w:szCs w:val="22"/>
        </w:rPr>
        <w:t>NO ME ENTREGARON LA INFORMACIÓN</w:t>
      </w:r>
      <w:r w:rsidRPr="00B65DEF">
        <w:rPr>
          <w:rFonts w:eastAsia="Palatino Linotype" w:cs="Palatino Linotype"/>
          <w:i/>
          <w:szCs w:val="22"/>
        </w:rPr>
        <w:t>” (Sic)</w:t>
      </w:r>
    </w:p>
    <w:p w14:paraId="1C3F92EE" w14:textId="77777777" w:rsidR="00441D82" w:rsidRPr="00B65DEF" w:rsidRDefault="00441D82" w:rsidP="00B65DEF">
      <w:pPr>
        <w:ind w:right="899"/>
        <w:rPr>
          <w:rFonts w:eastAsia="Palatino Linotype" w:cs="Palatino Linotype"/>
          <w:i/>
          <w:szCs w:val="22"/>
        </w:rPr>
      </w:pPr>
    </w:p>
    <w:p w14:paraId="6804DEF1" w14:textId="58B81BA5" w:rsidR="00664420" w:rsidRPr="00B65DEF" w:rsidRDefault="006E25BC" w:rsidP="00B65DEF">
      <w:pPr>
        <w:pStyle w:val="Ttulo3"/>
        <w:rPr>
          <w:szCs w:val="22"/>
        </w:rPr>
      </w:pPr>
      <w:bookmarkStart w:id="10" w:name="_Toc207224844"/>
      <w:r w:rsidRPr="00B65DEF">
        <w:rPr>
          <w:szCs w:val="22"/>
        </w:rPr>
        <w:t>b</w:t>
      </w:r>
      <w:r w:rsidR="00664420" w:rsidRPr="00B65DEF">
        <w:rPr>
          <w:szCs w:val="22"/>
        </w:rPr>
        <w:t>) Turno del Recurso de Revisión</w:t>
      </w:r>
      <w:r w:rsidR="003C128C" w:rsidRPr="00B65DEF">
        <w:rPr>
          <w:szCs w:val="22"/>
        </w:rPr>
        <w:t>.</w:t>
      </w:r>
      <w:bookmarkEnd w:id="10"/>
    </w:p>
    <w:p w14:paraId="1173671B" w14:textId="040957D3" w:rsidR="00C72DAA" w:rsidRPr="00B65DEF" w:rsidRDefault="00C72DAA" w:rsidP="00B65DEF">
      <w:pPr>
        <w:rPr>
          <w:szCs w:val="22"/>
        </w:rPr>
      </w:pPr>
      <w:r w:rsidRPr="00B65DEF">
        <w:rPr>
          <w:szCs w:val="22"/>
        </w:rPr>
        <w:t>Con fundamento</w:t>
      </w:r>
      <w:r w:rsidR="005000D0" w:rsidRPr="00B65DEF">
        <w:rPr>
          <w:szCs w:val="22"/>
        </w:rPr>
        <w:t xml:space="preserve"> en </w:t>
      </w:r>
      <w:r w:rsidR="005000D0" w:rsidRPr="00B65DEF">
        <w:rPr>
          <w:rFonts w:eastAsia="Palatino Linotype" w:cs="Palatino Linotype"/>
          <w:szCs w:val="22"/>
        </w:rPr>
        <w:t>los artículos 11 y 127 de la Ley de Protección de Datos Personales en Posesión de Sujetos Obligados del Estado de México y Municipios y</w:t>
      </w:r>
      <w:r w:rsidRPr="00B65DEF">
        <w:rPr>
          <w:szCs w:val="22"/>
        </w:rPr>
        <w:t xml:space="preserve"> en el artículo 185, fracción I de la Ley de Transparencia y Acceso a la Información Pública del Estado de México y Municipios</w:t>
      </w:r>
      <w:r w:rsidR="00C40140" w:rsidRPr="00B65DEF">
        <w:rPr>
          <w:szCs w:val="22"/>
        </w:rPr>
        <w:t xml:space="preserve"> </w:t>
      </w:r>
      <w:r w:rsidR="00C40140" w:rsidRPr="00B65DEF">
        <w:rPr>
          <w:rFonts w:cs="Arial"/>
          <w:szCs w:val="22"/>
          <w:lang w:eastAsia="es-MX"/>
        </w:rPr>
        <w:t>de aplicación supletoria</w:t>
      </w:r>
      <w:r w:rsidRPr="00B65DEF">
        <w:rPr>
          <w:szCs w:val="22"/>
        </w:rPr>
        <w:t>, el</w:t>
      </w:r>
      <w:r w:rsidRPr="00B65DEF">
        <w:rPr>
          <w:b/>
          <w:bCs/>
          <w:szCs w:val="22"/>
        </w:rPr>
        <w:t xml:space="preserve"> </w:t>
      </w:r>
      <w:r w:rsidR="001B187E" w:rsidRPr="00B65DEF">
        <w:rPr>
          <w:rFonts w:cs="Arial"/>
          <w:b/>
          <w:szCs w:val="22"/>
        </w:rPr>
        <w:t>diecinueve de diciembre de dos mil veinticuatro</w:t>
      </w:r>
      <w:r w:rsidR="001B187E" w:rsidRPr="00B65DEF">
        <w:rPr>
          <w:szCs w:val="22"/>
        </w:rPr>
        <w:t xml:space="preserve"> </w:t>
      </w:r>
      <w:r w:rsidRPr="00B65DEF">
        <w:rPr>
          <w:szCs w:val="22"/>
        </w:rPr>
        <w:t>se turnó el recurso de revisión a través del</w:t>
      </w:r>
      <w:r w:rsidRPr="00B65DEF">
        <w:rPr>
          <w:rFonts w:eastAsia="Arial Unicode MS"/>
          <w:szCs w:val="22"/>
        </w:rPr>
        <w:t xml:space="preserve"> </w:t>
      </w:r>
      <w:r w:rsidRPr="00B65DEF">
        <w:rPr>
          <w:rFonts w:eastAsia="Arial Unicode MS"/>
          <w:bCs/>
          <w:szCs w:val="22"/>
        </w:rPr>
        <w:t>SAIMEX</w:t>
      </w:r>
      <w:r w:rsidRPr="00B65DEF">
        <w:rPr>
          <w:szCs w:val="22"/>
        </w:rPr>
        <w:t xml:space="preserve"> a la </w:t>
      </w:r>
      <w:r w:rsidRPr="00B65DEF">
        <w:rPr>
          <w:b/>
          <w:szCs w:val="22"/>
        </w:rPr>
        <w:t>Comisionada Sharon Cristina Morales Martínez</w:t>
      </w:r>
      <w:r w:rsidRPr="00B65DEF">
        <w:rPr>
          <w:bCs/>
          <w:szCs w:val="22"/>
        </w:rPr>
        <w:t xml:space="preserve">, </w:t>
      </w:r>
      <w:r w:rsidRPr="00B65DEF">
        <w:rPr>
          <w:szCs w:val="22"/>
        </w:rPr>
        <w:t xml:space="preserve">a efecto de decretar su admisión o </w:t>
      </w:r>
      <w:proofErr w:type="spellStart"/>
      <w:r w:rsidRPr="00B65DEF">
        <w:rPr>
          <w:szCs w:val="22"/>
        </w:rPr>
        <w:t>desechamiento</w:t>
      </w:r>
      <w:proofErr w:type="spellEnd"/>
      <w:r w:rsidRPr="00B65DEF">
        <w:rPr>
          <w:szCs w:val="22"/>
        </w:rPr>
        <w:t xml:space="preserve">. </w:t>
      </w:r>
    </w:p>
    <w:p w14:paraId="18F305CB" w14:textId="77777777" w:rsidR="00664420" w:rsidRPr="00B65DEF" w:rsidRDefault="00664420" w:rsidP="00B65DEF">
      <w:pPr>
        <w:rPr>
          <w:rFonts w:eastAsia="Batang" w:cs="Tahoma"/>
          <w:bCs/>
          <w:szCs w:val="22"/>
        </w:rPr>
      </w:pPr>
    </w:p>
    <w:p w14:paraId="6522B00C" w14:textId="1AF3787A" w:rsidR="00314ACA" w:rsidRPr="00B65DEF" w:rsidRDefault="006E25BC" w:rsidP="00B65DEF">
      <w:pPr>
        <w:pStyle w:val="Ttulo3"/>
        <w:rPr>
          <w:szCs w:val="22"/>
        </w:rPr>
      </w:pPr>
      <w:bookmarkStart w:id="11" w:name="_Toc207224845"/>
      <w:r w:rsidRPr="00B65DEF">
        <w:rPr>
          <w:szCs w:val="22"/>
        </w:rPr>
        <w:lastRenderedPageBreak/>
        <w:t>c</w:t>
      </w:r>
      <w:r w:rsidR="00664420" w:rsidRPr="00B65DEF">
        <w:rPr>
          <w:szCs w:val="22"/>
        </w:rPr>
        <w:t xml:space="preserve">) </w:t>
      </w:r>
      <w:r w:rsidR="00314ACA" w:rsidRPr="00B65DEF">
        <w:rPr>
          <w:szCs w:val="22"/>
        </w:rPr>
        <w:t>Admisión de</w:t>
      </w:r>
      <w:r w:rsidR="002B44BF" w:rsidRPr="00B65DEF">
        <w:rPr>
          <w:szCs w:val="22"/>
        </w:rPr>
        <w:t xml:space="preserve">l </w:t>
      </w:r>
      <w:r w:rsidR="00314ACA" w:rsidRPr="00B65DEF">
        <w:rPr>
          <w:szCs w:val="22"/>
        </w:rPr>
        <w:t>Recurso de Revisión</w:t>
      </w:r>
      <w:r w:rsidR="003C128C" w:rsidRPr="00B65DEF">
        <w:rPr>
          <w:szCs w:val="22"/>
        </w:rPr>
        <w:t>.</w:t>
      </w:r>
      <w:bookmarkEnd w:id="11"/>
    </w:p>
    <w:p w14:paraId="34001FD5" w14:textId="4EE98DC7" w:rsidR="00A332A8" w:rsidRPr="00B65DEF" w:rsidRDefault="00001B41" w:rsidP="00B65DEF">
      <w:pPr>
        <w:tabs>
          <w:tab w:val="center" w:pos="4252"/>
          <w:tab w:val="right" w:pos="8504"/>
        </w:tabs>
        <w:rPr>
          <w:rFonts w:eastAsia="Palatino Linotype" w:cs="Palatino Linotype"/>
          <w:szCs w:val="22"/>
        </w:rPr>
      </w:pPr>
      <w:r w:rsidRPr="00B65DEF">
        <w:rPr>
          <w:rFonts w:eastAsia="Palatino Linotype" w:cs="Palatino Linotype"/>
          <w:szCs w:val="22"/>
        </w:rPr>
        <w:t>El</w:t>
      </w:r>
      <w:r w:rsidR="00A332A8" w:rsidRPr="00B65DEF">
        <w:rPr>
          <w:rFonts w:eastAsia="Palatino Linotype" w:cs="Palatino Linotype"/>
          <w:szCs w:val="22"/>
        </w:rPr>
        <w:t xml:space="preserve"> </w:t>
      </w:r>
      <w:r w:rsidR="009977A5" w:rsidRPr="00B65DEF">
        <w:rPr>
          <w:b/>
          <w:bCs/>
          <w:szCs w:val="22"/>
          <w:lang w:val="es-ES"/>
        </w:rPr>
        <w:t>quince de enero de dos mil veinticinco</w:t>
      </w:r>
      <w:r w:rsidR="009977A5" w:rsidRPr="00B65DEF">
        <w:rPr>
          <w:rFonts w:eastAsia="Palatino Linotype" w:cs="Palatino Linotype"/>
          <w:szCs w:val="22"/>
        </w:rPr>
        <w:t xml:space="preserve">, </w:t>
      </w:r>
      <w:r w:rsidR="00A332A8" w:rsidRPr="00B65DEF">
        <w:rPr>
          <w:rFonts w:eastAsia="Palatino Linotype" w:cs="Palatino Linotype"/>
          <w:szCs w:val="22"/>
        </w:rPr>
        <w:t xml:space="preserve">se acordó tener por acreditada la identidad de </w:t>
      </w:r>
      <w:r w:rsidR="00A332A8" w:rsidRPr="00B65DEF">
        <w:rPr>
          <w:rFonts w:eastAsia="Palatino Linotype" w:cs="Palatino Linotype"/>
          <w:b/>
          <w:szCs w:val="22"/>
        </w:rPr>
        <w:t xml:space="preserve">LA PARTE RECURRENTE </w:t>
      </w:r>
      <w:r w:rsidR="00A332A8" w:rsidRPr="00B65DEF">
        <w:rPr>
          <w:rFonts w:eastAsia="Palatino Linotype" w:cs="Palatino Linotype"/>
          <w:szCs w:val="22"/>
        </w:rPr>
        <w:t>así como la admisión a trámite de</w:t>
      </w:r>
      <w:r w:rsidR="00F971B1" w:rsidRPr="00B65DEF">
        <w:rPr>
          <w:rFonts w:eastAsia="Palatino Linotype" w:cs="Palatino Linotype"/>
          <w:szCs w:val="22"/>
        </w:rPr>
        <w:t>l</w:t>
      </w:r>
      <w:r w:rsidR="00A332A8" w:rsidRPr="00B65DEF">
        <w:rPr>
          <w:rFonts w:eastAsia="Palatino Linotype" w:cs="Palatino Linotype"/>
          <w:szCs w:val="22"/>
        </w:rPr>
        <w:t xml:space="preserve"> Recurso de Revisión que nos ocupa</w:t>
      </w:r>
      <w:r w:rsidR="00D91532" w:rsidRPr="00B65DEF">
        <w:rPr>
          <w:rFonts w:eastAsia="Palatino Linotype" w:cs="Palatino Linotype"/>
          <w:szCs w:val="22"/>
        </w:rPr>
        <w:t>,</w:t>
      </w:r>
      <w:r w:rsidR="00A332A8" w:rsidRPr="00B65DEF">
        <w:rPr>
          <w:rFonts w:eastAsia="Palatino Linotype" w:cs="Palatino Linotype"/>
          <w:szCs w:val="22"/>
        </w:rPr>
        <w:t xml:space="preserve"> así como la integración del expediente respectivo</w:t>
      </w:r>
      <w:r w:rsidR="00D91532" w:rsidRPr="00B65DEF">
        <w:rPr>
          <w:rFonts w:eastAsia="Palatino Linotype" w:cs="Palatino Linotype"/>
          <w:szCs w:val="22"/>
        </w:rPr>
        <w:t>;</w:t>
      </w:r>
      <w:r w:rsidR="00A332A8" w:rsidRPr="00B65DEF">
        <w:rPr>
          <w:rFonts w:eastAsia="Palatino Linotype" w:cs="Palatino Linotype"/>
          <w:szCs w:val="22"/>
        </w:rPr>
        <w:t xml:space="preserve"> otorgándole a las partes un </w:t>
      </w:r>
      <w:r w:rsidR="00A332A8" w:rsidRPr="00B65DEF">
        <w:rPr>
          <w:rFonts w:eastAsia="Palatino Linotype" w:cs="Palatino Linotype"/>
          <w:b/>
          <w:szCs w:val="22"/>
        </w:rPr>
        <w:t>plazo no mayor de siete días</w:t>
      </w:r>
      <w:r w:rsidR="00D91532" w:rsidRPr="00B65DEF">
        <w:rPr>
          <w:rFonts w:eastAsia="Palatino Linotype" w:cs="Palatino Linotype"/>
          <w:b/>
          <w:szCs w:val="22"/>
        </w:rPr>
        <w:t xml:space="preserve"> hábiles</w:t>
      </w:r>
      <w:r w:rsidR="00A332A8" w:rsidRPr="00B65DEF">
        <w:rPr>
          <w:rFonts w:eastAsia="Palatino Linotype" w:cs="Palatino Linotype"/>
          <w:szCs w:val="22"/>
        </w:rPr>
        <w:t xml:space="preserve"> manifiesten, por cualquier medio, su </w:t>
      </w:r>
      <w:r w:rsidR="00A332A8" w:rsidRPr="00B65DEF">
        <w:rPr>
          <w:rFonts w:eastAsia="Palatino Linotype" w:cs="Palatino Linotype"/>
          <w:b/>
          <w:szCs w:val="22"/>
        </w:rPr>
        <w:t>voluntad de conciliar</w:t>
      </w:r>
      <w:r w:rsidR="00A332A8" w:rsidRPr="00B65DEF">
        <w:rPr>
          <w:rFonts w:eastAsia="Palatino Linotype" w:cs="Palatino Linotype"/>
          <w:szCs w:val="22"/>
        </w:rPr>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09B589C5" w14:textId="77777777" w:rsidR="00664420" w:rsidRPr="00B65DEF" w:rsidRDefault="00664420" w:rsidP="00B65DEF">
      <w:pPr>
        <w:rPr>
          <w:rFonts w:cs="Tahoma"/>
          <w:b/>
          <w:szCs w:val="22"/>
        </w:rPr>
      </w:pPr>
    </w:p>
    <w:p w14:paraId="28B23F20" w14:textId="487ADDA9" w:rsidR="00A332A8" w:rsidRPr="00B65DEF" w:rsidRDefault="00E90B51" w:rsidP="00B65DEF">
      <w:pPr>
        <w:pStyle w:val="Ttulo3"/>
        <w:rPr>
          <w:rFonts w:eastAsia="Palatino Linotype" w:cs="Palatino Linotype"/>
          <w:szCs w:val="22"/>
        </w:rPr>
      </w:pPr>
      <w:bookmarkStart w:id="12" w:name="_Toc207224846"/>
      <w:r w:rsidRPr="00B65DEF">
        <w:rPr>
          <w:rFonts w:eastAsia="Palatino Linotype" w:cs="Palatino Linotype"/>
          <w:szCs w:val="22"/>
        </w:rPr>
        <w:t>d</w:t>
      </w:r>
      <w:r w:rsidR="00A332A8" w:rsidRPr="00B65DEF">
        <w:rPr>
          <w:rFonts w:eastAsia="Palatino Linotype" w:cs="Palatino Linotype"/>
          <w:szCs w:val="22"/>
        </w:rPr>
        <w:t>) De la etapa de conciliación</w:t>
      </w:r>
      <w:r w:rsidR="003C128C" w:rsidRPr="00B65DEF">
        <w:rPr>
          <w:rFonts w:eastAsia="Palatino Linotype" w:cs="Palatino Linotype"/>
          <w:szCs w:val="22"/>
        </w:rPr>
        <w:t>.</w:t>
      </w:r>
      <w:bookmarkEnd w:id="12"/>
    </w:p>
    <w:p w14:paraId="16992459" w14:textId="0F3B64DC" w:rsidR="002B44BF" w:rsidRPr="00B65DEF" w:rsidRDefault="002B44BF" w:rsidP="00B65DEF">
      <w:pPr>
        <w:spacing w:before="120" w:after="120"/>
        <w:rPr>
          <w:szCs w:val="22"/>
          <w:lang w:val="es-ES"/>
        </w:rPr>
      </w:pPr>
      <w:r w:rsidRPr="00B65DEF">
        <w:rPr>
          <w:szCs w:val="22"/>
          <w:lang w:val="es-ES"/>
        </w:rPr>
        <w:t xml:space="preserve">De las constancias </w:t>
      </w:r>
      <w:r w:rsidR="00D91532" w:rsidRPr="00B65DEF">
        <w:rPr>
          <w:szCs w:val="22"/>
          <w:lang w:val="es-ES"/>
        </w:rPr>
        <w:t>que obran en el</w:t>
      </w:r>
      <w:r w:rsidRPr="00B65DEF">
        <w:rPr>
          <w:szCs w:val="22"/>
          <w:lang w:val="es-ES"/>
        </w:rPr>
        <w:t xml:space="preserve"> expediente electrónico del</w:t>
      </w:r>
      <w:r w:rsidRPr="00B65DEF">
        <w:rPr>
          <w:b/>
          <w:szCs w:val="22"/>
          <w:lang w:val="es-ES"/>
        </w:rPr>
        <w:t xml:space="preserve"> SARCOEM</w:t>
      </w:r>
      <w:r w:rsidRPr="00B65DEF">
        <w:rPr>
          <w:szCs w:val="22"/>
          <w:lang w:val="es-ES"/>
        </w:rPr>
        <w:t xml:space="preserve">, se advierte que el </w:t>
      </w:r>
      <w:r w:rsidR="009977A5" w:rsidRPr="00B65DEF">
        <w:rPr>
          <w:b/>
          <w:bCs/>
          <w:szCs w:val="22"/>
          <w:lang w:val="es-ES"/>
        </w:rPr>
        <w:t>quince de enero de dos mil veinticinco</w:t>
      </w:r>
      <w:r w:rsidRPr="00B65DEF">
        <w:rPr>
          <w:szCs w:val="22"/>
          <w:lang w:val="es-ES"/>
        </w:rPr>
        <w:t xml:space="preserve"> se </w:t>
      </w:r>
      <w:proofErr w:type="spellStart"/>
      <w:r w:rsidR="009977A5" w:rsidRPr="00B65DEF">
        <w:rPr>
          <w:szCs w:val="22"/>
          <w:lang w:val="es-ES"/>
        </w:rPr>
        <w:t>apertur</w:t>
      </w:r>
      <w:r w:rsidR="008F756B" w:rsidRPr="00B65DEF">
        <w:rPr>
          <w:szCs w:val="22"/>
          <w:lang w:val="es-ES"/>
        </w:rPr>
        <w:t>ó</w:t>
      </w:r>
      <w:proofErr w:type="spellEnd"/>
      <w:r w:rsidRPr="00B65DEF">
        <w:rPr>
          <w:szCs w:val="22"/>
          <w:lang w:val="es-ES"/>
        </w:rPr>
        <w:t xml:space="preserve"> la etapa de conciliación, de la cual ninguna de las partes ha manifestado su voluntad de conciliar, como se ilustra:</w:t>
      </w:r>
    </w:p>
    <w:p w14:paraId="67056AE4" w14:textId="0776B7BD" w:rsidR="00983097" w:rsidRPr="00B65DEF" w:rsidRDefault="009977A5" w:rsidP="00B65DEF">
      <w:pPr>
        <w:widowControl w:val="0"/>
        <w:tabs>
          <w:tab w:val="left" w:pos="0"/>
        </w:tabs>
        <w:rPr>
          <w:szCs w:val="22"/>
        </w:rPr>
      </w:pPr>
      <w:r w:rsidRPr="00B65DEF">
        <w:rPr>
          <w:noProof/>
          <w:szCs w:val="22"/>
          <w:lang w:eastAsia="es-MX"/>
        </w:rPr>
        <w:drawing>
          <wp:inline distT="0" distB="0" distL="0" distR="0" wp14:anchorId="7073949D" wp14:editId="389B7541">
            <wp:extent cx="5742940" cy="3000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000375"/>
                    </a:xfrm>
                    <a:prstGeom prst="rect">
                      <a:avLst/>
                    </a:prstGeom>
                  </pic:spPr>
                </pic:pic>
              </a:graphicData>
            </a:graphic>
          </wp:inline>
        </w:drawing>
      </w:r>
    </w:p>
    <w:p w14:paraId="65C12BA9" w14:textId="77777777" w:rsidR="008F756B" w:rsidRPr="00B65DEF" w:rsidRDefault="008F756B" w:rsidP="00B65DEF">
      <w:pPr>
        <w:rPr>
          <w:rFonts w:eastAsia="Palatino Linotype"/>
        </w:rPr>
      </w:pPr>
    </w:p>
    <w:p w14:paraId="18809D19" w14:textId="56C885C8" w:rsidR="00BD345F" w:rsidRPr="00B65DEF" w:rsidRDefault="00B025B6" w:rsidP="00B65DEF">
      <w:pPr>
        <w:pStyle w:val="Ttulo3"/>
        <w:rPr>
          <w:szCs w:val="22"/>
        </w:rPr>
      </w:pPr>
      <w:bookmarkStart w:id="13" w:name="_Toc207224847"/>
      <w:r w:rsidRPr="00B65DEF">
        <w:rPr>
          <w:rFonts w:eastAsia="Palatino Linotype" w:cs="Palatino Linotype"/>
          <w:szCs w:val="22"/>
        </w:rPr>
        <w:t>e</w:t>
      </w:r>
      <w:r w:rsidR="00BD345F" w:rsidRPr="00B65DEF">
        <w:rPr>
          <w:rFonts w:eastAsia="Palatino Linotype" w:cs="Palatino Linotype"/>
          <w:szCs w:val="22"/>
        </w:rPr>
        <w:t xml:space="preserve">) </w:t>
      </w:r>
      <w:r w:rsidR="00D5659C" w:rsidRPr="00B65DEF">
        <w:rPr>
          <w:szCs w:val="22"/>
        </w:rPr>
        <w:t>De la etapa de manifestaciones</w:t>
      </w:r>
      <w:r w:rsidR="003C128C" w:rsidRPr="00B65DEF">
        <w:rPr>
          <w:szCs w:val="22"/>
        </w:rPr>
        <w:t>.</w:t>
      </w:r>
      <w:bookmarkEnd w:id="13"/>
    </w:p>
    <w:p w14:paraId="10AF6755" w14:textId="15E28646" w:rsidR="009977A5" w:rsidRPr="00B65DEF" w:rsidRDefault="009977A5" w:rsidP="00B65DEF">
      <w:pPr>
        <w:rPr>
          <w:szCs w:val="22"/>
          <w:lang w:val="es-ES"/>
        </w:rPr>
      </w:pPr>
      <w:r w:rsidRPr="00B65DEF">
        <w:rPr>
          <w:szCs w:val="22"/>
          <w:lang w:val="es-ES"/>
        </w:rPr>
        <w:t>De las constancias del expediente electrónico del</w:t>
      </w:r>
      <w:r w:rsidRPr="00B65DEF">
        <w:rPr>
          <w:b/>
          <w:szCs w:val="22"/>
          <w:lang w:val="es-ES"/>
        </w:rPr>
        <w:t xml:space="preserve"> SARCOEM</w:t>
      </w:r>
      <w:r w:rsidRPr="00B65DEF">
        <w:rPr>
          <w:szCs w:val="22"/>
          <w:lang w:val="es-ES"/>
        </w:rPr>
        <w:t xml:space="preserve">, se advierte que en la etapa de manifestaciones ninguna de las partes ha manifestado lo que a su interés convenga, es decir, </w:t>
      </w:r>
      <w:r w:rsidRPr="00B65DEF">
        <w:rPr>
          <w:b/>
          <w:bCs/>
          <w:szCs w:val="22"/>
          <w:lang w:val="es-ES"/>
        </w:rPr>
        <w:t xml:space="preserve">EL SUJETO OBLIGADO </w:t>
      </w:r>
      <w:r w:rsidRPr="00B65DEF">
        <w:rPr>
          <w:szCs w:val="22"/>
          <w:lang w:val="es-ES"/>
        </w:rPr>
        <w:t>no present</w:t>
      </w:r>
      <w:r w:rsidR="008F756B" w:rsidRPr="00B65DEF">
        <w:rPr>
          <w:szCs w:val="22"/>
          <w:lang w:val="es-ES"/>
        </w:rPr>
        <w:t>ó</w:t>
      </w:r>
      <w:r w:rsidRPr="00B65DEF">
        <w:rPr>
          <w:szCs w:val="22"/>
          <w:lang w:val="es-ES"/>
        </w:rPr>
        <w:t xml:space="preserve"> el informe justificado correspondiente</w:t>
      </w:r>
      <w:r w:rsidR="008F756B" w:rsidRPr="00B65DEF">
        <w:rPr>
          <w:szCs w:val="22"/>
          <w:lang w:val="es-ES"/>
        </w:rPr>
        <w:t xml:space="preserve"> y</w:t>
      </w:r>
      <w:r w:rsidRPr="00B65DEF">
        <w:rPr>
          <w:szCs w:val="22"/>
          <w:lang w:val="es-ES"/>
        </w:rPr>
        <w:t xml:space="preserve"> </w:t>
      </w:r>
      <w:r w:rsidR="008F756B" w:rsidRPr="00B65DEF">
        <w:rPr>
          <w:szCs w:val="22"/>
          <w:lang w:val="es-ES"/>
        </w:rPr>
        <w:t>l</w:t>
      </w:r>
      <w:r w:rsidRPr="00B65DEF">
        <w:rPr>
          <w:szCs w:val="22"/>
          <w:lang w:val="es-ES"/>
        </w:rPr>
        <w:t xml:space="preserve">a </w:t>
      </w:r>
      <w:r w:rsidRPr="00B65DEF">
        <w:rPr>
          <w:b/>
          <w:szCs w:val="22"/>
        </w:rPr>
        <w:t xml:space="preserve">PARTE RECURRENTE </w:t>
      </w:r>
      <w:r w:rsidRPr="00B65DEF">
        <w:rPr>
          <w:szCs w:val="22"/>
        </w:rPr>
        <w:t>no realizó manifestación alguna</w:t>
      </w:r>
      <w:r w:rsidR="008F756B" w:rsidRPr="00B65DEF">
        <w:rPr>
          <w:szCs w:val="22"/>
        </w:rPr>
        <w:t>,</w:t>
      </w:r>
      <w:r w:rsidRPr="00B65DEF">
        <w:rPr>
          <w:szCs w:val="22"/>
        </w:rPr>
        <w:t xml:space="preserve"> </w:t>
      </w:r>
      <w:r w:rsidR="008F756B" w:rsidRPr="00B65DEF">
        <w:rPr>
          <w:szCs w:val="22"/>
        </w:rPr>
        <w:t xml:space="preserve">presentó pruebas o alegatos, </w:t>
      </w:r>
      <w:r w:rsidRPr="00B65DEF">
        <w:rPr>
          <w:szCs w:val="22"/>
        </w:rPr>
        <w:t>dentro del término legalmente concedido para tal efecto</w:t>
      </w:r>
      <w:r w:rsidR="008F756B" w:rsidRPr="00B65DEF">
        <w:rPr>
          <w:szCs w:val="22"/>
        </w:rPr>
        <w:t>.</w:t>
      </w:r>
    </w:p>
    <w:p w14:paraId="341BD882" w14:textId="77777777" w:rsidR="009977A5" w:rsidRPr="00B65DEF" w:rsidRDefault="009977A5" w:rsidP="00B65DEF">
      <w:pPr>
        <w:rPr>
          <w:szCs w:val="22"/>
          <w:lang w:val="es-ES"/>
        </w:rPr>
      </w:pPr>
    </w:p>
    <w:p w14:paraId="2B4DC8A5" w14:textId="77777777" w:rsidR="009977A5" w:rsidRPr="00B65DEF" w:rsidRDefault="009977A5" w:rsidP="00B65DEF">
      <w:pPr>
        <w:rPr>
          <w:szCs w:val="22"/>
          <w:lang w:val="es-ES"/>
        </w:rPr>
      </w:pPr>
      <w:r w:rsidRPr="00B65DEF">
        <w:rPr>
          <w:noProof/>
          <w:szCs w:val="22"/>
          <w:lang w:eastAsia="es-MX"/>
        </w:rPr>
        <w:drawing>
          <wp:inline distT="0" distB="0" distL="0" distR="0" wp14:anchorId="30C4B4AC" wp14:editId="055408F9">
            <wp:extent cx="5612130" cy="1977390"/>
            <wp:effectExtent l="0" t="0" r="7620" b="3810"/>
            <wp:docPr id="1479764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64549" name=""/>
                    <pic:cNvPicPr/>
                  </pic:nvPicPr>
                  <pic:blipFill>
                    <a:blip r:embed="rId15"/>
                    <a:stretch>
                      <a:fillRect/>
                    </a:stretch>
                  </pic:blipFill>
                  <pic:spPr>
                    <a:xfrm>
                      <a:off x="0" y="0"/>
                      <a:ext cx="5612130" cy="1977390"/>
                    </a:xfrm>
                    <a:prstGeom prst="rect">
                      <a:avLst/>
                    </a:prstGeom>
                  </pic:spPr>
                </pic:pic>
              </a:graphicData>
            </a:graphic>
          </wp:inline>
        </w:drawing>
      </w:r>
    </w:p>
    <w:p w14:paraId="62173E7A" w14:textId="77777777" w:rsidR="009977A5" w:rsidRPr="00B65DEF" w:rsidRDefault="009977A5" w:rsidP="00B65DEF">
      <w:pPr>
        <w:rPr>
          <w:szCs w:val="22"/>
          <w:lang w:val="es-ES"/>
        </w:rPr>
      </w:pPr>
    </w:p>
    <w:p w14:paraId="16885B44" w14:textId="46052518" w:rsidR="001B4A85" w:rsidRPr="00B65DEF" w:rsidRDefault="001B4A85" w:rsidP="00B65DEF">
      <w:pPr>
        <w:pStyle w:val="Ttulo3"/>
        <w:rPr>
          <w:szCs w:val="22"/>
        </w:rPr>
      </w:pPr>
      <w:bookmarkStart w:id="14" w:name="_Toc207224848"/>
      <w:r w:rsidRPr="00B65DEF">
        <w:rPr>
          <w:rFonts w:eastAsia="Palatino Linotype" w:cs="Palatino Linotype"/>
          <w:szCs w:val="22"/>
        </w:rPr>
        <w:t xml:space="preserve">f) </w:t>
      </w:r>
      <w:r w:rsidRPr="00B65DEF">
        <w:rPr>
          <w:szCs w:val="22"/>
        </w:rPr>
        <w:t>De la Prevención.</w:t>
      </w:r>
      <w:bookmarkEnd w:id="14"/>
    </w:p>
    <w:p w14:paraId="7A96F708" w14:textId="6FAD54CB" w:rsidR="009977A5" w:rsidRPr="00B65DEF" w:rsidRDefault="001B4A85" w:rsidP="00B65DEF">
      <w:pPr>
        <w:rPr>
          <w:szCs w:val="22"/>
        </w:rPr>
      </w:pPr>
      <w:r w:rsidRPr="00B65DEF">
        <w:rPr>
          <w:szCs w:val="22"/>
        </w:rPr>
        <w:t xml:space="preserve">El </w:t>
      </w:r>
      <w:r w:rsidRPr="00B65DEF">
        <w:rPr>
          <w:b/>
          <w:szCs w:val="22"/>
        </w:rPr>
        <w:t>seis de agosto de dos mil veinticinco</w:t>
      </w:r>
      <w:r w:rsidRPr="00B65DEF">
        <w:rPr>
          <w:szCs w:val="22"/>
        </w:rPr>
        <w:t xml:space="preserve">, con fundamento en los artículos 130 y 136 de la Ley de Protección de Datos Personales, se previno a </w:t>
      </w:r>
      <w:r w:rsidRPr="00B65DEF">
        <w:rPr>
          <w:b/>
          <w:szCs w:val="22"/>
        </w:rPr>
        <w:t>LA PARTE RECURRENTE</w:t>
      </w:r>
      <w:r w:rsidRPr="00B65DEF">
        <w:rPr>
          <w:szCs w:val="22"/>
        </w:rPr>
        <w:t xml:space="preserve"> para que, en un plazo máximo de cinco días hábiles, presentara los documentos idóneos que acreditaran su identidad, la identidad del titular de los datos personales y, en su caso, su representación legal</w:t>
      </w:r>
      <w:r w:rsidR="008F756B" w:rsidRPr="00B65DEF">
        <w:rPr>
          <w:szCs w:val="22"/>
        </w:rPr>
        <w:t xml:space="preserve"> para ejercer el derecho de acceso a datos personales</w:t>
      </w:r>
      <w:r w:rsidRPr="00B65DEF">
        <w:rPr>
          <w:szCs w:val="22"/>
        </w:rPr>
        <w:t xml:space="preserve">, apercibiéndole que, de no hacerlo, se procedería al sobreseimiento del recurso. La prevención fue notificada en la misma fecha a través del sistema </w:t>
      </w:r>
      <w:r w:rsidRPr="00B65DEF">
        <w:rPr>
          <w:b/>
          <w:szCs w:val="22"/>
        </w:rPr>
        <w:t>SARCOEM</w:t>
      </w:r>
      <w:r w:rsidRPr="00B65DEF">
        <w:rPr>
          <w:szCs w:val="22"/>
        </w:rPr>
        <w:t>.</w:t>
      </w:r>
    </w:p>
    <w:p w14:paraId="339DB9A9" w14:textId="77777777" w:rsidR="001B4A85" w:rsidRPr="00B65DEF" w:rsidRDefault="001B4A85" w:rsidP="00B65DEF">
      <w:pPr>
        <w:rPr>
          <w:szCs w:val="22"/>
        </w:rPr>
      </w:pPr>
    </w:p>
    <w:p w14:paraId="744D1D7B" w14:textId="713428F6" w:rsidR="001B4A85" w:rsidRPr="00B65DEF" w:rsidRDefault="001B4A85" w:rsidP="00B65DEF">
      <w:pPr>
        <w:pStyle w:val="Ttulo3"/>
        <w:rPr>
          <w:szCs w:val="22"/>
        </w:rPr>
      </w:pPr>
      <w:bookmarkStart w:id="15" w:name="_Toc207224849"/>
      <w:r w:rsidRPr="00B65DEF">
        <w:rPr>
          <w:rFonts w:eastAsia="Palatino Linotype" w:cs="Palatino Linotype"/>
          <w:szCs w:val="22"/>
        </w:rPr>
        <w:lastRenderedPageBreak/>
        <w:t xml:space="preserve">g) </w:t>
      </w:r>
      <w:r w:rsidRPr="00B65DEF">
        <w:rPr>
          <w:szCs w:val="22"/>
        </w:rPr>
        <w:t>De la atención de la Prevención.</w:t>
      </w:r>
      <w:bookmarkEnd w:id="15"/>
    </w:p>
    <w:p w14:paraId="44E86AA0" w14:textId="27CBE740" w:rsidR="001B4A85" w:rsidRPr="00B65DEF" w:rsidRDefault="001B4A85" w:rsidP="00B65DEF">
      <w:pPr>
        <w:rPr>
          <w:szCs w:val="22"/>
        </w:rPr>
      </w:pPr>
      <w:r w:rsidRPr="00B65DEF">
        <w:rPr>
          <w:szCs w:val="22"/>
          <w:lang w:eastAsia="es-MX"/>
        </w:rPr>
        <w:t xml:space="preserve">De las constancias que obran en el </w:t>
      </w:r>
      <w:r w:rsidRPr="00B65DEF">
        <w:rPr>
          <w:b/>
          <w:szCs w:val="22"/>
          <w:lang w:eastAsia="es-MX"/>
        </w:rPr>
        <w:t>SARCOEM</w:t>
      </w:r>
      <w:r w:rsidRPr="00B65DEF">
        <w:rPr>
          <w:szCs w:val="22"/>
          <w:lang w:eastAsia="es-MX"/>
        </w:rPr>
        <w:t xml:space="preserve">, y una vez transcurrido el plazo otorgado en el acuerdo de prevención, se advierte que </w:t>
      </w:r>
      <w:r w:rsidRPr="00B65DEF">
        <w:rPr>
          <w:b/>
          <w:szCs w:val="22"/>
          <w:lang w:eastAsia="es-MX"/>
        </w:rPr>
        <w:t>LA PARTE RECURRENTE</w:t>
      </w:r>
      <w:r w:rsidRPr="00B65DEF">
        <w:rPr>
          <w:szCs w:val="22"/>
          <w:lang w:eastAsia="es-MX"/>
        </w:rPr>
        <w:t xml:space="preserve"> no desahogó el requerimiento formulado. En consecuencia, este órgano garante carece de elementos para acreditar la legitimación activa de la solicitante y la identidad del titular de los datos personales a los que pretende acceder, lo que podría constituir causal de sobreseimiento en términos de los artículos 125, 136, párrafo segundo, y 138, fracción II, de la Ley de Protección de Datos Personales.</w:t>
      </w:r>
    </w:p>
    <w:p w14:paraId="6F195FBB" w14:textId="77777777" w:rsidR="009977A5" w:rsidRPr="00B65DEF" w:rsidRDefault="009977A5" w:rsidP="00B65DEF">
      <w:pPr>
        <w:rPr>
          <w:szCs w:val="22"/>
          <w:lang w:val="es-ES"/>
        </w:rPr>
      </w:pPr>
    </w:p>
    <w:p w14:paraId="0E651988" w14:textId="54517FE8" w:rsidR="00664420" w:rsidRPr="00B65DEF" w:rsidRDefault="000F31D0" w:rsidP="00B65DEF">
      <w:pPr>
        <w:pStyle w:val="Ttulo3"/>
        <w:rPr>
          <w:szCs w:val="22"/>
        </w:rPr>
      </w:pPr>
      <w:bookmarkStart w:id="16" w:name="_Toc207224850"/>
      <w:r w:rsidRPr="00B65DEF">
        <w:rPr>
          <w:szCs w:val="22"/>
        </w:rPr>
        <w:t>h</w:t>
      </w:r>
      <w:r w:rsidR="00664420" w:rsidRPr="00B65DEF">
        <w:rPr>
          <w:szCs w:val="22"/>
        </w:rPr>
        <w:t>) Cierre de instrucción</w:t>
      </w:r>
      <w:r w:rsidR="003C128C" w:rsidRPr="00B65DEF">
        <w:rPr>
          <w:szCs w:val="22"/>
        </w:rPr>
        <w:t>.</w:t>
      </w:r>
      <w:bookmarkEnd w:id="16"/>
    </w:p>
    <w:p w14:paraId="694D6D44" w14:textId="3494A5A4" w:rsidR="0036064B" w:rsidRPr="00B65DEF" w:rsidRDefault="0036064B" w:rsidP="00B65DEF">
      <w:pPr>
        <w:rPr>
          <w:szCs w:val="22"/>
        </w:rPr>
      </w:pPr>
      <w:r w:rsidRPr="00B65DEF">
        <w:rPr>
          <w:szCs w:val="22"/>
        </w:rPr>
        <w:t xml:space="preserve">Al no existir diligencias pendientes por desahogar, el </w:t>
      </w:r>
      <w:r w:rsidR="001B4A85" w:rsidRPr="00B65DEF">
        <w:rPr>
          <w:rFonts w:cs="Arial"/>
          <w:b/>
          <w:szCs w:val="22"/>
        </w:rPr>
        <w:t>quince</w:t>
      </w:r>
      <w:r w:rsidR="0016110E" w:rsidRPr="00B65DEF">
        <w:rPr>
          <w:rFonts w:cs="Arial"/>
          <w:b/>
          <w:szCs w:val="22"/>
        </w:rPr>
        <w:t xml:space="preserve"> de agosto</w:t>
      </w:r>
      <w:r w:rsidRPr="00B65DEF">
        <w:rPr>
          <w:rFonts w:cs="Arial"/>
          <w:b/>
          <w:szCs w:val="22"/>
        </w:rPr>
        <w:t xml:space="preserve"> de dos mil veinticinco</w:t>
      </w:r>
      <w:r w:rsidR="00063F87" w:rsidRPr="00B65DEF">
        <w:rPr>
          <w:rFonts w:cs="Arial"/>
          <w:b/>
          <w:szCs w:val="22"/>
        </w:rPr>
        <w:t xml:space="preserve"> </w:t>
      </w:r>
      <w:r w:rsidRPr="00B65DEF">
        <w:rPr>
          <w:rFonts w:cs="Arial"/>
          <w:szCs w:val="22"/>
        </w:rPr>
        <w:t xml:space="preserve">la </w:t>
      </w:r>
      <w:r w:rsidRPr="00B65DEF">
        <w:rPr>
          <w:rFonts w:cs="Arial"/>
          <w:b/>
          <w:bCs/>
          <w:szCs w:val="22"/>
        </w:rPr>
        <w:t xml:space="preserve">Comisionada </w:t>
      </w:r>
      <w:r w:rsidRPr="00B65DEF">
        <w:rPr>
          <w:b/>
          <w:szCs w:val="22"/>
        </w:rPr>
        <w:t xml:space="preserve">Sharon Cristina Morales Martínez </w:t>
      </w:r>
      <w:r w:rsidRPr="00B65DEF">
        <w:rPr>
          <w:szCs w:val="22"/>
        </w:rPr>
        <w:t xml:space="preserve">acordó el cierre de instrucción y la remisión del expediente a efecto de ser resuelto, de conformidad con lo establecido en el artículo </w:t>
      </w:r>
      <w:r w:rsidR="008F756B" w:rsidRPr="00B65DEF">
        <w:rPr>
          <w:szCs w:val="22"/>
        </w:rPr>
        <w:t>127 de la Ley de Protección de Datos Personales en Posesión de Sujetos Obligados del Estado de México y Municipios</w:t>
      </w:r>
      <w:r w:rsidR="00063F87" w:rsidRPr="00B65DEF">
        <w:rPr>
          <w:szCs w:val="22"/>
        </w:rPr>
        <w:t xml:space="preserve"> y</w:t>
      </w:r>
      <w:r w:rsidR="008F756B" w:rsidRPr="00B65DEF">
        <w:rPr>
          <w:szCs w:val="22"/>
        </w:rPr>
        <w:t xml:space="preserve"> </w:t>
      </w:r>
      <w:r w:rsidRPr="00B65DEF">
        <w:rPr>
          <w:szCs w:val="22"/>
        </w:rPr>
        <w:t>185 fracciones VI y VIII de la Ley de Transparencia y Acceso a la Información Pública del Estado de México y Municipios</w:t>
      </w:r>
      <w:r w:rsidR="008F756B" w:rsidRPr="00B65DEF">
        <w:rPr>
          <w:szCs w:val="22"/>
        </w:rPr>
        <w:t>,</w:t>
      </w:r>
      <w:r w:rsidRPr="00B65DEF">
        <w:rPr>
          <w:szCs w:val="22"/>
        </w:rPr>
        <w:t xml:space="preserve"> de aplicación supletoria. Dicho acuerdo fue notificado a las partes el mismo día a través del </w:t>
      </w:r>
      <w:r w:rsidRPr="00B65DEF">
        <w:rPr>
          <w:b/>
          <w:szCs w:val="22"/>
        </w:rPr>
        <w:t>SARCOEM</w:t>
      </w:r>
      <w:r w:rsidRPr="00B65DEF">
        <w:rPr>
          <w:szCs w:val="22"/>
        </w:rPr>
        <w:t>.</w:t>
      </w:r>
    </w:p>
    <w:p w14:paraId="741683E3" w14:textId="77777777" w:rsidR="0011350D" w:rsidRPr="00B65DEF" w:rsidRDefault="0011350D" w:rsidP="00B65DEF">
      <w:pPr>
        <w:rPr>
          <w:rFonts w:cs="Tahoma"/>
          <w:szCs w:val="22"/>
        </w:rPr>
      </w:pPr>
    </w:p>
    <w:p w14:paraId="23A67A6D" w14:textId="2B77E09C" w:rsidR="00BE2D42" w:rsidRPr="00B65DEF" w:rsidRDefault="000F31D0" w:rsidP="00B65DEF">
      <w:pPr>
        <w:pStyle w:val="Ttulo3"/>
        <w:rPr>
          <w:szCs w:val="22"/>
        </w:rPr>
      </w:pPr>
      <w:bookmarkStart w:id="17" w:name="_Toc207224851"/>
      <w:r w:rsidRPr="00B65DEF">
        <w:rPr>
          <w:szCs w:val="22"/>
        </w:rPr>
        <w:t>i</w:t>
      </w:r>
      <w:r w:rsidR="00BE2D42" w:rsidRPr="00B65DEF">
        <w:rPr>
          <w:szCs w:val="22"/>
        </w:rPr>
        <w:t xml:space="preserve">) </w:t>
      </w:r>
      <w:r w:rsidR="00BE2D42" w:rsidRPr="00B65DEF">
        <w:rPr>
          <w:rFonts w:eastAsia="Palatino Linotype" w:cs="Palatino Linotype"/>
          <w:szCs w:val="22"/>
        </w:rPr>
        <w:t>Ampliación del término para resolver</w:t>
      </w:r>
      <w:r w:rsidR="00BE2D42" w:rsidRPr="00B65DEF">
        <w:rPr>
          <w:szCs w:val="22"/>
        </w:rPr>
        <w:t>.</w:t>
      </w:r>
      <w:bookmarkEnd w:id="17"/>
    </w:p>
    <w:p w14:paraId="6EFCBAD0" w14:textId="7FB4CCD8"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t xml:space="preserve">El </w:t>
      </w:r>
      <w:r w:rsidRPr="00B65DEF">
        <w:rPr>
          <w:rFonts w:eastAsia="Palatino Linotype" w:cs="Palatino Linotype"/>
          <w:b/>
          <w:szCs w:val="22"/>
        </w:rPr>
        <w:t>veint</w:t>
      </w:r>
      <w:r w:rsidR="00BA7814" w:rsidRPr="00B65DEF">
        <w:rPr>
          <w:rFonts w:eastAsia="Palatino Linotype" w:cs="Palatino Linotype"/>
          <w:b/>
          <w:szCs w:val="22"/>
        </w:rPr>
        <w:t xml:space="preserve">iuno </w:t>
      </w:r>
      <w:r w:rsidRPr="00B65DEF">
        <w:rPr>
          <w:rFonts w:eastAsia="Palatino Linotype" w:cs="Palatino Linotype"/>
          <w:b/>
          <w:szCs w:val="22"/>
        </w:rPr>
        <w:t xml:space="preserve">de agosto de dos mil veinticinco </w:t>
      </w:r>
      <w:r w:rsidRPr="00B65DEF">
        <w:rPr>
          <w:rFonts w:eastAsia="Palatino Linotype" w:cs="Palatino Linotype"/>
          <w:szCs w:val="22"/>
        </w:rPr>
        <w:t>se amplió el término para resolver el recurso de revisión</w:t>
      </w:r>
      <w:r w:rsidR="00CE31E1" w:rsidRPr="00B65DEF">
        <w:rPr>
          <w:rFonts w:eastAsia="Palatino Linotype" w:cs="Palatino Linotype"/>
          <w:szCs w:val="22"/>
        </w:rPr>
        <w:t>,</w:t>
      </w:r>
      <w:r w:rsidRPr="00B65DEF">
        <w:rPr>
          <w:rFonts w:eastAsia="Palatino Linotype" w:cs="Palatino Linotype"/>
          <w:szCs w:val="22"/>
        </w:rPr>
        <w:t xml:space="preserve"> en términos del artículo 133 de la Ley de Protección de Datos Personales en Posesión de Sujetos Obligados del Estado de México y Municipios.</w:t>
      </w:r>
    </w:p>
    <w:p w14:paraId="3DDBA661" w14:textId="77777777" w:rsidR="00CE31E1" w:rsidRPr="00B65DEF" w:rsidRDefault="00CE31E1" w:rsidP="00B65DEF">
      <w:pPr>
        <w:spacing w:before="240" w:after="240"/>
        <w:rPr>
          <w:rFonts w:eastAsia="Palatino Linotype" w:cs="Palatino Linotype"/>
          <w:szCs w:val="22"/>
        </w:rPr>
      </w:pPr>
    </w:p>
    <w:p w14:paraId="7097B1B3"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6890EDA"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30B672F"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82536F"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C7AF9A" w14:textId="77777777" w:rsidR="00BE2D42" w:rsidRPr="00B65DEF" w:rsidRDefault="00BE2D42" w:rsidP="00B65DEF">
      <w:pPr>
        <w:spacing w:before="240" w:after="240"/>
        <w:rPr>
          <w:rFonts w:eastAsia="Palatino Linotype" w:cs="Palatino Linotype"/>
          <w:strike/>
          <w:szCs w:val="22"/>
        </w:rPr>
      </w:pPr>
      <w:r w:rsidRPr="00B65DEF">
        <w:rPr>
          <w:rFonts w:eastAsia="Palatino Linotype" w:cs="Palatino Linotype"/>
          <w:szCs w:val="22"/>
        </w:rPr>
        <w:t xml:space="preserve">Por ello, excepcionalmente, si un asunto es resuelto con posterioridad a los plazos señalados por la norma debe analizarse la razonabilidad del tiempo necesario para su resolución, atentos a los siguientes criterios: </w:t>
      </w:r>
    </w:p>
    <w:p w14:paraId="50A87E89" w14:textId="77777777" w:rsidR="00BE2D42" w:rsidRPr="00B65DEF" w:rsidRDefault="00BE2D42" w:rsidP="00B65DEF">
      <w:pPr>
        <w:numPr>
          <w:ilvl w:val="0"/>
          <w:numId w:val="37"/>
        </w:numPr>
        <w:spacing w:before="240" w:after="240"/>
        <w:rPr>
          <w:rFonts w:eastAsia="Palatino Linotype" w:cs="Palatino Linotype"/>
          <w:szCs w:val="22"/>
        </w:rPr>
      </w:pPr>
      <w:r w:rsidRPr="00B65DEF">
        <w:rPr>
          <w:rFonts w:eastAsia="Palatino Linotype" w:cs="Palatino Linotype"/>
          <w:szCs w:val="22"/>
        </w:rPr>
        <w:t xml:space="preserve">Complejidad del Asunto: La complejidad de la prueba, la pluralidad de sujetos procesales, el tiempo transcurrido, las características y contexto del recurso. </w:t>
      </w:r>
    </w:p>
    <w:p w14:paraId="6B0B3492" w14:textId="77777777" w:rsidR="00BE2D42" w:rsidRPr="00B65DEF" w:rsidRDefault="00BE2D42" w:rsidP="00B65DEF">
      <w:pPr>
        <w:numPr>
          <w:ilvl w:val="0"/>
          <w:numId w:val="37"/>
        </w:numPr>
        <w:spacing w:before="240" w:after="240"/>
        <w:rPr>
          <w:rFonts w:eastAsia="Palatino Linotype" w:cs="Palatino Linotype"/>
          <w:szCs w:val="22"/>
        </w:rPr>
      </w:pPr>
      <w:r w:rsidRPr="00B65DEF">
        <w:rPr>
          <w:rFonts w:eastAsia="Palatino Linotype" w:cs="Palatino Linotype"/>
          <w:szCs w:val="22"/>
        </w:rPr>
        <w:t>Actividad Procesal del interesado. Acciones u omisiones del interesado.</w:t>
      </w:r>
    </w:p>
    <w:p w14:paraId="27ECA6F9" w14:textId="77777777" w:rsidR="00BE2D42" w:rsidRPr="00B65DEF" w:rsidRDefault="00BE2D42" w:rsidP="00B65DEF">
      <w:pPr>
        <w:numPr>
          <w:ilvl w:val="0"/>
          <w:numId w:val="37"/>
        </w:numPr>
        <w:spacing w:before="240" w:after="240"/>
        <w:rPr>
          <w:rFonts w:eastAsia="Palatino Linotype" w:cs="Palatino Linotype"/>
          <w:szCs w:val="22"/>
        </w:rPr>
      </w:pPr>
      <w:r w:rsidRPr="00B65DEF">
        <w:rPr>
          <w:rFonts w:eastAsia="Palatino Linotype" w:cs="Palatino Linotype"/>
          <w:szCs w:val="22"/>
        </w:rPr>
        <w:lastRenderedPageBreak/>
        <w:t>Conducta de la Autoridad: Las Acciones u omisiones realizadas en el procedimiento. Así como si la autoridad actuó con la debida diligencia.</w:t>
      </w:r>
    </w:p>
    <w:p w14:paraId="3CCE6185" w14:textId="77777777" w:rsidR="00BE2D42" w:rsidRPr="00B65DEF" w:rsidRDefault="00BE2D42" w:rsidP="00B65DEF">
      <w:pPr>
        <w:spacing w:before="240" w:after="240"/>
        <w:ind w:left="567"/>
        <w:rPr>
          <w:rFonts w:eastAsia="Palatino Linotype" w:cs="Palatino Linotype"/>
          <w:szCs w:val="22"/>
        </w:rPr>
      </w:pPr>
      <w:r w:rsidRPr="00B65DEF">
        <w:rPr>
          <w:rFonts w:eastAsia="Palatino Linotype" w:cs="Palatino Linotype"/>
          <w:szCs w:val="22"/>
        </w:rPr>
        <w:t>d) La afectación generada en la situación jurídica de la persona involucrada en el proceso: Violación a sus derechos humanos.</w:t>
      </w:r>
    </w:p>
    <w:p w14:paraId="547FF498"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D75DC9" w14:textId="77777777" w:rsidR="00BE2D42" w:rsidRPr="00B65DEF" w:rsidRDefault="00BE2D42" w:rsidP="00B65DEF">
      <w:pPr>
        <w:spacing w:before="240" w:after="240"/>
        <w:rPr>
          <w:rFonts w:eastAsia="Palatino Linotype" w:cs="Palatino Linotype"/>
          <w:b/>
          <w:szCs w:val="22"/>
        </w:rPr>
      </w:pPr>
      <w:r w:rsidRPr="00B65DEF">
        <w:rPr>
          <w:rFonts w:eastAsia="Palatino Linotype" w:cs="Palatino Linotype"/>
          <w:szCs w:val="22"/>
        </w:rPr>
        <w:t>Argumento que encuentra sustento en la jurisprudencia P</w:t>
      </w:r>
      <w:proofErr w:type="gramStart"/>
      <w:r w:rsidRPr="00B65DEF">
        <w:rPr>
          <w:rFonts w:eastAsia="Palatino Linotype" w:cs="Palatino Linotype"/>
          <w:szCs w:val="22"/>
        </w:rPr>
        <w:t>./</w:t>
      </w:r>
      <w:proofErr w:type="gramEnd"/>
      <w:r w:rsidRPr="00B65DEF">
        <w:rPr>
          <w:rFonts w:eastAsia="Palatino Linotype" w:cs="Palatino Linotype"/>
          <w:szCs w:val="22"/>
        </w:rPr>
        <w:t xml:space="preserve">J. 32/92 emitida por el Pleno de la Suprema Corte de Justicia de la Nación de rubro </w:t>
      </w:r>
      <w:r w:rsidRPr="00B65DEF">
        <w:rPr>
          <w:rFonts w:eastAsia="Palatino Linotype" w:cs="Palatino Linotype"/>
          <w:i/>
          <w:szCs w:val="22"/>
        </w:rPr>
        <w:t>“TÉRMINOS PROCESALES. PARA DETERMINAR SI UN FUNCIONARIO JUDICIAL ACTUÓ INDEBIDAMENTE POR NO RESPETARLOS SE DEBE ATENDER AL PRESUPUESTO QUE CONSIDERÓ EL LEGISLADOR AL FIJARLOS Y LAS CARACTERÍSTICAS DEL CASO.”</w:t>
      </w:r>
      <w:r w:rsidRPr="00B65DEF">
        <w:rPr>
          <w:rFonts w:eastAsia="Palatino Linotype" w:cs="Palatino Linotype"/>
          <w:szCs w:val="22"/>
        </w:rPr>
        <w:t>, visible en la Gaceta del Seminario Judicial de la Federación con el registro digital 205635.</w:t>
      </w:r>
    </w:p>
    <w:p w14:paraId="2035B772"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CB5892"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lastRenderedPageBreak/>
        <w:t>Al respecto, también son de considerar los criterios sostenidos por el Cuarto Tribunal Colegiado en Materia Administrativa del Primer Circuito, cuyos rubros y datos de identificación son los siguientes:</w:t>
      </w:r>
    </w:p>
    <w:p w14:paraId="5F11AFCE" w14:textId="77777777" w:rsidR="00BE2D42" w:rsidRPr="00B65DEF" w:rsidRDefault="00BE2D42" w:rsidP="00B65DEF">
      <w:pPr>
        <w:spacing w:before="240" w:after="240"/>
        <w:ind w:left="851" w:right="902"/>
        <w:rPr>
          <w:rFonts w:eastAsia="Palatino Linotype" w:cs="Palatino Linotype"/>
          <w:szCs w:val="22"/>
        </w:rPr>
      </w:pPr>
      <w:r w:rsidRPr="00B65DEF">
        <w:rPr>
          <w:rFonts w:eastAsia="Palatino Linotype" w:cs="Palatino Linotype"/>
          <w:szCs w:val="22"/>
        </w:rPr>
        <w:t xml:space="preserve"> </w:t>
      </w:r>
      <w:r w:rsidRPr="00B65DEF">
        <w:rPr>
          <w:rFonts w:eastAsia="Palatino Linotype" w:cs="Palatino Linotype"/>
          <w:i/>
          <w:szCs w:val="22"/>
        </w:rPr>
        <w:t>“</w:t>
      </w:r>
      <w:r w:rsidRPr="00B65DEF">
        <w:rPr>
          <w:rFonts w:eastAsia="Palatino Linotype" w:cs="Palatino Linotype"/>
          <w:b/>
          <w:i/>
          <w:szCs w:val="22"/>
        </w:rPr>
        <w:t>PLAZO RAZONABLE PARA RESOLVER. DIMENSIÓN Y EFECTOS DE ESTE CONCEPTO CUANDO SE ADUCE EXCESIVA CARGA DE TRABAJO</w:t>
      </w:r>
      <w:r w:rsidRPr="00B65DEF">
        <w:rPr>
          <w:rFonts w:eastAsia="Palatino Linotype" w:cs="Palatino Linotype"/>
          <w:i/>
          <w:szCs w:val="22"/>
        </w:rPr>
        <w:t>.”</w:t>
      </w:r>
      <w:r w:rsidRPr="00B65DEF">
        <w:rPr>
          <w:rFonts w:eastAsia="Palatino Linotype" w:cs="Palatino Linotype"/>
          <w:szCs w:val="22"/>
        </w:rPr>
        <w:t xml:space="preserve"> consultable en el Seminario Judicial de la Federación y su gaceta, con el registro digital 2002351.</w:t>
      </w:r>
    </w:p>
    <w:p w14:paraId="449258B6" w14:textId="77777777" w:rsidR="00BE2D42" w:rsidRPr="00B65DEF" w:rsidRDefault="00BE2D42" w:rsidP="00B65DEF">
      <w:pPr>
        <w:spacing w:before="240" w:after="240"/>
        <w:ind w:left="851" w:right="902"/>
        <w:rPr>
          <w:rFonts w:eastAsia="Palatino Linotype" w:cs="Palatino Linotype"/>
          <w:szCs w:val="22"/>
        </w:rPr>
      </w:pPr>
      <w:r w:rsidRPr="00B65DEF">
        <w:rPr>
          <w:rFonts w:eastAsia="Palatino Linotype" w:cs="Palatino Linotype"/>
          <w:i/>
          <w:szCs w:val="22"/>
        </w:rPr>
        <w:t>“</w:t>
      </w:r>
      <w:r w:rsidRPr="00B65DEF">
        <w:rPr>
          <w:rFonts w:eastAsia="Palatino Linotype" w:cs="Palatino Linotype"/>
          <w:b/>
          <w:i/>
          <w:szCs w:val="22"/>
        </w:rPr>
        <w:t>PLAZO RAZONABLE PARA RESOLVER. CONCEPTO Y ELEMENTOS QUE LO INTEGRAN A LA LUZ DEL DERECHO INTERNACIONAL DE LOS DERECHOS HUMANOS</w:t>
      </w:r>
      <w:r w:rsidRPr="00B65DEF">
        <w:rPr>
          <w:rFonts w:eastAsia="Palatino Linotype" w:cs="Palatino Linotype"/>
          <w:i/>
          <w:szCs w:val="22"/>
        </w:rPr>
        <w:t>.”</w:t>
      </w:r>
      <w:r w:rsidRPr="00B65DEF">
        <w:rPr>
          <w:rFonts w:eastAsia="Palatino Linotype" w:cs="Palatino Linotype"/>
          <w:szCs w:val="22"/>
        </w:rPr>
        <w:t>, visible en el Seminario Judicial de la Federación y su gaceta, con el registro digital 2002350.</w:t>
      </w:r>
    </w:p>
    <w:p w14:paraId="3D622704" w14:textId="77777777" w:rsidR="00BE2D42" w:rsidRPr="00B65DEF" w:rsidRDefault="00BE2D42" w:rsidP="00B65DEF">
      <w:pPr>
        <w:spacing w:before="240" w:after="240"/>
        <w:rPr>
          <w:rFonts w:eastAsia="Palatino Linotype" w:cs="Palatino Linotype"/>
          <w:szCs w:val="22"/>
        </w:rPr>
      </w:pPr>
      <w:r w:rsidRPr="00B65DEF">
        <w:rPr>
          <w:rFonts w:eastAsia="Palatino Linotype" w:cs="Palatino Linotype"/>
          <w:szCs w:val="22"/>
        </w:rPr>
        <w:t>Por ello, este Organismo Garante comprometido con la tutela de los derechos humanos confiados, señala que este exceso del plazo legal para resolver el presente asunto, resulta de carácter excepcional.</w:t>
      </w:r>
    </w:p>
    <w:p w14:paraId="7A9629DE" w14:textId="77777777" w:rsidR="00664420" w:rsidRPr="00B65DEF" w:rsidRDefault="00664420" w:rsidP="00B65DEF">
      <w:pPr>
        <w:pStyle w:val="Ttulo1"/>
        <w:rPr>
          <w:rFonts w:eastAsiaTheme="minorHAnsi"/>
          <w:szCs w:val="22"/>
          <w:lang w:eastAsia="en-US"/>
        </w:rPr>
      </w:pPr>
      <w:bookmarkStart w:id="18" w:name="_Toc207224852"/>
      <w:r w:rsidRPr="00B65DEF">
        <w:rPr>
          <w:rFonts w:eastAsiaTheme="minorHAnsi"/>
          <w:szCs w:val="22"/>
          <w:lang w:eastAsia="en-US"/>
        </w:rPr>
        <w:t>CONSIDERANDOS</w:t>
      </w:r>
      <w:bookmarkEnd w:id="18"/>
    </w:p>
    <w:p w14:paraId="6DD1243B" w14:textId="77777777" w:rsidR="00664420" w:rsidRPr="00B65DEF" w:rsidRDefault="00664420" w:rsidP="00B65DEF">
      <w:pPr>
        <w:contextualSpacing/>
        <w:jc w:val="center"/>
        <w:rPr>
          <w:rFonts w:eastAsiaTheme="minorHAnsi" w:cs="Tahoma"/>
          <w:b/>
          <w:szCs w:val="22"/>
          <w:lang w:eastAsia="en-US"/>
        </w:rPr>
      </w:pPr>
    </w:p>
    <w:p w14:paraId="0B67CB92" w14:textId="2E307D3B" w:rsidR="00664420" w:rsidRPr="00B65DEF" w:rsidRDefault="00664420" w:rsidP="00B65DEF">
      <w:pPr>
        <w:pStyle w:val="Ttulo2"/>
        <w:rPr>
          <w:rFonts w:eastAsia="Batang"/>
          <w:szCs w:val="22"/>
        </w:rPr>
      </w:pPr>
      <w:bookmarkStart w:id="19" w:name="_Toc207224853"/>
      <w:r w:rsidRPr="00B65DEF">
        <w:rPr>
          <w:rFonts w:eastAsia="Batang"/>
          <w:szCs w:val="22"/>
        </w:rPr>
        <w:t xml:space="preserve">PRIMERO. </w:t>
      </w:r>
      <w:proofErr w:type="spellStart"/>
      <w:r w:rsidR="00BA55A8" w:rsidRPr="00B65DEF">
        <w:rPr>
          <w:rFonts w:eastAsia="Batang"/>
          <w:szCs w:val="22"/>
        </w:rPr>
        <w:t>Procedibilidad</w:t>
      </w:r>
      <w:bookmarkEnd w:id="19"/>
      <w:proofErr w:type="spellEnd"/>
    </w:p>
    <w:p w14:paraId="39C52BC1" w14:textId="56FCC20D" w:rsidR="00BA55A8" w:rsidRPr="00B65DEF" w:rsidRDefault="00BA55A8" w:rsidP="00B65DEF">
      <w:pPr>
        <w:pStyle w:val="Ttulo3"/>
        <w:rPr>
          <w:szCs w:val="22"/>
        </w:rPr>
      </w:pPr>
      <w:bookmarkStart w:id="20" w:name="_Toc207224854"/>
      <w:r w:rsidRPr="00B65DEF">
        <w:rPr>
          <w:szCs w:val="22"/>
        </w:rPr>
        <w:t>a) Competencia</w:t>
      </w:r>
      <w:r w:rsidR="00150C49" w:rsidRPr="00B65DEF">
        <w:rPr>
          <w:szCs w:val="22"/>
        </w:rPr>
        <w:t xml:space="preserve"> del Instituto</w:t>
      </w:r>
      <w:bookmarkEnd w:id="20"/>
    </w:p>
    <w:p w14:paraId="268499EA" w14:textId="77777777" w:rsidR="00983097" w:rsidRPr="00B65DEF" w:rsidRDefault="00983097" w:rsidP="00B65DEF">
      <w:pPr>
        <w:rPr>
          <w:szCs w:val="22"/>
        </w:rPr>
      </w:pPr>
      <w:r w:rsidRPr="00B65DEF">
        <w:rPr>
          <w:szCs w:val="22"/>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w:t>
      </w:r>
      <w:r w:rsidRPr="00B65DEF">
        <w:rPr>
          <w:szCs w:val="22"/>
        </w:rPr>
        <w:lastRenderedPageBreak/>
        <w:t>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6C36A399" w14:textId="77777777" w:rsidR="00DB1C09" w:rsidRPr="00B65DEF" w:rsidRDefault="00DB1C09" w:rsidP="00B65DEF">
      <w:pPr>
        <w:rPr>
          <w:rFonts w:cs="Arial"/>
          <w:szCs w:val="22"/>
        </w:rPr>
      </w:pPr>
    </w:p>
    <w:p w14:paraId="517A2DD6" w14:textId="4169BE4D" w:rsidR="00664420" w:rsidRPr="00B65DEF" w:rsidRDefault="00BA55A8" w:rsidP="00B65DEF">
      <w:pPr>
        <w:pStyle w:val="Ttulo3"/>
        <w:rPr>
          <w:szCs w:val="22"/>
        </w:rPr>
      </w:pPr>
      <w:bookmarkStart w:id="21" w:name="_Toc207224855"/>
      <w:r w:rsidRPr="00B65DEF">
        <w:rPr>
          <w:szCs w:val="22"/>
        </w:rPr>
        <w:t>b)</w:t>
      </w:r>
      <w:r w:rsidR="00664420" w:rsidRPr="00B65DEF">
        <w:rPr>
          <w:szCs w:val="22"/>
        </w:rPr>
        <w:t xml:space="preserve"> </w:t>
      </w:r>
      <w:r w:rsidR="00D91CB4" w:rsidRPr="00B65DEF">
        <w:rPr>
          <w:szCs w:val="22"/>
        </w:rPr>
        <w:t>Legitimidad</w:t>
      </w:r>
      <w:r w:rsidRPr="00B65DEF">
        <w:rPr>
          <w:szCs w:val="22"/>
        </w:rPr>
        <w:t xml:space="preserve"> de la parte recurrente</w:t>
      </w:r>
      <w:bookmarkEnd w:id="21"/>
    </w:p>
    <w:p w14:paraId="25A9BB19" w14:textId="2985E878" w:rsidR="00194A90" w:rsidRPr="00B65DEF" w:rsidRDefault="00194A90" w:rsidP="00B65DEF">
      <w:pPr>
        <w:rPr>
          <w:rFonts w:cs="Arial"/>
          <w:bCs/>
          <w:szCs w:val="22"/>
        </w:rPr>
      </w:pPr>
      <w:r w:rsidRPr="00B65DEF">
        <w:rPr>
          <w:rFonts w:cs="Arial"/>
          <w:bCs/>
          <w:szCs w:val="22"/>
        </w:rPr>
        <w:t>El recurso de revisión fue interpuesto a través del Sistema de Acceso, Rectificación, Cancelación y Oposición de Datos Personales del Estado de México (SARCOEM), por la misma persona que formuló la solicitud inicial de acceso a datos personales. En consecuencia, se tiene por satisfecha la legitimación procesal necesaria para promover este medio de impugnación.</w:t>
      </w:r>
    </w:p>
    <w:p w14:paraId="2EF5DF57" w14:textId="77777777" w:rsidR="00194A90" w:rsidRPr="00B65DEF" w:rsidRDefault="00194A90" w:rsidP="00B65DEF">
      <w:pPr>
        <w:rPr>
          <w:rFonts w:cs="Arial"/>
          <w:bCs/>
          <w:szCs w:val="22"/>
        </w:rPr>
      </w:pPr>
    </w:p>
    <w:p w14:paraId="7B7B6527" w14:textId="1A03033B" w:rsidR="00194A90" w:rsidRPr="00B65DEF" w:rsidRDefault="00194A90" w:rsidP="00B65DEF">
      <w:pPr>
        <w:rPr>
          <w:rFonts w:cs="Arial"/>
          <w:bCs/>
          <w:szCs w:val="22"/>
        </w:rPr>
      </w:pPr>
      <w:r w:rsidRPr="00B65DEF">
        <w:rPr>
          <w:rFonts w:cs="Arial"/>
          <w:bCs/>
          <w:szCs w:val="22"/>
        </w:rPr>
        <w:t xml:space="preserve">No obstante, debe destacarse que la legitimación para </w:t>
      </w:r>
      <w:r w:rsidRPr="00B65DEF">
        <w:rPr>
          <w:rFonts w:cs="Arial"/>
          <w:b/>
          <w:bCs/>
          <w:szCs w:val="22"/>
        </w:rPr>
        <w:t>interponer</w:t>
      </w:r>
      <w:r w:rsidRPr="00B65DEF">
        <w:rPr>
          <w:rFonts w:cs="Arial"/>
          <w:bCs/>
          <w:szCs w:val="22"/>
        </w:rPr>
        <w:t xml:space="preserve"> un recurso de revisión no se confunde con la legitimación necesaria para </w:t>
      </w:r>
      <w:r w:rsidRPr="00B65DEF">
        <w:rPr>
          <w:rFonts w:cs="Arial"/>
          <w:b/>
          <w:bCs/>
          <w:szCs w:val="22"/>
        </w:rPr>
        <w:t>ejercer efectivamente</w:t>
      </w:r>
      <w:r w:rsidRPr="00B65DEF">
        <w:rPr>
          <w:rFonts w:cs="Arial"/>
          <w:bCs/>
          <w:szCs w:val="22"/>
        </w:rPr>
        <w:t xml:space="preserve"> el derecho de acceso a datos personales, pues esta última exige acreditar, de manera indubitable, la identidad del titular de los datos personales solicitados o, en su caso, la identidad y personalidad de quien comparezca en su representación legal, conforme a lo dispuesto en los artículos 97, 106, 110, fracción II, y 130, fracción VI de la LPDPPP.</w:t>
      </w:r>
    </w:p>
    <w:p w14:paraId="48A90F84" w14:textId="77777777" w:rsidR="00194A90" w:rsidRPr="00B65DEF" w:rsidRDefault="00194A90" w:rsidP="00B65DEF">
      <w:pPr>
        <w:rPr>
          <w:rFonts w:cs="Arial"/>
          <w:bCs/>
          <w:szCs w:val="22"/>
        </w:rPr>
      </w:pPr>
    </w:p>
    <w:p w14:paraId="47E4766A" w14:textId="3E222501" w:rsidR="00194A90" w:rsidRPr="00B65DEF" w:rsidRDefault="00194A90" w:rsidP="00B65DEF">
      <w:pPr>
        <w:rPr>
          <w:rFonts w:cs="Arial"/>
          <w:bCs/>
          <w:szCs w:val="22"/>
        </w:rPr>
      </w:pPr>
      <w:r w:rsidRPr="00B65DEF">
        <w:rPr>
          <w:rFonts w:cs="Arial"/>
          <w:bCs/>
          <w:szCs w:val="22"/>
        </w:rPr>
        <w:t xml:space="preserve">En el caso concreto, si bien la recurrente acreditó su identidad personal mediante la presentación de su credencial para votar, no aportó documentos que acreditaran la identidad del titular de los datos patrimoniales cuya entrega solicitaba, ni demostró contar con una representación vigente y suficiente que le permitiera ejercer el derecho de acceso en nombre de dicho titular; por ello, aunque tuvo legitimación procesal para presentar el recurso, carece </w:t>
      </w:r>
      <w:r w:rsidRPr="00B65DEF">
        <w:rPr>
          <w:rFonts w:cs="Arial"/>
          <w:bCs/>
          <w:szCs w:val="22"/>
        </w:rPr>
        <w:lastRenderedPageBreak/>
        <w:t>de la legitimación sustantiva necesaria para que prospere su pretensión, circunstancia que se analiza con mayor detalle en el apartado de requisitos formales.</w:t>
      </w:r>
    </w:p>
    <w:p w14:paraId="5248BEFD" w14:textId="77777777" w:rsidR="00353AB6" w:rsidRPr="00B65DEF" w:rsidRDefault="00353AB6" w:rsidP="00B65DEF">
      <w:pPr>
        <w:rPr>
          <w:rFonts w:cs="Arial"/>
          <w:bCs/>
          <w:szCs w:val="22"/>
        </w:rPr>
      </w:pPr>
    </w:p>
    <w:p w14:paraId="496490FC" w14:textId="0DD531FA" w:rsidR="00D91CB4" w:rsidRPr="00B65DEF" w:rsidRDefault="00BA55A8" w:rsidP="00B65DEF">
      <w:pPr>
        <w:pStyle w:val="Ttulo3"/>
        <w:rPr>
          <w:rFonts w:eastAsia="Calibri"/>
          <w:szCs w:val="22"/>
          <w:lang w:eastAsia="es-ES_tradnl"/>
        </w:rPr>
      </w:pPr>
      <w:bookmarkStart w:id="22" w:name="_Toc207224856"/>
      <w:r w:rsidRPr="00B65DEF">
        <w:rPr>
          <w:rFonts w:eastAsia="Calibri"/>
          <w:szCs w:val="22"/>
          <w:lang w:eastAsia="es-ES_tradnl"/>
        </w:rPr>
        <w:t>c)</w:t>
      </w:r>
      <w:r w:rsidR="00664420" w:rsidRPr="00B65DEF">
        <w:rPr>
          <w:rFonts w:eastAsia="Calibri"/>
          <w:szCs w:val="22"/>
          <w:lang w:eastAsia="es-ES_tradnl"/>
        </w:rPr>
        <w:t xml:space="preserve"> </w:t>
      </w:r>
      <w:r w:rsidR="00D91CB4" w:rsidRPr="00B65DEF">
        <w:rPr>
          <w:rFonts w:eastAsia="Calibri"/>
          <w:szCs w:val="22"/>
          <w:lang w:eastAsia="es-ES_tradnl"/>
        </w:rPr>
        <w:t xml:space="preserve">Plazo para interponer </w:t>
      </w:r>
      <w:r w:rsidR="00B2634C" w:rsidRPr="00B65DEF">
        <w:rPr>
          <w:rFonts w:eastAsia="Calibri"/>
          <w:szCs w:val="22"/>
          <w:lang w:eastAsia="es-ES_tradnl"/>
        </w:rPr>
        <w:t>el recurso</w:t>
      </w:r>
      <w:bookmarkEnd w:id="22"/>
    </w:p>
    <w:p w14:paraId="1CEC4CBB" w14:textId="05572496" w:rsidR="007849EA" w:rsidRPr="00B65DEF" w:rsidRDefault="007849EA" w:rsidP="00B65DEF">
      <w:pPr>
        <w:rPr>
          <w:rFonts w:eastAsia="Palatino Linotype" w:cs="Palatino Linotype"/>
          <w:szCs w:val="22"/>
        </w:rPr>
      </w:pPr>
      <w:r w:rsidRPr="00B65DEF">
        <w:rPr>
          <w:rFonts w:eastAsia="Palatino Linotype" w:cs="Palatino Linotype"/>
          <w:szCs w:val="22"/>
        </w:rPr>
        <w:t>Esta Ponencia analizó las causales de procedencia del Recurso de Revisión, por tratarse de una cuestión de orden público y estudio preferente, por lo que en ese orden de ideas se advierte que el recurso de revisión fue interpuesto dentro del plazo establecido por lo dispuesto en el artículo 128 de la Ley de Protección de Datos Personales en Posesión de Sujetos Obligados del Estado de México y Municipios, que establece:</w:t>
      </w:r>
    </w:p>
    <w:p w14:paraId="30487149" w14:textId="77777777" w:rsidR="007849EA" w:rsidRPr="00B65DEF" w:rsidRDefault="007849EA" w:rsidP="00B65DEF">
      <w:pPr>
        <w:rPr>
          <w:rFonts w:eastAsia="Palatino Linotype" w:cs="Palatino Linotype"/>
          <w:szCs w:val="22"/>
        </w:rPr>
      </w:pPr>
    </w:p>
    <w:p w14:paraId="662EBEB5" w14:textId="77777777" w:rsidR="007849EA" w:rsidRPr="00B65DEF" w:rsidRDefault="007849EA" w:rsidP="00B65DEF">
      <w:pPr>
        <w:ind w:left="851" w:right="902"/>
        <w:rPr>
          <w:rFonts w:eastAsia="Palatino Linotype" w:cs="Palatino Linotype"/>
          <w:b/>
          <w:i/>
          <w:szCs w:val="22"/>
          <w:u w:val="single"/>
        </w:rPr>
      </w:pPr>
      <w:r w:rsidRPr="00B65DEF">
        <w:rPr>
          <w:rFonts w:eastAsia="Palatino Linotype" w:cs="Palatino Linotype"/>
          <w:b/>
          <w:i/>
          <w:szCs w:val="22"/>
        </w:rPr>
        <w:t xml:space="preserve">“Artículo 128.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2A5700A5" w14:textId="77777777" w:rsidR="007849EA" w:rsidRPr="00B65DEF" w:rsidRDefault="007849EA" w:rsidP="00B65DEF">
      <w:pPr>
        <w:ind w:left="851" w:right="902"/>
        <w:rPr>
          <w:rFonts w:eastAsia="Palatino Linotype" w:cs="Palatino Linotype"/>
          <w:b/>
          <w:i/>
          <w:szCs w:val="22"/>
        </w:rPr>
      </w:pPr>
    </w:p>
    <w:p w14:paraId="01183DB1" w14:textId="2E6AB814" w:rsidR="007849EA" w:rsidRPr="00B65DEF" w:rsidRDefault="00717632" w:rsidP="00B65DEF">
      <w:pPr>
        <w:ind w:left="851" w:right="902"/>
        <w:rPr>
          <w:rFonts w:eastAsia="Palatino Linotype" w:cs="Palatino Linotype"/>
          <w:b/>
          <w:i/>
          <w:szCs w:val="22"/>
          <w:u w:val="single"/>
        </w:rPr>
      </w:pPr>
      <w:r w:rsidRPr="00B65DEF">
        <w:rPr>
          <w:rFonts w:eastAsia="Palatino Linotype" w:cs="Palatino Linotype"/>
          <w:b/>
          <w:i/>
          <w:szCs w:val="22"/>
          <w:u w:val="single"/>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018EFF9F" w14:textId="77777777" w:rsidR="00717632" w:rsidRPr="00B65DEF" w:rsidRDefault="00717632" w:rsidP="00B65DEF">
      <w:pPr>
        <w:ind w:left="851" w:right="902"/>
        <w:rPr>
          <w:rFonts w:eastAsia="Palatino Linotype" w:cs="Palatino Linotype"/>
          <w:b/>
          <w:i/>
          <w:szCs w:val="22"/>
        </w:rPr>
      </w:pPr>
    </w:p>
    <w:p w14:paraId="1A035C69" w14:textId="77777777" w:rsidR="007849EA" w:rsidRPr="00B65DEF" w:rsidRDefault="007849EA" w:rsidP="00B65DEF">
      <w:pPr>
        <w:ind w:left="851" w:right="902"/>
        <w:rPr>
          <w:rFonts w:eastAsia="Palatino Linotype" w:cs="Palatino Linotype"/>
          <w:b/>
          <w:i/>
          <w:szCs w:val="22"/>
        </w:rPr>
      </w:pPr>
      <w:r w:rsidRPr="00B65DEF">
        <w:rPr>
          <w:rFonts w:eastAsia="Palatino Linotype" w:cs="Palatino Linotype"/>
          <w:b/>
          <w:i/>
          <w:szCs w:val="22"/>
        </w:rPr>
        <w:t>(Énfasis añadido)</w:t>
      </w:r>
    </w:p>
    <w:p w14:paraId="0DFCE8F6" w14:textId="77777777" w:rsidR="007849EA" w:rsidRPr="00B65DEF" w:rsidRDefault="007849EA" w:rsidP="00B65DEF">
      <w:pPr>
        <w:ind w:left="851" w:right="899"/>
        <w:rPr>
          <w:rFonts w:eastAsia="Palatino Linotype" w:cs="Palatino Linotype"/>
          <w:szCs w:val="22"/>
        </w:rPr>
      </w:pPr>
    </w:p>
    <w:p w14:paraId="3A81E8EA" w14:textId="1E5A2293" w:rsidR="007849EA" w:rsidRPr="00B65DEF" w:rsidRDefault="007849EA" w:rsidP="00B65DEF">
      <w:pPr>
        <w:rPr>
          <w:rFonts w:eastAsia="Palatino Linotype" w:cs="Palatino Linotype"/>
          <w:szCs w:val="22"/>
        </w:rPr>
      </w:pPr>
      <w:r w:rsidRPr="00B65DEF">
        <w:rPr>
          <w:rFonts w:eastAsia="Palatino Linotype" w:cs="Palatino Linotype"/>
          <w:szCs w:val="22"/>
        </w:rPr>
        <w:lastRenderedPageBreak/>
        <w:t>En atención a lo anterior, el término concedido a los particulares para presentar el Recurso de Revisión no podrá exceder de quince días contados a partir del siguiente día de la fecha de notificación de la respuesta</w:t>
      </w:r>
      <w:r w:rsidR="00717632" w:rsidRPr="00B65DEF">
        <w:rPr>
          <w:rFonts w:eastAsia="Palatino Linotype" w:cs="Palatino Linotype"/>
          <w:szCs w:val="22"/>
        </w:rPr>
        <w:t xml:space="preserve"> o en su caso ante la falta de respuesta</w:t>
      </w:r>
      <w:r w:rsidRPr="00B65DEF">
        <w:rPr>
          <w:rFonts w:eastAsia="Palatino Linotype" w:cs="Palatino Linotype"/>
          <w:szCs w:val="22"/>
        </w:rPr>
        <w:t>.</w:t>
      </w:r>
    </w:p>
    <w:p w14:paraId="24D13C67" w14:textId="77777777" w:rsidR="007849EA" w:rsidRPr="00B65DEF" w:rsidRDefault="007849EA" w:rsidP="00B65DEF">
      <w:pPr>
        <w:rPr>
          <w:rFonts w:eastAsia="Palatino Linotype" w:cs="Palatino Linotype"/>
          <w:szCs w:val="22"/>
        </w:rPr>
      </w:pPr>
    </w:p>
    <w:p w14:paraId="0A07000E" w14:textId="3D57078C" w:rsidR="007849EA" w:rsidRPr="00B65DEF" w:rsidRDefault="007849EA" w:rsidP="00B65DEF">
      <w:pPr>
        <w:widowControl w:val="0"/>
        <w:ind w:left="7" w:right="1"/>
        <w:rPr>
          <w:rFonts w:eastAsia="Palatino Linotype" w:cs="Palatino Linotype"/>
          <w:szCs w:val="22"/>
        </w:rPr>
      </w:pPr>
      <w:r w:rsidRPr="00B65DEF">
        <w:rPr>
          <w:rFonts w:eastAsia="Palatino Linotype" w:cs="Palatino Linotype"/>
          <w:szCs w:val="22"/>
        </w:rPr>
        <w:t xml:space="preserve">En efecto, atendiendo a que </w:t>
      </w:r>
      <w:r w:rsidRPr="00B65DEF">
        <w:rPr>
          <w:rFonts w:eastAsia="Palatino Linotype" w:cs="Palatino Linotype"/>
          <w:b/>
          <w:szCs w:val="22"/>
        </w:rPr>
        <w:t>EL SUJETO OBLIGADO</w:t>
      </w:r>
      <w:r w:rsidRPr="00B65DEF">
        <w:rPr>
          <w:rFonts w:eastAsia="Palatino Linotype" w:cs="Palatino Linotype"/>
          <w:szCs w:val="22"/>
        </w:rPr>
        <w:t xml:space="preserve"> </w:t>
      </w:r>
      <w:r w:rsidR="00717632" w:rsidRPr="00B65DEF">
        <w:rPr>
          <w:rFonts w:eastAsia="Palatino Linotype" w:cs="Palatino Linotype"/>
          <w:szCs w:val="22"/>
        </w:rPr>
        <w:t xml:space="preserve">omitió notificar una </w:t>
      </w:r>
      <w:r w:rsidRPr="00B65DEF">
        <w:rPr>
          <w:rFonts w:eastAsia="Palatino Linotype" w:cs="Palatino Linotype"/>
          <w:szCs w:val="22"/>
        </w:rPr>
        <w:t>respuesta a la solicitud de acceso a datos personales; en consecuencia, el plazo de quince días hábiles que el artículo 128</w:t>
      </w:r>
      <w:r w:rsidR="00717632" w:rsidRPr="00B65DEF">
        <w:rPr>
          <w:rFonts w:eastAsia="Palatino Linotype" w:cs="Palatino Linotype"/>
          <w:szCs w:val="22"/>
        </w:rPr>
        <w:t>, segundo párrafo</w:t>
      </w:r>
      <w:r w:rsidRPr="00B65DEF">
        <w:rPr>
          <w:rFonts w:eastAsia="Palatino Linotype" w:cs="Palatino Linotype"/>
          <w:szCs w:val="22"/>
        </w:rPr>
        <w:t xml:space="preserve"> de la ley de la materia otorga a</w:t>
      </w:r>
      <w:r w:rsidR="00717632" w:rsidRPr="00B65DEF">
        <w:rPr>
          <w:rFonts w:eastAsia="Palatino Linotype" w:cs="Palatino Linotype"/>
          <w:szCs w:val="22"/>
        </w:rPr>
        <w:t xml:space="preserve"> </w:t>
      </w:r>
      <w:r w:rsidR="00717632" w:rsidRPr="00B65DEF">
        <w:rPr>
          <w:rFonts w:eastAsia="Palatino Linotype" w:cs="Palatino Linotype"/>
          <w:b/>
          <w:szCs w:val="22"/>
        </w:rPr>
        <w:t>LA PARTE</w:t>
      </w:r>
      <w:r w:rsidRPr="00B65DEF">
        <w:rPr>
          <w:rFonts w:eastAsia="Palatino Linotype" w:cs="Palatino Linotype"/>
          <w:szCs w:val="22"/>
        </w:rPr>
        <w:t xml:space="preserve"> </w:t>
      </w:r>
      <w:r w:rsidRPr="00B65DEF">
        <w:rPr>
          <w:rFonts w:eastAsia="Palatino Linotype" w:cs="Palatino Linotype"/>
          <w:b/>
          <w:szCs w:val="22"/>
        </w:rPr>
        <w:t>RECURRENTE</w:t>
      </w:r>
      <w:r w:rsidRPr="00B65DEF">
        <w:rPr>
          <w:rFonts w:eastAsia="Palatino Linotype" w:cs="Palatino Linotype"/>
          <w:szCs w:val="22"/>
        </w:rPr>
        <w:t xml:space="preserve"> para presentar el Recurso de Revisión, transcurrió del </w:t>
      </w:r>
      <w:r w:rsidR="00717632" w:rsidRPr="00B65DEF">
        <w:rPr>
          <w:rFonts w:eastAsia="Palatino Linotype" w:cs="Palatino Linotype"/>
          <w:b/>
          <w:szCs w:val="22"/>
        </w:rPr>
        <w:t xml:space="preserve">veintiocho de noviembre al </w:t>
      </w:r>
      <w:r w:rsidR="00033D8B" w:rsidRPr="00B65DEF">
        <w:rPr>
          <w:rFonts w:eastAsia="Palatino Linotype" w:cs="Palatino Linotype"/>
          <w:b/>
          <w:szCs w:val="22"/>
        </w:rPr>
        <w:t>diecinueve</w:t>
      </w:r>
      <w:r w:rsidR="00717632" w:rsidRPr="00B65DEF">
        <w:rPr>
          <w:rFonts w:eastAsia="Palatino Linotype" w:cs="Palatino Linotype"/>
          <w:b/>
          <w:szCs w:val="22"/>
        </w:rPr>
        <w:t xml:space="preserve"> de diciembre de dos mil veinticuatro</w:t>
      </w:r>
      <w:r w:rsidRPr="00B65DEF">
        <w:rPr>
          <w:rFonts w:eastAsia="Palatino Linotype" w:cs="Palatino Linotype"/>
          <w:b/>
          <w:szCs w:val="22"/>
        </w:rPr>
        <w:t xml:space="preserve">; </w:t>
      </w:r>
      <w:r w:rsidRPr="00B65DEF">
        <w:rPr>
          <w:rFonts w:eastAsia="Palatino Linotype" w:cs="Palatino Linotype"/>
          <w:szCs w:val="22"/>
        </w:rPr>
        <w:t>sin contemplar en el cómputo los días sábados y domingos, es decir, son considerados como días inhábiles, en términos del artículo 3, fracción X de la Ley de Transparencia y Acceso a la Información Pública del Estado de México y Municipios</w:t>
      </w:r>
      <w:r w:rsidR="00A65489" w:rsidRPr="00B65DEF">
        <w:rPr>
          <w:rFonts w:eastAsia="Palatino Linotype" w:cs="Palatino Linotype"/>
          <w:szCs w:val="22"/>
        </w:rPr>
        <w:t>, de aplicación supletoria</w:t>
      </w:r>
      <w:r w:rsidRPr="00B65DEF">
        <w:rPr>
          <w:rFonts w:eastAsia="Palatino Linotype" w:cs="Palatino Linotype"/>
          <w:szCs w:val="22"/>
        </w:rPr>
        <w:t>.</w:t>
      </w:r>
    </w:p>
    <w:p w14:paraId="4999DB3F" w14:textId="77777777" w:rsidR="007849EA" w:rsidRPr="00B65DEF" w:rsidRDefault="007849EA" w:rsidP="00B65DEF">
      <w:pPr>
        <w:widowControl w:val="0"/>
        <w:ind w:left="7" w:right="1"/>
        <w:rPr>
          <w:rFonts w:eastAsia="Palatino Linotype" w:cs="Palatino Linotype"/>
          <w:szCs w:val="22"/>
        </w:rPr>
      </w:pPr>
    </w:p>
    <w:p w14:paraId="2E7CE8A3" w14:textId="49A9A6BA" w:rsidR="007849EA" w:rsidRPr="00B65DEF" w:rsidRDefault="007849EA" w:rsidP="00B65DEF">
      <w:pPr>
        <w:ind w:right="49"/>
        <w:rPr>
          <w:rFonts w:eastAsia="Palatino Linotype" w:cs="Palatino Linotype"/>
          <w:b/>
          <w:szCs w:val="22"/>
        </w:rPr>
      </w:pPr>
      <w:r w:rsidRPr="00B65DEF">
        <w:rPr>
          <w:rFonts w:eastAsia="Palatino Linotype" w:cs="Palatino Linotype"/>
          <w:szCs w:val="22"/>
        </w:rPr>
        <w:t xml:space="preserve">Que el Recurso de Revisión se tuvo por interpuesto el </w:t>
      </w:r>
      <w:r w:rsidR="00717632" w:rsidRPr="00B65DEF">
        <w:rPr>
          <w:rFonts w:eastAsia="Palatino Linotype" w:cs="Palatino Linotype"/>
          <w:b/>
          <w:szCs w:val="22"/>
        </w:rPr>
        <w:t>diecinueve de diciembre de dos mil veinticuatro</w:t>
      </w:r>
      <w:r w:rsidRPr="00B65DEF">
        <w:rPr>
          <w:rFonts w:eastAsia="Palatino Linotype" w:cs="Palatino Linotype"/>
          <w:szCs w:val="22"/>
        </w:rPr>
        <w:t xml:space="preserve">, por lo que su interposición se considera </w:t>
      </w:r>
      <w:r w:rsidR="00033D8B" w:rsidRPr="00B65DEF">
        <w:rPr>
          <w:rFonts w:eastAsia="Palatino Linotype" w:cs="Palatino Linotype"/>
          <w:szCs w:val="22"/>
        </w:rPr>
        <w:t>oportuna</w:t>
      </w:r>
      <w:r w:rsidRPr="00B65DEF">
        <w:rPr>
          <w:rFonts w:eastAsia="Palatino Linotype" w:cs="Palatino Linotype"/>
          <w:szCs w:val="22"/>
        </w:rPr>
        <w:t>.</w:t>
      </w:r>
    </w:p>
    <w:p w14:paraId="46C0EB3A" w14:textId="7F5BA42B" w:rsidR="00A53315" w:rsidRPr="00B65DEF" w:rsidRDefault="00BA55A8" w:rsidP="00B65DEF">
      <w:pPr>
        <w:pStyle w:val="Ttulo3"/>
        <w:rPr>
          <w:rFonts w:eastAsia="Calibri"/>
          <w:szCs w:val="22"/>
          <w:lang w:eastAsia="es-ES_tradnl"/>
        </w:rPr>
      </w:pPr>
      <w:bookmarkStart w:id="23" w:name="_Toc207224857"/>
      <w:r w:rsidRPr="00B65DEF">
        <w:rPr>
          <w:rFonts w:eastAsia="Calibri"/>
          <w:szCs w:val="22"/>
          <w:lang w:eastAsia="es-ES_tradnl"/>
        </w:rPr>
        <w:t>d)</w:t>
      </w:r>
      <w:r w:rsidR="00D91CB4" w:rsidRPr="00B65DEF">
        <w:rPr>
          <w:rFonts w:eastAsia="Calibri"/>
          <w:szCs w:val="22"/>
          <w:lang w:eastAsia="es-ES_tradnl"/>
        </w:rPr>
        <w:t xml:space="preserve"> </w:t>
      </w:r>
      <w:r w:rsidR="00353AB6" w:rsidRPr="00B65DEF">
        <w:rPr>
          <w:rFonts w:eastAsia="Calibri"/>
          <w:szCs w:val="22"/>
          <w:lang w:eastAsia="es-ES_tradnl"/>
        </w:rPr>
        <w:t>Causal de procedencia</w:t>
      </w:r>
      <w:bookmarkEnd w:id="23"/>
    </w:p>
    <w:p w14:paraId="190404A6" w14:textId="0BAFC7D0" w:rsidR="00BA55A8" w:rsidRPr="00B65DEF" w:rsidRDefault="00BA55A8" w:rsidP="00B65DEF">
      <w:pPr>
        <w:rPr>
          <w:szCs w:val="22"/>
        </w:rPr>
      </w:pPr>
      <w:r w:rsidRPr="00B65DEF">
        <w:rPr>
          <w:rFonts w:cs="Arial"/>
          <w:szCs w:val="22"/>
        </w:rPr>
        <w:t xml:space="preserve">Resulta procedente la interposición del recurso de revisión, ya que </w:t>
      </w:r>
      <w:r w:rsidRPr="00B65DEF">
        <w:rPr>
          <w:rFonts w:eastAsia="Calibri" w:cs="Tahoma"/>
          <w:szCs w:val="22"/>
          <w:lang w:eastAsia="es-MX"/>
        </w:rPr>
        <w:t>se actualiza la causal de procede</w:t>
      </w:r>
      <w:r w:rsidR="006F15DE" w:rsidRPr="00B65DEF">
        <w:rPr>
          <w:rFonts w:eastAsia="Calibri" w:cs="Tahoma"/>
          <w:szCs w:val="22"/>
          <w:lang w:eastAsia="es-MX"/>
        </w:rPr>
        <w:t>ncia señalada en el artículo 129</w:t>
      </w:r>
      <w:r w:rsidR="0016110E" w:rsidRPr="00B65DEF">
        <w:rPr>
          <w:rFonts w:eastAsia="Calibri" w:cs="Tahoma"/>
          <w:szCs w:val="22"/>
          <w:lang w:eastAsia="es-MX"/>
        </w:rPr>
        <w:t>, fracci</w:t>
      </w:r>
      <w:r w:rsidR="00A65489" w:rsidRPr="00B65DEF">
        <w:rPr>
          <w:rFonts w:eastAsia="Calibri" w:cs="Tahoma"/>
          <w:szCs w:val="22"/>
          <w:lang w:eastAsia="es-MX"/>
        </w:rPr>
        <w:t>ón</w:t>
      </w:r>
      <w:r w:rsidR="0016110E" w:rsidRPr="00B65DEF">
        <w:rPr>
          <w:rFonts w:eastAsia="Calibri" w:cs="Tahoma"/>
          <w:szCs w:val="22"/>
          <w:lang w:eastAsia="es-MX"/>
        </w:rPr>
        <w:t xml:space="preserve"> VII </w:t>
      </w:r>
      <w:r w:rsidRPr="00B65DEF">
        <w:rPr>
          <w:rFonts w:cs="Arial"/>
          <w:szCs w:val="22"/>
        </w:rPr>
        <w:t xml:space="preserve">de la </w:t>
      </w:r>
      <w:r w:rsidRPr="00B65DEF">
        <w:rPr>
          <w:szCs w:val="22"/>
        </w:rPr>
        <w:t xml:space="preserve">Ley de </w:t>
      </w:r>
      <w:r w:rsidR="006F15DE" w:rsidRPr="00B65DEF">
        <w:rPr>
          <w:szCs w:val="22"/>
        </w:rPr>
        <w:t>Protección de Datos Personales en Posesión de Sujetos Obligados del Estado de México y Municipios</w:t>
      </w:r>
      <w:r w:rsidRPr="00B65DEF">
        <w:rPr>
          <w:szCs w:val="22"/>
        </w:rPr>
        <w:t>.</w:t>
      </w:r>
    </w:p>
    <w:p w14:paraId="0EFF7141" w14:textId="77777777" w:rsidR="00362A11" w:rsidRPr="00B65DEF" w:rsidRDefault="00362A11" w:rsidP="00B65DEF">
      <w:pPr>
        <w:rPr>
          <w:szCs w:val="22"/>
        </w:rPr>
      </w:pPr>
    </w:p>
    <w:p w14:paraId="2284D7EB" w14:textId="3EE1D036" w:rsidR="00BA55A8" w:rsidRPr="00B65DEF" w:rsidRDefault="00362A11" w:rsidP="00B65DEF">
      <w:pPr>
        <w:pStyle w:val="Ttulo3"/>
        <w:rPr>
          <w:szCs w:val="22"/>
        </w:rPr>
      </w:pPr>
      <w:bookmarkStart w:id="24" w:name="_Toc207224858"/>
      <w:r w:rsidRPr="00B65DEF">
        <w:rPr>
          <w:szCs w:val="22"/>
        </w:rPr>
        <w:t xml:space="preserve">e) </w:t>
      </w:r>
      <w:bookmarkStart w:id="25" w:name="_Hlk206592332"/>
      <w:r w:rsidRPr="00B65DEF">
        <w:rPr>
          <w:szCs w:val="22"/>
        </w:rPr>
        <w:t>Requisitos formales para la interposición del recurso</w:t>
      </w:r>
      <w:bookmarkEnd w:id="24"/>
      <w:bookmarkEnd w:id="25"/>
    </w:p>
    <w:p w14:paraId="451F6058" w14:textId="77777777" w:rsidR="00FD63CE" w:rsidRPr="00B65DEF" w:rsidRDefault="00FD63CE" w:rsidP="00B65DEF">
      <w:pPr>
        <w:spacing w:after="160"/>
        <w:rPr>
          <w:szCs w:val="22"/>
        </w:rPr>
      </w:pPr>
      <w:r w:rsidRPr="00B65DEF">
        <w:rPr>
          <w:szCs w:val="22"/>
        </w:rPr>
        <w:t xml:space="preserve">Previo al análisis de fondo de la controversia planteada en el presente asunto, este Instituto debe realizar, de oficio, el estudio de las causales de improcedencia y sobreseimiento, al tratarse de cuestiones de orden público y de análisis preferente, conforme al criterio orientador </w:t>
      </w:r>
      <w:r w:rsidRPr="00B65DEF">
        <w:rPr>
          <w:szCs w:val="22"/>
        </w:rPr>
        <w:lastRenderedPageBreak/>
        <w:t>contenido en la Tesis de Jurisprudencia número 940, página 1538, segunda parte del Apéndice del Semanario Judicial de la Federación 1917-1988.</w:t>
      </w:r>
    </w:p>
    <w:p w14:paraId="5FBFEA8E" w14:textId="77777777" w:rsidR="00FD63CE" w:rsidRPr="00B65DEF" w:rsidRDefault="00FD63CE" w:rsidP="00B65DEF">
      <w:pPr>
        <w:spacing w:after="160"/>
        <w:rPr>
          <w:szCs w:val="22"/>
        </w:rPr>
      </w:pPr>
      <w:r w:rsidRPr="00B65DEF">
        <w:rPr>
          <w:szCs w:val="22"/>
        </w:rPr>
        <w:t xml:space="preserve">En ese marco, resulta oportuno señalar que el derecho a la protección de datos personales se encuentra consagrado en los artículos 6, apartado A, fracción II, y 16, párrafo segundo, de la Constitución Política de los Estados Unidos Mexicanos; así como en el artículo 5, fracciones II, III y V, de la Constitución Política del Estado Libre y Soberano de México. Dicho derecho se ejerce a través de los denominados </w:t>
      </w:r>
      <w:r w:rsidRPr="00B65DEF">
        <w:rPr>
          <w:rFonts w:eastAsiaTheme="majorEastAsia"/>
          <w:b/>
          <w:bCs/>
          <w:szCs w:val="22"/>
        </w:rPr>
        <w:t>derechos ARCO</w:t>
      </w:r>
      <w:r w:rsidRPr="00B65DEF">
        <w:rPr>
          <w:szCs w:val="22"/>
        </w:rPr>
        <w:t>: acceso, rectificación, cancelación y oposición, cuyo contenido se transcribe a continuación.</w:t>
      </w:r>
    </w:p>
    <w:p w14:paraId="60963A93" w14:textId="77777777" w:rsidR="00FD63CE" w:rsidRPr="00B65DEF" w:rsidRDefault="00FD63CE" w:rsidP="00B65DEF">
      <w:pPr>
        <w:pStyle w:val="Cita"/>
        <w:ind w:left="567" w:right="539"/>
        <w:jc w:val="both"/>
        <w:rPr>
          <w:b/>
          <w:bCs/>
          <w:color w:val="auto"/>
          <w:szCs w:val="22"/>
        </w:rPr>
      </w:pPr>
      <w:r w:rsidRPr="00B65DEF">
        <w:rPr>
          <w:rFonts w:eastAsiaTheme="majorEastAsia"/>
          <w:b/>
          <w:bCs/>
          <w:color w:val="auto"/>
          <w:szCs w:val="22"/>
        </w:rPr>
        <w:t>Constitución Política de los Estados Unidos Mexicanos</w:t>
      </w:r>
    </w:p>
    <w:p w14:paraId="7E52164E" w14:textId="77777777" w:rsidR="00FD63CE" w:rsidRPr="00B65DEF" w:rsidRDefault="00FD63CE" w:rsidP="00B65DEF">
      <w:pPr>
        <w:pStyle w:val="Cita"/>
        <w:ind w:left="567" w:right="539"/>
        <w:jc w:val="both"/>
        <w:rPr>
          <w:b/>
          <w:bCs/>
          <w:color w:val="auto"/>
          <w:szCs w:val="22"/>
        </w:rPr>
      </w:pPr>
      <w:r w:rsidRPr="00B65DEF">
        <w:rPr>
          <w:color w:val="auto"/>
          <w:szCs w:val="22"/>
        </w:rPr>
        <w:t>“</w:t>
      </w:r>
      <w:r w:rsidRPr="00B65DEF">
        <w:rPr>
          <w:b/>
          <w:bCs/>
          <w:color w:val="auto"/>
          <w:szCs w:val="22"/>
        </w:rPr>
        <w:t>Artículo 6.</w:t>
      </w:r>
    </w:p>
    <w:p w14:paraId="2E2EA6AC" w14:textId="77777777" w:rsidR="00FD63CE" w:rsidRPr="00B65DEF" w:rsidRDefault="00FD63CE" w:rsidP="00B65DEF">
      <w:pPr>
        <w:pStyle w:val="Cita"/>
        <w:ind w:left="567" w:right="539"/>
        <w:jc w:val="both"/>
        <w:rPr>
          <w:color w:val="auto"/>
          <w:szCs w:val="22"/>
        </w:rPr>
      </w:pPr>
      <w:r w:rsidRPr="00B65DEF">
        <w:rPr>
          <w:color w:val="auto"/>
          <w:szCs w:val="22"/>
        </w:rPr>
        <w:t>(…)</w:t>
      </w:r>
    </w:p>
    <w:p w14:paraId="4EBCE388" w14:textId="77777777" w:rsidR="00FD63CE" w:rsidRPr="00B65DEF" w:rsidRDefault="00FD63CE" w:rsidP="00B65DEF">
      <w:pPr>
        <w:pStyle w:val="Cita"/>
        <w:ind w:left="567" w:right="539"/>
        <w:jc w:val="both"/>
        <w:rPr>
          <w:color w:val="auto"/>
          <w:szCs w:val="22"/>
        </w:rPr>
      </w:pPr>
      <w:r w:rsidRPr="00B65DEF">
        <w:rPr>
          <w:color w:val="auto"/>
          <w:szCs w:val="22"/>
        </w:rPr>
        <w:t>Para efectos de lo dispuesto en el presente artículo se observará lo siguiente:</w:t>
      </w:r>
      <w:r w:rsidRPr="00B65DEF">
        <w:rPr>
          <w:color w:val="auto"/>
          <w:szCs w:val="22"/>
        </w:rPr>
        <w:br/>
      </w:r>
      <w:r w:rsidRPr="00B65DEF">
        <w:rPr>
          <w:b/>
          <w:bCs/>
          <w:color w:val="auto"/>
          <w:szCs w:val="22"/>
        </w:rPr>
        <w:t>A. Para el ejercicio del derecho de acceso a la información, la Federación y las entidades federativas, en el ámbito de sus respectivas competencias, se regirán por los siguientes principios y bases:</w:t>
      </w:r>
      <w:r w:rsidRPr="00B65DEF">
        <w:rPr>
          <w:b/>
          <w:bCs/>
          <w:color w:val="auto"/>
          <w:szCs w:val="22"/>
        </w:rPr>
        <w:br/>
        <w:t>II. La información que se refiere a la vida privada y los datos personales será protegida en los términos y con las excepciones que fijen las leyes. Para tal efecto, los sujetos obligados contarán con las facultades suficientes para su atención.</w:t>
      </w:r>
      <w:r w:rsidRPr="00B65DEF">
        <w:rPr>
          <w:color w:val="auto"/>
          <w:szCs w:val="22"/>
        </w:rPr>
        <w:t>”</w:t>
      </w:r>
    </w:p>
    <w:p w14:paraId="3F71CA73" w14:textId="77777777" w:rsidR="00FD63CE" w:rsidRPr="00B65DEF" w:rsidRDefault="00FD63CE" w:rsidP="00B65DEF">
      <w:pPr>
        <w:pStyle w:val="Cita"/>
        <w:ind w:left="567" w:right="539"/>
        <w:jc w:val="both"/>
        <w:rPr>
          <w:b/>
          <w:bCs/>
          <w:color w:val="auto"/>
          <w:szCs w:val="22"/>
        </w:rPr>
      </w:pPr>
      <w:r w:rsidRPr="00B65DEF">
        <w:rPr>
          <w:color w:val="auto"/>
          <w:szCs w:val="22"/>
        </w:rPr>
        <w:t>“</w:t>
      </w:r>
      <w:r w:rsidRPr="00B65DEF">
        <w:rPr>
          <w:b/>
          <w:bCs/>
          <w:color w:val="auto"/>
          <w:szCs w:val="22"/>
        </w:rPr>
        <w:t>Artículo 16.</w:t>
      </w:r>
    </w:p>
    <w:p w14:paraId="0B7062CA" w14:textId="77777777" w:rsidR="00FD63CE" w:rsidRPr="00B65DEF" w:rsidRDefault="00FD63CE" w:rsidP="00B65DEF">
      <w:pPr>
        <w:pStyle w:val="Cita"/>
        <w:ind w:left="567" w:right="539"/>
        <w:jc w:val="both"/>
        <w:rPr>
          <w:color w:val="auto"/>
          <w:szCs w:val="22"/>
        </w:rPr>
      </w:pPr>
      <w:r w:rsidRPr="00B65DEF">
        <w:rPr>
          <w:color w:val="auto"/>
          <w:szCs w:val="22"/>
        </w:rPr>
        <w:t>(…)</w:t>
      </w:r>
    </w:p>
    <w:p w14:paraId="718A9E05" w14:textId="77777777" w:rsidR="00FD63CE" w:rsidRPr="00B65DEF" w:rsidRDefault="00FD63CE" w:rsidP="00B65DEF">
      <w:pPr>
        <w:pStyle w:val="Cita"/>
        <w:ind w:left="567" w:right="539"/>
        <w:jc w:val="both"/>
        <w:rPr>
          <w:color w:val="auto"/>
          <w:szCs w:val="22"/>
        </w:rPr>
      </w:pPr>
      <w:r w:rsidRPr="00B65DEF">
        <w:rPr>
          <w:b/>
          <w:bCs/>
          <w:color w:val="auto"/>
          <w:szCs w:val="22"/>
        </w:rPr>
        <w:t>Toda persona tiene derecho a la protección de sus datos personales, al acceso, rectificación y cancelación de los mismos, así como a manifestar su oposición</w:t>
      </w:r>
      <w:r w:rsidRPr="00B65DEF">
        <w:rPr>
          <w:color w:val="auto"/>
          <w:szCs w:val="22"/>
        </w:rPr>
        <w:t xml:space="preserve">, en los términos que fije la ley, la cual establecerá los supuestos de excepción a los principios </w:t>
      </w:r>
      <w:r w:rsidRPr="00B65DEF">
        <w:rPr>
          <w:color w:val="auto"/>
          <w:szCs w:val="22"/>
        </w:rPr>
        <w:lastRenderedPageBreak/>
        <w:t>que rijan el tratamiento de datos, por razones de seguridad nacional, disposiciones de orden público, seguridad y salud públicas o para proteger los derechos de terceros.”</w:t>
      </w:r>
    </w:p>
    <w:p w14:paraId="6DDD2052" w14:textId="77777777" w:rsidR="00FD63CE" w:rsidRPr="00B65DEF" w:rsidRDefault="00FD63CE" w:rsidP="00B65DEF">
      <w:pPr>
        <w:pStyle w:val="Cita"/>
        <w:ind w:left="567" w:right="539"/>
        <w:jc w:val="both"/>
        <w:rPr>
          <w:b/>
          <w:bCs/>
          <w:color w:val="auto"/>
          <w:szCs w:val="22"/>
        </w:rPr>
      </w:pPr>
      <w:r w:rsidRPr="00B65DEF">
        <w:rPr>
          <w:rFonts w:eastAsiaTheme="majorEastAsia"/>
          <w:b/>
          <w:bCs/>
          <w:color w:val="auto"/>
          <w:szCs w:val="22"/>
        </w:rPr>
        <w:t>Constitución Política del Estado Libre y Soberano de México</w:t>
      </w:r>
    </w:p>
    <w:p w14:paraId="572DE964" w14:textId="77777777" w:rsidR="00FD63CE" w:rsidRPr="00B65DEF" w:rsidRDefault="00FD63CE" w:rsidP="00B65DEF">
      <w:pPr>
        <w:pStyle w:val="Cita"/>
        <w:ind w:left="567" w:right="539"/>
        <w:jc w:val="both"/>
        <w:rPr>
          <w:color w:val="auto"/>
          <w:szCs w:val="22"/>
        </w:rPr>
      </w:pPr>
      <w:r w:rsidRPr="00B65DEF">
        <w:rPr>
          <w:color w:val="auto"/>
          <w:szCs w:val="22"/>
        </w:rPr>
        <w:t>“</w:t>
      </w:r>
      <w:r w:rsidRPr="00B65DEF">
        <w:rPr>
          <w:b/>
          <w:bCs/>
          <w:color w:val="auto"/>
          <w:szCs w:val="22"/>
        </w:rPr>
        <w:t>Artículo 5.-</w:t>
      </w:r>
    </w:p>
    <w:p w14:paraId="175F880F" w14:textId="77777777" w:rsidR="00FD63CE" w:rsidRPr="00B65DEF" w:rsidRDefault="00FD63CE" w:rsidP="00B65DEF">
      <w:pPr>
        <w:pStyle w:val="Cita"/>
        <w:ind w:left="567" w:right="539"/>
        <w:jc w:val="both"/>
        <w:rPr>
          <w:color w:val="auto"/>
          <w:szCs w:val="22"/>
        </w:rPr>
      </w:pPr>
      <w:r w:rsidRPr="00B65DEF">
        <w:rPr>
          <w:color w:val="auto"/>
          <w:szCs w:val="22"/>
        </w:rPr>
        <w:t>(…)</w:t>
      </w:r>
    </w:p>
    <w:p w14:paraId="46F35C0C" w14:textId="77777777" w:rsidR="00FD63CE" w:rsidRPr="00B65DEF" w:rsidRDefault="00FD63CE" w:rsidP="00B65DEF">
      <w:pPr>
        <w:pStyle w:val="Cita"/>
        <w:ind w:left="567" w:right="539"/>
        <w:jc w:val="both"/>
        <w:rPr>
          <w:color w:val="auto"/>
          <w:szCs w:val="22"/>
        </w:rPr>
      </w:pPr>
      <w:r w:rsidRPr="00B65DEF">
        <w:rPr>
          <w:color w:val="auto"/>
          <w:szCs w:val="22"/>
        </w:rPr>
        <w:t>II. La información referente a la intimidad de la vida privada y la imagen de las personas será protegida a través de un marco jurídico rígido de tratamiento y manejo de datos personales, con las excepciones que establezca la ley reglamentaria.</w:t>
      </w:r>
      <w:r w:rsidRPr="00B65DEF">
        <w:rPr>
          <w:color w:val="auto"/>
          <w:szCs w:val="22"/>
        </w:rPr>
        <w:br/>
        <w:t>III. Toda persona, sin necesidad de acreditar interés alguno o justificar su utilización, tendrá acceso gratuito a la información pública, a sus datos personales o a la rectificación de éstos.</w:t>
      </w:r>
      <w:r w:rsidRPr="00B65DEF">
        <w:rPr>
          <w:color w:val="auto"/>
          <w:szCs w:val="22"/>
        </w:rPr>
        <w:b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11F25D5" w14:textId="77777777" w:rsidR="00FD63CE" w:rsidRPr="00B65DEF" w:rsidRDefault="00FD63CE" w:rsidP="00B65DEF">
      <w:pPr>
        <w:spacing w:after="160"/>
        <w:rPr>
          <w:szCs w:val="22"/>
        </w:rPr>
      </w:pPr>
      <w:r w:rsidRPr="00B65DEF">
        <w:rPr>
          <w:szCs w:val="22"/>
        </w:rPr>
        <w:t>De los preceptos citados se desprende que la información vinculada con la vida privada y los datos personales debe protegerse en los términos y con las excepciones fijadas en la ley. Asimismo, toda persona tiene derecho a la protección de sus datos personales y a ejercer, en su caso, los derechos de acceso, rectificación, cancelación y oposición, sin más limitación que la prevista por la propia normatividad.</w:t>
      </w:r>
    </w:p>
    <w:p w14:paraId="22FB1E51" w14:textId="77777777" w:rsidR="00FD63CE" w:rsidRPr="00B65DEF" w:rsidRDefault="00FD63CE" w:rsidP="00B65DEF">
      <w:pPr>
        <w:spacing w:after="160"/>
        <w:rPr>
          <w:szCs w:val="22"/>
        </w:rPr>
      </w:pPr>
      <w:r w:rsidRPr="00B65DEF">
        <w:rPr>
          <w:szCs w:val="22"/>
        </w:rPr>
        <w:t xml:space="preserve">Por “dato personal” se entiende cualquier información relativa a una persona física identificada o identificable, contenida en cualquier formato o modalidad y almacenada en </w:t>
      </w:r>
      <w:r w:rsidRPr="00B65DEF">
        <w:rPr>
          <w:szCs w:val="22"/>
        </w:rPr>
        <w:lastRenderedPageBreak/>
        <w:t>bases de datos, conforme a lo establecido en la Ley de Protección de Datos Personales en Posesión de Sujetos Obligados del Estado de México y Municipios (en adelante, LPDPPP).</w:t>
      </w:r>
    </w:p>
    <w:p w14:paraId="16C6DD46" w14:textId="77777777" w:rsidR="00FD63CE" w:rsidRPr="00B65DEF" w:rsidRDefault="00FD63CE" w:rsidP="00B65DEF">
      <w:pPr>
        <w:spacing w:after="160"/>
        <w:rPr>
          <w:szCs w:val="22"/>
        </w:rPr>
      </w:pPr>
      <w:r w:rsidRPr="00B65DEF">
        <w:rPr>
          <w:szCs w:val="22"/>
        </w:rPr>
        <w:t>De igual forma, cuando se hace referencia a una solicitud de derechos ARCO, se alude al derecho que tiene el titular de los datos para solicitar su acceso, rectificación, cancelación, oposición o portabilidad respecto del tratamiento de dichos datos, ante el sujeto obligado o responsable que los posea.</w:t>
      </w:r>
    </w:p>
    <w:p w14:paraId="66238F38" w14:textId="77777777" w:rsidR="00FD63CE" w:rsidRPr="00B65DEF" w:rsidRDefault="00FD63CE" w:rsidP="00B65DEF">
      <w:pPr>
        <w:spacing w:after="160"/>
        <w:rPr>
          <w:szCs w:val="22"/>
        </w:rPr>
      </w:pPr>
      <w:r w:rsidRPr="00B65DEF">
        <w:rPr>
          <w:szCs w:val="22"/>
        </w:rPr>
        <w:t>En consecuencia, el tratamiento de los datos personales debe sujetarse a los principios de calidad, consentimiento, finalidad, información, lealtad, licitud, proporcionalidad y responsabilidad, previstos en los artículos 15 a 28 de la LPDPPP, cuyo propósito es garantizar la máxima protección de los datos y evitar accesos no autorizados que pudieran generar afectaciones a sus titulares.</w:t>
      </w:r>
    </w:p>
    <w:p w14:paraId="7D3A5628" w14:textId="77777777" w:rsidR="00FD63CE" w:rsidRPr="00B65DEF" w:rsidRDefault="00FD63CE" w:rsidP="00B65DEF">
      <w:pPr>
        <w:spacing w:after="160"/>
        <w:rPr>
          <w:szCs w:val="22"/>
        </w:rPr>
      </w:pPr>
      <w:r w:rsidRPr="00B65DEF">
        <w:rPr>
          <w:szCs w:val="22"/>
        </w:rPr>
        <w:t>En este sentido, los derechos ARCO constituyen un derecho humano fundamental y cuentan con un procedimiento específico que busca asegurar su ejercicio. Dicho procedimiento se encuentra regulado no solo en la Constitución Política de los Estados Unidos Mexicanos y en la Constitución del Estado de México, sino también de manera detallada en la LPDPPP.</w:t>
      </w:r>
    </w:p>
    <w:p w14:paraId="420839F6" w14:textId="77777777" w:rsidR="00FD63CE" w:rsidRPr="00B65DEF" w:rsidRDefault="00FD63CE" w:rsidP="00B65DEF">
      <w:pPr>
        <w:spacing w:after="160"/>
        <w:rPr>
          <w:szCs w:val="22"/>
        </w:rPr>
      </w:pPr>
      <w:r w:rsidRPr="00B65DEF">
        <w:rPr>
          <w:szCs w:val="22"/>
        </w:rPr>
        <w:t>Al respecto, los artículos 97 y 98 de dicho ordenamiento disponen lo siguiente:</w:t>
      </w:r>
    </w:p>
    <w:p w14:paraId="50A46EE7" w14:textId="77777777" w:rsidR="00FD63CE" w:rsidRPr="00B65DEF" w:rsidRDefault="00FD63CE" w:rsidP="00B65DEF">
      <w:pPr>
        <w:pStyle w:val="Cita"/>
        <w:ind w:left="567" w:right="539"/>
        <w:jc w:val="both"/>
        <w:rPr>
          <w:color w:val="auto"/>
        </w:rPr>
      </w:pPr>
      <w:r w:rsidRPr="00B65DEF">
        <w:rPr>
          <w:rFonts w:eastAsiaTheme="majorEastAsia"/>
          <w:b/>
          <w:bCs/>
          <w:color w:val="auto"/>
        </w:rPr>
        <w:t>Artículo 97.</w:t>
      </w:r>
      <w:r w:rsidRPr="00B65DEF">
        <w:rPr>
          <w:color w:val="auto"/>
        </w:rPr>
        <w:t xml:space="preserve"> Los derechos de acceso, rectificación, cancelación y oposición de datos personales son derechos independientes. El ejercicio de cualquiera de ellos no es requisito previo ni impide el ejercicio de otro. La procedencia de estos derechos, en su caso, se hará efectiva una vez que el titular o su representante legal acrediten su identidad o representación, respectivamente.</w:t>
      </w:r>
    </w:p>
    <w:p w14:paraId="4F3F7A45" w14:textId="77777777" w:rsidR="00FD63CE" w:rsidRPr="00B65DEF" w:rsidRDefault="00FD63CE" w:rsidP="00B65DEF">
      <w:pPr>
        <w:pStyle w:val="Cita"/>
        <w:ind w:left="567" w:right="539"/>
        <w:jc w:val="both"/>
        <w:rPr>
          <w:color w:val="auto"/>
        </w:rPr>
      </w:pPr>
      <w:r w:rsidRPr="00B65DEF">
        <w:rPr>
          <w:color w:val="auto"/>
        </w:rPr>
        <w:t>En ningún caso el acceso a los datos personales de un titular podrá afectar los derechos y libertades de otros. El ejercicio de cualquiera de los derechos ARCO forma parte de las garantías primarias del derecho a la protección de datos personales.</w:t>
      </w:r>
    </w:p>
    <w:p w14:paraId="5142878D" w14:textId="77777777" w:rsidR="00FD63CE" w:rsidRPr="00B65DEF" w:rsidRDefault="00FD63CE" w:rsidP="00B65DEF">
      <w:pPr>
        <w:pStyle w:val="Cita"/>
        <w:ind w:left="567" w:right="539"/>
        <w:jc w:val="both"/>
        <w:rPr>
          <w:color w:val="auto"/>
        </w:rPr>
      </w:pPr>
      <w:r w:rsidRPr="00B65DEF">
        <w:rPr>
          <w:rFonts w:eastAsiaTheme="majorEastAsia"/>
          <w:b/>
          <w:bCs/>
          <w:color w:val="auto"/>
        </w:rPr>
        <w:lastRenderedPageBreak/>
        <w:t>Artículo 98.</w:t>
      </w:r>
      <w:r w:rsidRPr="00B65DEF">
        <w:rPr>
          <w:color w:val="auto"/>
        </w:rPr>
        <w:t xml:space="preserve"> El titular tiene derecho a acceder, solicitar y ser informado sobre sus datos personales en posesión de los sujetos obligados, así como sobre la información relacionada con las condiciones y generalidades de su tratamiento, tales como el origen de los datos, las condiciones del tratamiento del cual sean objeto, las cesiones realizadas o que se pretendan realizar, así como a tener acceso al aviso de privacidad al que está sujeto dicho tratamiento y a cualquier otra generalidad del mismo, en los términos previstos en la Ley.</w:t>
      </w:r>
    </w:p>
    <w:p w14:paraId="005707F0" w14:textId="77777777" w:rsidR="00FD63CE" w:rsidRPr="00B65DEF" w:rsidRDefault="00FD63CE" w:rsidP="00B65DEF">
      <w:pPr>
        <w:pStyle w:val="Cita"/>
        <w:ind w:left="567" w:right="539"/>
        <w:jc w:val="both"/>
        <w:rPr>
          <w:color w:val="auto"/>
        </w:rPr>
      </w:pPr>
      <w:r w:rsidRPr="00B65DEF">
        <w:rPr>
          <w:color w:val="auto"/>
        </w:rPr>
        <w:t>El responsable debe responder al ejercicio del derecho de acceso, tenga o no datos de carácter personal del interesado en su sistema de datos.</w:t>
      </w:r>
    </w:p>
    <w:p w14:paraId="25D84241" w14:textId="77777777" w:rsidR="00FD63CE" w:rsidRPr="00B65DEF" w:rsidRDefault="00FD63CE" w:rsidP="00B65DEF">
      <w:pPr>
        <w:spacing w:after="160"/>
        <w:rPr>
          <w:szCs w:val="22"/>
        </w:rPr>
      </w:pPr>
      <w:r w:rsidRPr="00B65DEF">
        <w:rPr>
          <w:szCs w:val="22"/>
        </w:rPr>
        <w:t>De lo anterior se concluye que el titular de los datos, por sí mismo o mediante su representante legal, tiene derecho a conocer y obtener información sobre los datos personales que obren en posesión de los sujetos obligados, así como sobre las condiciones y el tratamiento de dichos datos, siempre y cuando se acrediten debidamente la identidad del titular y, en su caso, la representación legal de quien actúe en su nombre.</w:t>
      </w:r>
    </w:p>
    <w:p w14:paraId="747276B4" w14:textId="77777777" w:rsidR="00FD63CE" w:rsidRPr="00B65DEF" w:rsidRDefault="00FD63CE" w:rsidP="00B65DEF">
      <w:pPr>
        <w:spacing w:after="160"/>
        <w:rPr>
          <w:szCs w:val="22"/>
        </w:rPr>
      </w:pPr>
      <w:r w:rsidRPr="00B65DEF">
        <w:rPr>
          <w:szCs w:val="22"/>
        </w:rPr>
        <w:t>De lo expuesto se advierte que los sujetos obligados, en su calidad de responsables del tratamiento de datos personales, tienen la obligación de garantizar su adecuada salvaguarda y protección. Para que los particulares puedan ejercer los derechos ARCO, resulta indispensable que se cumplan los requisitos que la ley establece.</w:t>
      </w:r>
    </w:p>
    <w:p w14:paraId="6640BD5E" w14:textId="77777777" w:rsidR="00FD63CE" w:rsidRPr="00B65DEF" w:rsidRDefault="00FD63CE" w:rsidP="00B65DEF">
      <w:pPr>
        <w:spacing w:after="160"/>
        <w:rPr>
          <w:szCs w:val="22"/>
        </w:rPr>
      </w:pPr>
      <w:r w:rsidRPr="00B65DEF">
        <w:rPr>
          <w:szCs w:val="22"/>
        </w:rPr>
        <w:t>La finalidad de tales derechos es permitir que únicamente los titulares de los datos, o en su caso sus representantes legales, puedan solicitar al responsable del tratamiento el acceso, rectificación, cancelación u oposición respecto de los mismos, conforme a la normatividad aplicable.</w:t>
      </w:r>
    </w:p>
    <w:p w14:paraId="5CADA13A" w14:textId="77777777" w:rsidR="00FD63CE" w:rsidRPr="00B65DEF" w:rsidRDefault="00FD63CE" w:rsidP="00B65DEF">
      <w:pPr>
        <w:spacing w:after="160"/>
        <w:rPr>
          <w:szCs w:val="22"/>
        </w:rPr>
      </w:pPr>
      <w:r w:rsidRPr="00B65DEF">
        <w:rPr>
          <w:szCs w:val="22"/>
        </w:rPr>
        <w:t xml:space="preserve">En este orden de ideas, resulta pertinente traer a colación lo dispuesto en el </w:t>
      </w:r>
      <w:r w:rsidRPr="00B65DEF">
        <w:rPr>
          <w:rFonts w:eastAsiaTheme="majorEastAsia"/>
          <w:b/>
          <w:bCs/>
          <w:szCs w:val="22"/>
        </w:rPr>
        <w:t xml:space="preserve">artículo 110 de la Ley de Protección de Datos Personales en Posesión de Sujetos Obligados del Estado de </w:t>
      </w:r>
      <w:r w:rsidRPr="00B65DEF">
        <w:rPr>
          <w:rFonts w:eastAsiaTheme="majorEastAsia"/>
          <w:b/>
          <w:bCs/>
          <w:szCs w:val="22"/>
        </w:rPr>
        <w:lastRenderedPageBreak/>
        <w:t>México y Municipios (LPDPPP)</w:t>
      </w:r>
      <w:r w:rsidRPr="00B65DEF">
        <w:rPr>
          <w:szCs w:val="22"/>
        </w:rPr>
        <w:t>, relativo a los requisitos de las solicitudes para el ejercicio de derechos ARCO:</w:t>
      </w:r>
    </w:p>
    <w:p w14:paraId="0C0F255C" w14:textId="77777777" w:rsidR="00FD63CE" w:rsidRPr="00B65DEF" w:rsidRDefault="00FD63CE" w:rsidP="00B65DEF">
      <w:pPr>
        <w:pStyle w:val="Cita"/>
        <w:ind w:left="567" w:right="539"/>
        <w:jc w:val="both"/>
        <w:rPr>
          <w:color w:val="auto"/>
        </w:rPr>
      </w:pPr>
      <w:r w:rsidRPr="00B65DEF">
        <w:rPr>
          <w:rFonts w:eastAsiaTheme="majorEastAsia"/>
          <w:color w:val="auto"/>
        </w:rPr>
        <w:t>“Artículo 110. La solicitud para el ejercicio de derechos ARCO, deberá contener:</w:t>
      </w:r>
    </w:p>
    <w:p w14:paraId="3C18F47E" w14:textId="77777777" w:rsidR="00FD63CE" w:rsidRPr="00B65DEF" w:rsidRDefault="00FD63CE" w:rsidP="00B65DEF">
      <w:pPr>
        <w:pStyle w:val="Cita"/>
        <w:ind w:left="567" w:right="539"/>
        <w:jc w:val="both"/>
        <w:rPr>
          <w:color w:val="auto"/>
        </w:rPr>
      </w:pPr>
      <w:r w:rsidRPr="00B65DEF">
        <w:rPr>
          <w:color w:val="auto"/>
        </w:rPr>
        <w:t>I. El nombre del titular y su domicilio, o cualquier otro medio para recibir notificaciones.</w:t>
      </w:r>
    </w:p>
    <w:p w14:paraId="246856D9" w14:textId="77777777" w:rsidR="00FD63CE" w:rsidRPr="00B65DEF" w:rsidRDefault="00FD63CE" w:rsidP="00B65DEF">
      <w:pPr>
        <w:pStyle w:val="Cita"/>
        <w:ind w:left="567" w:right="539"/>
        <w:jc w:val="both"/>
        <w:rPr>
          <w:color w:val="auto"/>
        </w:rPr>
      </w:pPr>
      <w:r w:rsidRPr="00B65DEF">
        <w:rPr>
          <w:color w:val="auto"/>
        </w:rPr>
        <w:t>II. Los documentos que acrediten la identidad del titular y, en su caso, la personalidad e identidad de su representante.</w:t>
      </w:r>
    </w:p>
    <w:p w14:paraId="51D88AD6" w14:textId="77777777" w:rsidR="00FD63CE" w:rsidRPr="00B65DEF" w:rsidRDefault="00FD63CE" w:rsidP="00B65DEF">
      <w:pPr>
        <w:pStyle w:val="Cita"/>
        <w:ind w:left="567" w:right="539"/>
        <w:jc w:val="both"/>
        <w:rPr>
          <w:color w:val="auto"/>
        </w:rPr>
      </w:pPr>
      <w:r w:rsidRPr="00B65DEF">
        <w:rPr>
          <w:color w:val="auto"/>
        </w:rPr>
        <w:t>III. De ser posible, el área responsable que trata los datos personales y ante el cual se presenta la solicitud.</w:t>
      </w:r>
    </w:p>
    <w:p w14:paraId="7B5322EF" w14:textId="77777777" w:rsidR="00FD63CE" w:rsidRPr="00B65DEF" w:rsidRDefault="00FD63CE" w:rsidP="00B65DEF">
      <w:pPr>
        <w:pStyle w:val="Cita"/>
        <w:ind w:left="567" w:right="539"/>
        <w:jc w:val="both"/>
        <w:rPr>
          <w:color w:val="auto"/>
        </w:rPr>
      </w:pPr>
      <w:r w:rsidRPr="00B65DEF">
        <w:rPr>
          <w:color w:val="auto"/>
        </w:rPr>
        <w:t>IV. La descripción clara y precisa de los datos personales respecto de los que se busca ejercer alguno de los derechos ARCO, salvo que se trate del derecho de acceso.</w:t>
      </w:r>
    </w:p>
    <w:p w14:paraId="3F7019F1" w14:textId="77777777" w:rsidR="00FD63CE" w:rsidRPr="00B65DEF" w:rsidRDefault="00FD63CE" w:rsidP="00B65DEF">
      <w:pPr>
        <w:pStyle w:val="Cita"/>
        <w:ind w:left="567" w:right="539"/>
        <w:jc w:val="both"/>
        <w:rPr>
          <w:color w:val="auto"/>
        </w:rPr>
      </w:pPr>
      <w:r w:rsidRPr="00B65DEF">
        <w:rPr>
          <w:color w:val="auto"/>
        </w:rPr>
        <w:t>V. La descripción del derecho ARCO que se pretende ejercer, o bien, lo que solicita el titular.</w:t>
      </w:r>
    </w:p>
    <w:p w14:paraId="4AA01AC7" w14:textId="77777777" w:rsidR="00FD63CE" w:rsidRPr="00B65DEF" w:rsidRDefault="00FD63CE" w:rsidP="00B65DEF">
      <w:pPr>
        <w:pStyle w:val="Cita"/>
        <w:ind w:left="567" w:right="539"/>
        <w:jc w:val="both"/>
        <w:rPr>
          <w:color w:val="auto"/>
        </w:rPr>
      </w:pPr>
      <w:r w:rsidRPr="00B65DEF">
        <w:rPr>
          <w:color w:val="auto"/>
        </w:rPr>
        <w:t>VI. Cualquier otro elemento o documento que facilite la localización de los datos personales, en su caso.</w:t>
      </w:r>
    </w:p>
    <w:p w14:paraId="7B30112B" w14:textId="77777777" w:rsidR="00FD63CE" w:rsidRPr="00B65DEF" w:rsidRDefault="00FD63CE" w:rsidP="00B65DEF">
      <w:pPr>
        <w:pStyle w:val="Cita"/>
        <w:ind w:left="567" w:right="539"/>
        <w:jc w:val="both"/>
        <w:rPr>
          <w:color w:val="auto"/>
        </w:rPr>
      </w:pPr>
      <w:r w:rsidRPr="00B65DEF">
        <w:rPr>
          <w:color w:val="auto"/>
        </w:rPr>
        <w:t>Tratándose del requisito de la fracción I, si el domicilio no se localiza dentro del Estado de México, las notificaciones se efectuarán por estrados.</w:t>
      </w:r>
    </w:p>
    <w:p w14:paraId="7E0F8665" w14:textId="77777777" w:rsidR="00FD63CE" w:rsidRPr="00B65DEF" w:rsidRDefault="00FD63CE" w:rsidP="00B65DEF">
      <w:pPr>
        <w:pStyle w:val="Cita"/>
        <w:ind w:left="567" w:right="539"/>
        <w:jc w:val="both"/>
        <w:rPr>
          <w:color w:val="auto"/>
        </w:rPr>
      </w:pPr>
      <w:r w:rsidRPr="00B65DEF">
        <w:rPr>
          <w:color w:val="auto"/>
        </w:rPr>
        <w:t>De manera adicional, el titular podrá aportar pruebas para acreditar la procedencia de su solicitud.</w:t>
      </w:r>
    </w:p>
    <w:p w14:paraId="34A3C08F" w14:textId="77777777" w:rsidR="00FD63CE" w:rsidRPr="00B65DEF" w:rsidRDefault="00FD63CE" w:rsidP="00B65DEF">
      <w:pPr>
        <w:pStyle w:val="Cita"/>
        <w:ind w:left="567" w:right="539"/>
        <w:jc w:val="both"/>
        <w:rPr>
          <w:color w:val="auto"/>
        </w:rPr>
      </w:pPr>
      <w:r w:rsidRPr="00B65DEF">
        <w:rPr>
          <w:color w:val="auto"/>
        </w:rPr>
        <w:t>Tratándose de una solicitud de acceso a datos personales, se señalará la modalidad en la que el titular prefiere se otorgue éste, la cual podrá ser por consulta directa, copias simples, certificadas, digitalizadas u otro tipo de medio electrónico.</w:t>
      </w:r>
    </w:p>
    <w:p w14:paraId="091F0F23" w14:textId="77777777" w:rsidR="00FD63CE" w:rsidRPr="00B65DEF" w:rsidRDefault="00FD63CE" w:rsidP="00B65DEF">
      <w:pPr>
        <w:pStyle w:val="Cita"/>
        <w:ind w:left="567" w:right="539"/>
        <w:jc w:val="both"/>
        <w:rPr>
          <w:color w:val="auto"/>
        </w:rPr>
      </w:pPr>
      <w:r w:rsidRPr="00B65DEF">
        <w:rPr>
          <w:color w:val="auto"/>
        </w:rPr>
        <w:t xml:space="preserve">El responsable deberá atender la solicitud en la modalidad requerida por el titular, salvo que exista una imposibilidad física o jurídica que lo limite a reproducir los datos personales </w:t>
      </w:r>
      <w:r w:rsidRPr="00B65DEF">
        <w:rPr>
          <w:color w:val="auto"/>
        </w:rPr>
        <w:lastRenderedPageBreak/>
        <w:t>en dicha modalidad; en tal caso, deberá ofrecer otras modalidades de entrega de los datos personales, fundando y motivando dicha actuación.”</w:t>
      </w:r>
    </w:p>
    <w:p w14:paraId="07945562" w14:textId="77777777" w:rsidR="00FD63CE" w:rsidRPr="00B65DEF" w:rsidRDefault="00FD63CE" w:rsidP="00B65DEF">
      <w:pPr>
        <w:spacing w:after="160"/>
        <w:rPr>
          <w:szCs w:val="22"/>
        </w:rPr>
      </w:pPr>
      <w:r w:rsidRPr="00B65DEF">
        <w:rPr>
          <w:szCs w:val="22"/>
        </w:rPr>
        <w:t>En el caso concreto, de las constancias del expediente electrónico se desprende que la parte recurrente solicitó el acceso a datos personales en copias certificadas y fotostáticas de las fojas del expediente completo relativo al traslado de dominio efectuado en 1994 sobre el inmueble señalado. Para sustentar su petición, adjuntó los siguientes documentos:</w:t>
      </w:r>
    </w:p>
    <w:p w14:paraId="609C55C2" w14:textId="77777777" w:rsidR="00FD63CE" w:rsidRPr="00B65DEF" w:rsidRDefault="00FD63CE" w:rsidP="00B65DEF">
      <w:pPr>
        <w:numPr>
          <w:ilvl w:val="0"/>
          <w:numId w:val="46"/>
        </w:numPr>
        <w:spacing w:after="160"/>
        <w:rPr>
          <w:szCs w:val="22"/>
        </w:rPr>
      </w:pPr>
      <w:r w:rsidRPr="00B65DEF">
        <w:rPr>
          <w:szCs w:val="22"/>
        </w:rPr>
        <w:t>Credencial para votar con fotografía a su nombre.</w:t>
      </w:r>
    </w:p>
    <w:p w14:paraId="6892E66A" w14:textId="77777777" w:rsidR="00FD63CE" w:rsidRPr="00B65DEF" w:rsidRDefault="00FD63CE" w:rsidP="00B65DEF">
      <w:pPr>
        <w:numPr>
          <w:ilvl w:val="0"/>
          <w:numId w:val="46"/>
        </w:numPr>
        <w:spacing w:after="160"/>
        <w:rPr>
          <w:szCs w:val="22"/>
        </w:rPr>
      </w:pPr>
      <w:r w:rsidRPr="00B65DEF">
        <w:rPr>
          <w:szCs w:val="22"/>
        </w:rPr>
        <w:t>Recibo predial del inmueble mencionado.</w:t>
      </w:r>
    </w:p>
    <w:p w14:paraId="669E62C5" w14:textId="77777777" w:rsidR="00FD63CE" w:rsidRPr="00B65DEF" w:rsidRDefault="00FD63CE" w:rsidP="00B65DEF">
      <w:pPr>
        <w:numPr>
          <w:ilvl w:val="0"/>
          <w:numId w:val="46"/>
        </w:numPr>
        <w:spacing w:after="160"/>
        <w:rPr>
          <w:szCs w:val="22"/>
        </w:rPr>
      </w:pPr>
      <w:r w:rsidRPr="00B65DEF">
        <w:rPr>
          <w:szCs w:val="22"/>
        </w:rPr>
        <w:t>Copia certificada de un poder general otorgado a su favor por Víctor Molina Romero y Norma Mora García.</w:t>
      </w:r>
    </w:p>
    <w:p w14:paraId="65401FD7" w14:textId="77777777" w:rsidR="00FD63CE" w:rsidRPr="00B65DEF" w:rsidRDefault="00FD63CE" w:rsidP="00B65DEF">
      <w:pPr>
        <w:spacing w:after="160"/>
        <w:rPr>
          <w:szCs w:val="22"/>
        </w:rPr>
      </w:pPr>
      <w:r w:rsidRPr="00B65DEF">
        <w:rPr>
          <w:szCs w:val="22"/>
        </w:rPr>
        <w:t xml:space="preserve">Cabe reiterar que, para el ejercicio del derecho de acceso a datos personales, es indispensable que el titular de los mismos acredite su identidad; y si la solicitud se formula a través de un representante, se requiere la acreditación tanto de la identidad del titular como de la identidad y personalidad del representante, de conformidad con lo dispuesto en el </w:t>
      </w:r>
      <w:r w:rsidRPr="00B65DEF">
        <w:rPr>
          <w:rFonts w:eastAsiaTheme="majorEastAsia"/>
          <w:b/>
          <w:bCs/>
          <w:szCs w:val="22"/>
        </w:rPr>
        <w:t>artículo 106, párrafo tercero, de la LPDPPP</w:t>
      </w:r>
      <w:r w:rsidRPr="00B65DEF">
        <w:rPr>
          <w:szCs w:val="22"/>
        </w:rPr>
        <w:t>.</w:t>
      </w:r>
    </w:p>
    <w:p w14:paraId="68127A1B" w14:textId="77777777" w:rsidR="00FD63CE" w:rsidRPr="00B65DEF" w:rsidRDefault="00FD63CE" w:rsidP="00B65DEF">
      <w:pPr>
        <w:spacing w:after="160"/>
        <w:rPr>
          <w:szCs w:val="22"/>
        </w:rPr>
      </w:pPr>
      <w:r w:rsidRPr="00B65DEF">
        <w:rPr>
          <w:szCs w:val="22"/>
        </w:rPr>
        <w:t xml:space="preserve">En este contexto, es necesario destacar que los </w:t>
      </w:r>
      <w:r w:rsidRPr="00B65DEF">
        <w:rPr>
          <w:rFonts w:eastAsiaTheme="majorEastAsia"/>
          <w:b/>
          <w:bCs/>
          <w:szCs w:val="22"/>
        </w:rPr>
        <w:t>medios para acreditar la identidad</w:t>
      </w:r>
      <w:r w:rsidRPr="00B65DEF">
        <w:rPr>
          <w:szCs w:val="22"/>
        </w:rPr>
        <w:t xml:space="preserve"> están previstos en el </w:t>
      </w:r>
      <w:r w:rsidRPr="00B65DEF">
        <w:rPr>
          <w:rFonts w:eastAsiaTheme="majorEastAsia"/>
          <w:b/>
          <w:bCs/>
          <w:szCs w:val="22"/>
        </w:rPr>
        <w:t>artículo 120 de la LPDPPP</w:t>
      </w:r>
      <w:r w:rsidRPr="00B65DEF">
        <w:rPr>
          <w:szCs w:val="22"/>
        </w:rPr>
        <w:t xml:space="preserve">, en el </w:t>
      </w:r>
      <w:r w:rsidRPr="00B65DEF">
        <w:rPr>
          <w:rFonts w:eastAsiaTheme="majorEastAsia"/>
          <w:b/>
          <w:bCs/>
          <w:szCs w:val="22"/>
        </w:rPr>
        <w:t>artículo 76 de los Lineamientos Generales de Protección de Datos Personales para el Sector Público</w:t>
      </w:r>
      <w:r w:rsidRPr="00B65DEF">
        <w:rPr>
          <w:szCs w:val="22"/>
        </w:rPr>
        <w:t xml:space="preserve">, y en el </w:t>
      </w:r>
      <w:r w:rsidRPr="00B65DEF">
        <w:rPr>
          <w:rFonts w:eastAsiaTheme="majorEastAsia"/>
          <w:b/>
          <w:bCs/>
          <w:szCs w:val="22"/>
        </w:rPr>
        <w:t>artículo 2.5 Bis del Código Civil del Estado de México</w:t>
      </w:r>
      <w:r w:rsidRPr="00B65DEF">
        <w:rPr>
          <w:szCs w:val="22"/>
        </w:rPr>
        <w:t>, los cuales disponen lo siguiente:</w:t>
      </w:r>
    </w:p>
    <w:p w14:paraId="27E35971" w14:textId="77777777" w:rsidR="00FD63CE" w:rsidRPr="00B65DEF" w:rsidRDefault="00FD63CE" w:rsidP="00B65DEF">
      <w:pPr>
        <w:pStyle w:val="Cita"/>
        <w:ind w:left="567" w:right="539"/>
        <w:jc w:val="both"/>
        <w:rPr>
          <w:color w:val="auto"/>
        </w:rPr>
      </w:pPr>
      <w:r w:rsidRPr="00B65DEF">
        <w:rPr>
          <w:rFonts w:eastAsiaTheme="majorEastAsia"/>
          <w:b/>
          <w:bCs/>
          <w:color w:val="auto"/>
        </w:rPr>
        <w:t>LPDPPP</w:t>
      </w:r>
      <w:r w:rsidRPr="00B65DEF">
        <w:rPr>
          <w:color w:val="auto"/>
        </w:rPr>
        <w:br/>
        <w:t>“Artículo 120. El titular podrá acreditar su identidad a través de cualquiera de los medios siguientes:</w:t>
      </w:r>
      <w:r w:rsidRPr="00B65DEF">
        <w:rPr>
          <w:color w:val="auto"/>
        </w:rPr>
        <w:br/>
        <w:t>I. Identificación oficial.</w:t>
      </w:r>
      <w:r w:rsidRPr="00B65DEF">
        <w:rPr>
          <w:color w:val="auto"/>
        </w:rPr>
        <w:br/>
        <w:t>II. Firma electrónica avanzada o del instrumento electrónico que lo sustituya.</w:t>
      </w:r>
      <w:r w:rsidRPr="00B65DEF">
        <w:rPr>
          <w:color w:val="auto"/>
        </w:rPr>
        <w:br/>
      </w:r>
      <w:r w:rsidRPr="00B65DEF">
        <w:rPr>
          <w:color w:val="auto"/>
        </w:rPr>
        <w:lastRenderedPageBreak/>
        <w:t>III. Mecanismos de autenticación autorizados por el Instituto o el Instituto Nacional, publicados mediante acuerdo general en la Gaceta del Gobierno o en el Diario Oficial de la Federación.</w:t>
      </w:r>
    </w:p>
    <w:p w14:paraId="57EB12A6" w14:textId="77777777" w:rsidR="00FD63CE" w:rsidRPr="00B65DEF" w:rsidRDefault="00FD63CE" w:rsidP="00B65DEF">
      <w:pPr>
        <w:pStyle w:val="Cita"/>
        <w:ind w:left="567" w:right="539"/>
        <w:jc w:val="both"/>
        <w:rPr>
          <w:color w:val="auto"/>
        </w:rPr>
      </w:pPr>
      <w:r w:rsidRPr="00B65DEF">
        <w:rPr>
          <w:color w:val="auto"/>
        </w:rPr>
        <w:t>La utilización de la firma electrónica avanzada o del instrumento electrónico que lo sustituya eximirá de la presentación de la copia del documento de identificación.”</w:t>
      </w:r>
    </w:p>
    <w:p w14:paraId="703758E5" w14:textId="77777777" w:rsidR="00FD63CE" w:rsidRPr="00B65DEF" w:rsidRDefault="00FD63CE" w:rsidP="00B65DEF">
      <w:pPr>
        <w:pStyle w:val="Cita"/>
        <w:ind w:left="567" w:right="539"/>
        <w:jc w:val="both"/>
        <w:rPr>
          <w:color w:val="auto"/>
        </w:rPr>
      </w:pPr>
      <w:r w:rsidRPr="00B65DEF">
        <w:rPr>
          <w:rFonts w:eastAsiaTheme="majorEastAsia"/>
          <w:b/>
          <w:bCs/>
          <w:color w:val="auto"/>
        </w:rPr>
        <w:t>Lineamientos Generales de Protección de Datos Personales para el Sector Público</w:t>
      </w:r>
      <w:r w:rsidRPr="00B65DEF">
        <w:rPr>
          <w:color w:val="auto"/>
        </w:rPr>
        <w:br/>
        <w:t>“Artículo 76. El titular podrá acreditar su identidad a través de los siguientes medios:</w:t>
      </w:r>
      <w:r w:rsidRPr="00B65DEF">
        <w:rPr>
          <w:color w:val="auto"/>
        </w:rPr>
        <w:br/>
        <w:t>I. Identificación oficial.</w:t>
      </w:r>
      <w:r w:rsidRPr="00B65DEF">
        <w:rPr>
          <w:color w:val="auto"/>
        </w:rPr>
        <w:br/>
        <w:t>II. Instrumentos electrónicos o mecanismos de autenticación permitidos por otras disposiciones legales o reglamentarias que permitan su identificación fehaciente.</w:t>
      </w:r>
      <w:r w:rsidRPr="00B65DEF">
        <w:rPr>
          <w:color w:val="auto"/>
        </w:rPr>
        <w:br/>
        <w:t>III. Aquellos mecanismos establecidos por el responsable de manera previa, siempre que permitan de forma inequívoca acreditar la identidad del titular.”</w:t>
      </w:r>
    </w:p>
    <w:p w14:paraId="386FEF5F" w14:textId="77777777" w:rsidR="00F96BF4" w:rsidRPr="00B65DEF" w:rsidRDefault="00F96BF4" w:rsidP="00B65DEF"/>
    <w:p w14:paraId="6FFB10E5" w14:textId="77777777" w:rsidR="00F96BF4" w:rsidRPr="00B65DEF" w:rsidRDefault="00FD63CE" w:rsidP="00B65DEF">
      <w:pPr>
        <w:pStyle w:val="Cita"/>
        <w:ind w:left="567" w:right="539"/>
        <w:jc w:val="both"/>
        <w:rPr>
          <w:rFonts w:eastAsiaTheme="majorEastAsia"/>
          <w:b/>
          <w:bCs/>
          <w:color w:val="auto"/>
        </w:rPr>
      </w:pPr>
      <w:r w:rsidRPr="00B65DEF">
        <w:rPr>
          <w:rFonts w:eastAsiaTheme="majorEastAsia"/>
          <w:b/>
          <w:bCs/>
          <w:color w:val="auto"/>
        </w:rPr>
        <w:t>Código Civil del Estado de México</w:t>
      </w:r>
    </w:p>
    <w:p w14:paraId="165A4D4B" w14:textId="5A2C490B" w:rsidR="00FD63CE" w:rsidRPr="00B65DEF" w:rsidRDefault="00FD63CE" w:rsidP="00B65DEF">
      <w:pPr>
        <w:pStyle w:val="Cita"/>
        <w:ind w:left="567" w:right="539"/>
        <w:jc w:val="both"/>
        <w:rPr>
          <w:color w:val="auto"/>
        </w:rPr>
      </w:pPr>
      <w:r w:rsidRPr="00B65DEF">
        <w:rPr>
          <w:color w:val="auto"/>
        </w:rPr>
        <w:t>“Artículo 2.5 Bis.- Se consideran como medios aceptables y válidos para acreditar la identidad de las personas físicas, los documentos públicos, ya sea en original o copia certificada, expedidos por las autoridades competentes, de manera enunciativa y no limitativa, los siguientes:</w:t>
      </w:r>
      <w:r w:rsidRPr="00B65DEF">
        <w:rPr>
          <w:color w:val="auto"/>
        </w:rPr>
        <w:br/>
        <w:t>I. En caso de menores de edad, el acta de nacimiento, la carta de naturalización y las credenciales expedidas por autoridades educativas que cuenten con autorización o reconocimiento de validez oficial.</w:t>
      </w:r>
      <w:r w:rsidRPr="00B65DEF">
        <w:rPr>
          <w:color w:val="auto"/>
        </w:rPr>
        <w:br/>
        <w:t>II. La credencial para votar, el pasaporte, la matrícula consular mexicana, la licencia para conducir y la carta de naturalización.</w:t>
      </w:r>
      <w:r w:rsidRPr="00B65DEF">
        <w:rPr>
          <w:color w:val="auto"/>
        </w:rPr>
        <w:br/>
        <w:t xml:space="preserve">III. Las credenciales expedidas por autoridades educativas, las cédulas profesionales o de </w:t>
      </w:r>
      <w:r w:rsidRPr="00B65DEF">
        <w:rPr>
          <w:color w:val="auto"/>
        </w:rPr>
        <w:lastRenderedPageBreak/>
        <w:t>pasante y, en caso de los varones, la cartilla del servicio militar nacional.</w:t>
      </w:r>
      <w:r w:rsidRPr="00B65DEF">
        <w:rPr>
          <w:color w:val="auto"/>
        </w:rPr>
        <w:br/>
        <w:t>IV. Las demás identificaciones reconocidas como oficiales.</w:t>
      </w:r>
    </w:p>
    <w:p w14:paraId="2153F2B7" w14:textId="77777777" w:rsidR="00FD63CE" w:rsidRPr="00B65DEF" w:rsidRDefault="00FD63CE" w:rsidP="00B65DEF">
      <w:pPr>
        <w:pStyle w:val="Cita"/>
        <w:ind w:left="567" w:right="539"/>
        <w:jc w:val="both"/>
        <w:rPr>
          <w:color w:val="auto"/>
        </w:rPr>
      </w:pPr>
      <w:r w:rsidRPr="00B65DEF">
        <w:rPr>
          <w:color w:val="auto"/>
        </w:rPr>
        <w:t>Estos documentos solo acreditan la identidad de su titular y no así la de su domicilio.”</w:t>
      </w:r>
    </w:p>
    <w:p w14:paraId="2C93205C" w14:textId="77777777" w:rsidR="00FD63CE" w:rsidRPr="00B65DEF" w:rsidRDefault="00FD63CE" w:rsidP="00B65DEF">
      <w:pPr>
        <w:spacing w:after="160"/>
        <w:rPr>
          <w:szCs w:val="22"/>
        </w:rPr>
      </w:pPr>
      <w:r w:rsidRPr="00B65DEF">
        <w:rPr>
          <w:szCs w:val="22"/>
        </w:rPr>
        <w:t>De los preceptos anteriores se concluye que la identidad de una persona puede acreditarse, entre otros medios, mediante credencial para votar, pasaporte, cédula profesional, licencia para conducir, acta de nacimiento o firma electrónica avanzada, todos ellos considerados documentos oficiales o mecanismos de autenticación válidos.</w:t>
      </w:r>
    </w:p>
    <w:p w14:paraId="234D4702" w14:textId="77777777" w:rsidR="00FD63CE" w:rsidRPr="00B65DEF" w:rsidRDefault="00FD63CE" w:rsidP="00B65DEF">
      <w:pPr>
        <w:spacing w:after="160"/>
        <w:rPr>
          <w:szCs w:val="22"/>
        </w:rPr>
      </w:pPr>
      <w:r w:rsidRPr="00B65DEF">
        <w:rPr>
          <w:szCs w:val="22"/>
        </w:rPr>
        <w:t xml:space="preserve">En cuanto a la </w:t>
      </w:r>
      <w:r w:rsidRPr="00B65DEF">
        <w:rPr>
          <w:rFonts w:eastAsiaTheme="majorEastAsia"/>
          <w:b/>
          <w:bCs/>
          <w:szCs w:val="22"/>
        </w:rPr>
        <w:t>personalidad en representación</w:t>
      </w:r>
      <w:r w:rsidRPr="00B65DEF">
        <w:rPr>
          <w:szCs w:val="22"/>
        </w:rPr>
        <w:t xml:space="preserve">, el </w:t>
      </w:r>
      <w:r w:rsidRPr="00B65DEF">
        <w:rPr>
          <w:rFonts w:eastAsiaTheme="majorEastAsia"/>
          <w:b/>
          <w:bCs/>
          <w:szCs w:val="22"/>
        </w:rPr>
        <w:t>artículo 121 de la LPDPPP</w:t>
      </w:r>
      <w:r w:rsidRPr="00B65DEF">
        <w:rPr>
          <w:szCs w:val="22"/>
        </w:rPr>
        <w:t xml:space="preserve"> prevé que, cuando el titular de los datos actúe a través de un representante, ésta se puede acreditar mediante:</w:t>
      </w:r>
    </w:p>
    <w:p w14:paraId="66A9EC8B" w14:textId="77777777" w:rsidR="00FD63CE" w:rsidRPr="00B65DEF" w:rsidRDefault="00FD63CE" w:rsidP="00B65DEF">
      <w:pPr>
        <w:rPr>
          <w:szCs w:val="22"/>
        </w:rPr>
      </w:pPr>
      <w:r w:rsidRPr="00B65DEF">
        <w:rPr>
          <w:szCs w:val="22"/>
        </w:rPr>
        <w:t>I. Carta poder simple suscrita ante dos testigos, anexando copias de las identificaciones de los suscriptores; o bien, mediante instrumento público o declaración en comparecencia personal del titular y del representante ante el Instituto.</w:t>
      </w:r>
    </w:p>
    <w:p w14:paraId="1FE48204" w14:textId="77777777" w:rsidR="00FD63CE" w:rsidRPr="00B65DEF" w:rsidRDefault="00FD63CE" w:rsidP="00B65DEF">
      <w:pPr>
        <w:spacing w:after="160"/>
        <w:rPr>
          <w:szCs w:val="22"/>
        </w:rPr>
      </w:pPr>
      <w:r w:rsidRPr="00B65DEF">
        <w:rPr>
          <w:szCs w:val="22"/>
        </w:rPr>
        <w:t>II. Si se trata de una persona jurídica colectiva, a través de instrumento público.</w:t>
      </w:r>
    </w:p>
    <w:p w14:paraId="1C5C8E0D" w14:textId="77777777" w:rsidR="00FD63CE" w:rsidRPr="00B65DEF" w:rsidRDefault="00FD63CE" w:rsidP="00B65DEF">
      <w:pPr>
        <w:spacing w:after="160"/>
        <w:rPr>
          <w:szCs w:val="22"/>
        </w:rPr>
      </w:pPr>
      <w:r w:rsidRPr="00B65DEF">
        <w:rPr>
          <w:szCs w:val="22"/>
        </w:rPr>
        <w:t xml:space="preserve">Lo anterior se robustece con lo dispuesto en los </w:t>
      </w:r>
      <w:r w:rsidRPr="00B65DEF">
        <w:rPr>
          <w:rFonts w:eastAsiaTheme="majorEastAsia"/>
          <w:b/>
          <w:bCs/>
          <w:szCs w:val="22"/>
        </w:rPr>
        <w:t>artículos 73 y 77 de los Lineamientos Generales de Protección de Datos Personales para el Sector Público</w:t>
      </w:r>
      <w:r w:rsidRPr="00B65DEF">
        <w:rPr>
          <w:szCs w:val="22"/>
        </w:rPr>
        <w:t>, que señalan:</w:t>
      </w:r>
    </w:p>
    <w:p w14:paraId="25C23DD9" w14:textId="77777777" w:rsidR="00FD63CE" w:rsidRPr="00B65DEF" w:rsidRDefault="00FD63CE" w:rsidP="00B65DEF">
      <w:pPr>
        <w:pStyle w:val="Cita"/>
        <w:ind w:left="567" w:right="539"/>
        <w:jc w:val="both"/>
        <w:rPr>
          <w:color w:val="auto"/>
        </w:rPr>
      </w:pPr>
      <w:r w:rsidRPr="00B65DEF">
        <w:rPr>
          <w:color w:val="auto"/>
        </w:rPr>
        <w:t>“</w:t>
      </w:r>
      <w:r w:rsidRPr="00B65DEF">
        <w:rPr>
          <w:b/>
          <w:bCs/>
          <w:color w:val="auto"/>
        </w:rPr>
        <w:t>Artículo 73.</w:t>
      </w:r>
      <w:r w:rsidRPr="00B65DEF">
        <w:rPr>
          <w:color w:val="auto"/>
        </w:rPr>
        <w:t xml:space="preserve"> Los derechos ARCO se podrán ejercer por el titular o, en su caso, por su representante, acreditando su identidad y, en su caso, la identidad y personalidad de este último al presentar su solicitud o, de manera previa, al momento de hacer efectivo su derecho ante el responsable, conforme a lo dispuesto en el artículo 91 de los presentes Lineamientos generales.”</w:t>
      </w:r>
    </w:p>
    <w:p w14:paraId="27CB7F5B" w14:textId="77777777" w:rsidR="00FD63CE" w:rsidRPr="00B65DEF" w:rsidRDefault="00FD63CE" w:rsidP="00B65DEF">
      <w:pPr>
        <w:pStyle w:val="Cita"/>
        <w:ind w:left="567" w:right="539"/>
        <w:jc w:val="both"/>
        <w:rPr>
          <w:color w:val="auto"/>
        </w:rPr>
      </w:pPr>
      <w:r w:rsidRPr="00B65DEF">
        <w:rPr>
          <w:color w:val="auto"/>
        </w:rPr>
        <w:t>“</w:t>
      </w:r>
      <w:r w:rsidRPr="00B65DEF">
        <w:rPr>
          <w:b/>
          <w:bCs/>
          <w:color w:val="auto"/>
        </w:rPr>
        <w:t>Artículo 77.</w:t>
      </w:r>
      <w:r w:rsidRPr="00B65DEF">
        <w:rPr>
          <w:color w:val="auto"/>
        </w:rPr>
        <w:t xml:space="preserve"> Cuando el titular ejerza sus derechos ARCO a través de su representante, éste deberá acreditar la identidad del titular y su identidad y personalidad presentando ante el responsable lo siguiente:</w:t>
      </w:r>
    </w:p>
    <w:p w14:paraId="44E19183" w14:textId="77777777" w:rsidR="00FD63CE" w:rsidRPr="00B65DEF" w:rsidRDefault="00FD63CE" w:rsidP="00B65DEF">
      <w:pPr>
        <w:pStyle w:val="Cita"/>
        <w:ind w:left="567" w:right="539"/>
        <w:jc w:val="both"/>
        <w:rPr>
          <w:color w:val="auto"/>
        </w:rPr>
      </w:pPr>
      <w:r w:rsidRPr="00B65DEF">
        <w:rPr>
          <w:color w:val="auto"/>
        </w:rPr>
        <w:lastRenderedPageBreak/>
        <w:t>I. Copia simple de la identificación oficial del titular.</w:t>
      </w:r>
    </w:p>
    <w:p w14:paraId="1C98250F" w14:textId="77777777" w:rsidR="00FD63CE" w:rsidRPr="00B65DEF" w:rsidRDefault="00FD63CE" w:rsidP="00B65DEF">
      <w:pPr>
        <w:pStyle w:val="Cita"/>
        <w:ind w:left="567" w:right="539"/>
        <w:jc w:val="both"/>
        <w:rPr>
          <w:color w:val="auto"/>
        </w:rPr>
      </w:pPr>
      <w:r w:rsidRPr="00B65DEF">
        <w:rPr>
          <w:color w:val="auto"/>
        </w:rPr>
        <w:t>II. Identificación oficial del representante.</w:t>
      </w:r>
    </w:p>
    <w:p w14:paraId="13D27B75" w14:textId="77777777" w:rsidR="00FD63CE" w:rsidRPr="00B65DEF" w:rsidRDefault="00FD63CE" w:rsidP="00B65DEF">
      <w:pPr>
        <w:pStyle w:val="Cita"/>
        <w:ind w:left="567" w:right="539"/>
        <w:jc w:val="both"/>
        <w:rPr>
          <w:color w:val="auto"/>
        </w:rPr>
      </w:pPr>
      <w:r w:rsidRPr="00B65DEF">
        <w:rPr>
          <w:color w:val="auto"/>
        </w:rPr>
        <w:t>III. Instrumento público; carta poder simple firmada ante dos testigos, anexando copia simple de las identificaciones oficiales de quienes intervengan en la suscripción del mismo; o declaración en comparecencia personal del titular.”</w:t>
      </w:r>
    </w:p>
    <w:p w14:paraId="0CD6E42A" w14:textId="77777777" w:rsidR="00FD63CE" w:rsidRPr="00B65DEF" w:rsidRDefault="00FD63CE" w:rsidP="00B65DEF">
      <w:pPr>
        <w:spacing w:after="160"/>
        <w:rPr>
          <w:szCs w:val="22"/>
        </w:rPr>
      </w:pPr>
      <w:r w:rsidRPr="00B65DEF">
        <w:rPr>
          <w:szCs w:val="22"/>
        </w:rPr>
        <w:t xml:space="preserve">En este contexto, y toda vez que la parte recurrente, con el fin de acreditar su carácter de titular de los datos personales solicitados, presentó copia certificada de un </w:t>
      </w:r>
      <w:r w:rsidRPr="00B65DEF">
        <w:rPr>
          <w:rFonts w:eastAsiaTheme="majorEastAsia"/>
          <w:b/>
          <w:bCs/>
          <w:szCs w:val="22"/>
        </w:rPr>
        <w:t>Poder General</w:t>
      </w:r>
      <w:r w:rsidRPr="00B65DEF">
        <w:rPr>
          <w:szCs w:val="22"/>
        </w:rPr>
        <w:t xml:space="preserve"> otorgado a su favor, resulta pertinente traer a colación el marco normativo aplicable en el Estado de México, previsto en el Código Civil:</w:t>
      </w:r>
    </w:p>
    <w:p w14:paraId="2AFBDCA0" w14:textId="77777777" w:rsidR="00FD63CE" w:rsidRPr="00B65DEF" w:rsidRDefault="00FD63CE" w:rsidP="00B65DEF">
      <w:pPr>
        <w:pStyle w:val="Cita"/>
        <w:ind w:left="567" w:right="539"/>
        <w:jc w:val="both"/>
        <w:rPr>
          <w:color w:val="auto"/>
        </w:rPr>
      </w:pPr>
      <w:r w:rsidRPr="00B65DEF">
        <w:rPr>
          <w:rFonts w:eastAsiaTheme="majorEastAsia"/>
          <w:b/>
          <w:bCs/>
          <w:color w:val="auto"/>
        </w:rPr>
        <w:t>“Artículo 7.764.-</w:t>
      </w:r>
      <w:r w:rsidRPr="00B65DEF">
        <w:rPr>
          <w:color w:val="auto"/>
        </w:rPr>
        <w:t xml:space="preserve"> El mandato es un contrato por el que el mandatario se obliga a ejecutar por cuenta y a nombre del mandante, o sólo por la primera, los actos jurídicos que éste le encarga.</w:t>
      </w:r>
    </w:p>
    <w:p w14:paraId="1B4BB6E6" w14:textId="77777777" w:rsidR="00FD63CE" w:rsidRPr="00B65DEF" w:rsidRDefault="00FD63CE" w:rsidP="00B65DEF">
      <w:pPr>
        <w:pStyle w:val="Cita"/>
        <w:ind w:left="567" w:right="539"/>
        <w:jc w:val="both"/>
        <w:rPr>
          <w:color w:val="auto"/>
        </w:rPr>
      </w:pPr>
      <w:r w:rsidRPr="00B65DEF">
        <w:rPr>
          <w:rFonts w:eastAsiaTheme="majorEastAsia"/>
          <w:b/>
          <w:bCs/>
          <w:color w:val="auto"/>
        </w:rPr>
        <w:t>Artículo 7.770.-</w:t>
      </w:r>
      <w:r w:rsidRPr="00B65DEF">
        <w:rPr>
          <w:color w:val="auto"/>
        </w:rPr>
        <w:t xml:space="preserve"> El mandato puede ser general o especial. Son generales los contenidos en el siguiente artículo. Cualquier otro mandato tendrá el carácter de especial.</w:t>
      </w:r>
    </w:p>
    <w:p w14:paraId="42B4680D" w14:textId="77777777" w:rsidR="00FD63CE" w:rsidRPr="00B65DEF" w:rsidRDefault="00FD63CE" w:rsidP="00B65DEF">
      <w:pPr>
        <w:pStyle w:val="Cita"/>
        <w:ind w:left="567" w:right="539"/>
        <w:jc w:val="both"/>
        <w:rPr>
          <w:color w:val="auto"/>
        </w:rPr>
      </w:pPr>
      <w:r w:rsidRPr="00B65DEF">
        <w:rPr>
          <w:rFonts w:eastAsiaTheme="majorEastAsia"/>
          <w:b/>
          <w:bCs/>
          <w:color w:val="auto"/>
        </w:rPr>
        <w:t>Artículo 7.771.-</w:t>
      </w:r>
      <w:r w:rsidRPr="00B65DEF">
        <w:rPr>
          <w:color w:val="auto"/>
        </w:rPr>
        <w:t xml:space="preserve"> En todos los poderes generales para pleitos y cobranzas bastará que se diga que se otorgan con todas las facultades generales y las especiales que requieran cláusulas especiales conforme a la ley, para que se entiendan conferidos sin limitación alguna.</w:t>
      </w:r>
    </w:p>
    <w:p w14:paraId="1E08940A" w14:textId="77777777" w:rsidR="00FD63CE" w:rsidRPr="00B65DEF" w:rsidRDefault="00FD63CE" w:rsidP="00B65DEF">
      <w:pPr>
        <w:pStyle w:val="Cita"/>
        <w:ind w:left="567" w:right="539"/>
        <w:jc w:val="both"/>
        <w:rPr>
          <w:color w:val="auto"/>
        </w:rPr>
      </w:pPr>
      <w:r w:rsidRPr="00B65DEF">
        <w:rPr>
          <w:color w:val="auto"/>
        </w:rPr>
        <w:t>En los poderes generales para administrar bienes bastará expresar que se dan con ese carácter, para que el apoderado tenga toda clase de facultades administrativas.</w:t>
      </w:r>
      <w:r w:rsidRPr="00B65DEF">
        <w:rPr>
          <w:color w:val="auto"/>
        </w:rPr>
        <w:br/>
        <w:t>En los poderes generales para ejercer actos de dominio, bastará que se den con ese carácter para que el apoderado tenga todas las facultades de dueño, tanto en lo relativo a los bienes, como para hacer toda clase de gestiones a fin de defenderlos.</w:t>
      </w:r>
      <w:r w:rsidRPr="00B65DEF">
        <w:rPr>
          <w:color w:val="auto"/>
        </w:rPr>
        <w:br/>
      </w:r>
      <w:r w:rsidRPr="00B65DEF">
        <w:rPr>
          <w:color w:val="auto"/>
        </w:rPr>
        <w:lastRenderedPageBreak/>
        <w:t xml:space="preserve">Cuando se quisieren limitar, en los tres casos mencionados, las facultades de los apoderados, se consignarán las limitaciones, o los poderes serán especiales.” </w:t>
      </w:r>
      <w:r w:rsidRPr="00B65DEF">
        <w:rPr>
          <w:rFonts w:eastAsiaTheme="majorEastAsia"/>
          <w:color w:val="auto"/>
        </w:rPr>
        <w:t>Sic.</w:t>
      </w:r>
    </w:p>
    <w:p w14:paraId="4A240AE4" w14:textId="77777777" w:rsidR="00FD63CE" w:rsidRPr="00B65DEF" w:rsidRDefault="00FD63CE" w:rsidP="00B65DEF">
      <w:pPr>
        <w:spacing w:after="160"/>
        <w:rPr>
          <w:szCs w:val="22"/>
        </w:rPr>
      </w:pPr>
      <w:r w:rsidRPr="00B65DEF">
        <w:rPr>
          <w:szCs w:val="22"/>
        </w:rPr>
        <w:t xml:space="preserve">De la revisión del </w:t>
      </w:r>
      <w:r w:rsidRPr="00B65DEF">
        <w:rPr>
          <w:rFonts w:eastAsiaTheme="majorEastAsia"/>
          <w:b/>
          <w:bCs/>
          <w:szCs w:val="22"/>
        </w:rPr>
        <w:t>Poder General</w:t>
      </w:r>
      <w:r w:rsidRPr="00B65DEF">
        <w:rPr>
          <w:szCs w:val="22"/>
        </w:rPr>
        <w:t xml:space="preserve"> presentado por la solicitante, se advierte lo siguiente:</w:t>
      </w:r>
    </w:p>
    <w:p w14:paraId="63C29CB3" w14:textId="77777777" w:rsidR="00FD63CE" w:rsidRPr="00B65DEF" w:rsidRDefault="00FD63CE" w:rsidP="00B65DEF">
      <w:pPr>
        <w:numPr>
          <w:ilvl w:val="0"/>
          <w:numId w:val="47"/>
        </w:numPr>
        <w:spacing w:after="160"/>
        <w:rPr>
          <w:szCs w:val="22"/>
        </w:rPr>
      </w:pPr>
      <w:r w:rsidRPr="00B65DEF">
        <w:rPr>
          <w:szCs w:val="22"/>
        </w:rPr>
        <w:t>Fue otorgado respecto de un bien inmueble específico.</w:t>
      </w:r>
    </w:p>
    <w:p w14:paraId="3C0270FE" w14:textId="77777777" w:rsidR="00FD63CE" w:rsidRPr="00B65DEF" w:rsidRDefault="00FD63CE" w:rsidP="00B65DEF">
      <w:pPr>
        <w:numPr>
          <w:ilvl w:val="0"/>
          <w:numId w:val="47"/>
        </w:numPr>
        <w:spacing w:after="160"/>
        <w:rPr>
          <w:szCs w:val="22"/>
        </w:rPr>
      </w:pPr>
      <w:r w:rsidRPr="00B65DEF">
        <w:rPr>
          <w:szCs w:val="22"/>
        </w:rPr>
        <w:t>Se confirieron facultades para:</w:t>
      </w:r>
    </w:p>
    <w:p w14:paraId="44B5A4AD" w14:textId="77777777" w:rsidR="00FD63CE" w:rsidRPr="00B65DEF" w:rsidRDefault="00FD63CE" w:rsidP="00B65DEF">
      <w:pPr>
        <w:numPr>
          <w:ilvl w:val="1"/>
          <w:numId w:val="47"/>
        </w:numPr>
        <w:spacing w:after="160"/>
        <w:rPr>
          <w:szCs w:val="22"/>
        </w:rPr>
      </w:pPr>
      <w:r w:rsidRPr="00B65DEF">
        <w:rPr>
          <w:szCs w:val="22"/>
        </w:rPr>
        <w:t>Ejercer actos de dominio y de administración.</w:t>
      </w:r>
    </w:p>
    <w:p w14:paraId="077B69FA" w14:textId="77777777" w:rsidR="00FD63CE" w:rsidRPr="00B65DEF" w:rsidRDefault="00FD63CE" w:rsidP="00B65DEF">
      <w:pPr>
        <w:numPr>
          <w:ilvl w:val="1"/>
          <w:numId w:val="47"/>
        </w:numPr>
        <w:spacing w:after="160"/>
        <w:rPr>
          <w:szCs w:val="22"/>
        </w:rPr>
      </w:pPr>
      <w:r w:rsidRPr="00B65DEF">
        <w:rPr>
          <w:szCs w:val="22"/>
        </w:rPr>
        <w:t>Pleitos y cobranzas.</w:t>
      </w:r>
    </w:p>
    <w:p w14:paraId="249D493B" w14:textId="77777777" w:rsidR="00FD63CE" w:rsidRPr="00B65DEF" w:rsidRDefault="00FD63CE" w:rsidP="00B65DEF">
      <w:pPr>
        <w:numPr>
          <w:ilvl w:val="0"/>
          <w:numId w:val="47"/>
        </w:numPr>
        <w:spacing w:after="160"/>
        <w:rPr>
          <w:szCs w:val="22"/>
        </w:rPr>
      </w:pPr>
      <w:r w:rsidRPr="00B65DEF">
        <w:rPr>
          <w:szCs w:val="22"/>
        </w:rPr>
        <w:t xml:space="preserve">Se estableció como un mandato </w:t>
      </w:r>
      <w:r w:rsidRPr="00B65DEF">
        <w:rPr>
          <w:rFonts w:eastAsiaTheme="majorEastAsia"/>
          <w:b/>
          <w:bCs/>
          <w:szCs w:val="22"/>
        </w:rPr>
        <w:t>irrevocable</w:t>
      </w:r>
      <w:r w:rsidRPr="00B65DEF">
        <w:rPr>
          <w:szCs w:val="22"/>
        </w:rPr>
        <w:t>.</w:t>
      </w:r>
    </w:p>
    <w:p w14:paraId="410F12C2" w14:textId="77777777" w:rsidR="00FD63CE" w:rsidRPr="00B65DEF" w:rsidRDefault="00FD63CE" w:rsidP="00B65DEF">
      <w:pPr>
        <w:spacing w:after="160"/>
        <w:rPr>
          <w:szCs w:val="22"/>
        </w:rPr>
      </w:pPr>
      <w:r w:rsidRPr="00B65DEF">
        <w:rPr>
          <w:szCs w:val="22"/>
        </w:rPr>
        <w:t xml:space="preserve">En relación con este último aspecto, resulta oportuno citar lo dispuesto en el </w:t>
      </w:r>
      <w:r w:rsidRPr="00B65DEF">
        <w:rPr>
          <w:rFonts w:eastAsiaTheme="majorEastAsia"/>
          <w:b/>
          <w:bCs/>
          <w:szCs w:val="22"/>
        </w:rPr>
        <w:t>artículo 7.768 del Código Civil del Estado de México</w:t>
      </w:r>
      <w:r w:rsidRPr="00B65DEF">
        <w:rPr>
          <w:szCs w:val="22"/>
        </w:rPr>
        <w:t>, que señala:</w:t>
      </w:r>
    </w:p>
    <w:p w14:paraId="7A4F6A66" w14:textId="77777777" w:rsidR="00FD63CE" w:rsidRPr="00B65DEF" w:rsidRDefault="00FD63CE" w:rsidP="00B65DEF">
      <w:pPr>
        <w:pStyle w:val="Cita"/>
        <w:ind w:left="567" w:right="539"/>
        <w:jc w:val="both"/>
        <w:rPr>
          <w:color w:val="auto"/>
        </w:rPr>
      </w:pPr>
      <w:r w:rsidRPr="00B65DEF">
        <w:rPr>
          <w:rFonts w:eastAsiaTheme="majorEastAsia"/>
          <w:b/>
          <w:bCs/>
          <w:color w:val="auto"/>
        </w:rPr>
        <w:t>“Artículo 7.768.-</w:t>
      </w:r>
      <w:r w:rsidRPr="00B65DEF">
        <w:rPr>
          <w:color w:val="auto"/>
        </w:rPr>
        <w:t xml:space="preserve"> El mandato debe contener el plazo por el que se confiere; de no contenerlo, se presume que ha sido otorgado por tres años.” </w:t>
      </w:r>
      <w:r w:rsidRPr="00B65DEF">
        <w:rPr>
          <w:rFonts w:eastAsiaTheme="majorEastAsia"/>
          <w:color w:val="auto"/>
        </w:rPr>
        <w:t>Sic.</w:t>
      </w:r>
    </w:p>
    <w:p w14:paraId="53B1C7A9" w14:textId="77777777" w:rsidR="00FD63CE" w:rsidRPr="00B65DEF" w:rsidRDefault="00FD63CE" w:rsidP="00B65DEF">
      <w:pPr>
        <w:spacing w:after="160"/>
        <w:rPr>
          <w:szCs w:val="22"/>
        </w:rPr>
      </w:pPr>
      <w:r w:rsidRPr="00B65DEF">
        <w:rPr>
          <w:szCs w:val="22"/>
        </w:rPr>
        <w:t xml:space="preserve">De lo anterior se desprende que, en caso de que el mandato no contenga estipulación de temporalidad, éste se entiende otorgado por un plazo de </w:t>
      </w:r>
      <w:r w:rsidRPr="00B65DEF">
        <w:rPr>
          <w:rFonts w:eastAsiaTheme="majorEastAsia"/>
          <w:b/>
          <w:bCs/>
          <w:szCs w:val="22"/>
        </w:rPr>
        <w:t>tres años</w:t>
      </w:r>
      <w:r w:rsidRPr="00B65DEF">
        <w:rPr>
          <w:szCs w:val="22"/>
        </w:rPr>
        <w:t>.</w:t>
      </w:r>
    </w:p>
    <w:p w14:paraId="66457AEE" w14:textId="77777777" w:rsidR="00FD63CE" w:rsidRPr="00B65DEF" w:rsidRDefault="00FD63CE" w:rsidP="00B65DEF">
      <w:pPr>
        <w:spacing w:after="160"/>
        <w:rPr>
          <w:szCs w:val="22"/>
        </w:rPr>
      </w:pPr>
      <w:r w:rsidRPr="00B65DEF">
        <w:rPr>
          <w:szCs w:val="22"/>
        </w:rPr>
        <w:t>Bajo esta consideración, se advierte que:</w:t>
      </w:r>
    </w:p>
    <w:p w14:paraId="1289E2D1" w14:textId="77777777" w:rsidR="00FD63CE" w:rsidRPr="00B65DEF" w:rsidRDefault="00FD63CE" w:rsidP="00B65DEF">
      <w:pPr>
        <w:numPr>
          <w:ilvl w:val="0"/>
          <w:numId w:val="48"/>
        </w:numPr>
        <w:spacing w:after="160"/>
        <w:rPr>
          <w:szCs w:val="22"/>
        </w:rPr>
      </w:pPr>
      <w:r w:rsidRPr="00B65DEF">
        <w:rPr>
          <w:szCs w:val="22"/>
        </w:rPr>
        <w:t xml:space="preserve">Los datos personales cuya entrega se pretende corresponden a </w:t>
      </w:r>
      <w:r w:rsidRPr="00B65DEF">
        <w:rPr>
          <w:rFonts w:eastAsiaTheme="majorEastAsia"/>
          <w:b/>
          <w:bCs/>
          <w:szCs w:val="22"/>
        </w:rPr>
        <w:t>terceras personas</w:t>
      </w:r>
      <w:r w:rsidRPr="00B65DEF">
        <w:rPr>
          <w:szCs w:val="22"/>
        </w:rPr>
        <w:t>, en particular a los propietarios originales del bien inmueble.</w:t>
      </w:r>
    </w:p>
    <w:p w14:paraId="4ECF240C" w14:textId="77777777" w:rsidR="00FD63CE" w:rsidRPr="00B65DEF" w:rsidRDefault="00FD63CE" w:rsidP="00B65DEF">
      <w:pPr>
        <w:numPr>
          <w:ilvl w:val="0"/>
          <w:numId w:val="48"/>
        </w:numPr>
        <w:spacing w:after="160"/>
        <w:rPr>
          <w:szCs w:val="22"/>
        </w:rPr>
      </w:pPr>
      <w:r w:rsidRPr="00B65DEF">
        <w:rPr>
          <w:szCs w:val="22"/>
        </w:rPr>
        <w:t>Dicho bien es propiedad de quienes otorgaron el poder general a la recurrente.</w:t>
      </w:r>
    </w:p>
    <w:p w14:paraId="7BA6BC11" w14:textId="77777777" w:rsidR="00FD63CE" w:rsidRPr="00B65DEF" w:rsidRDefault="00FD63CE" w:rsidP="00B65DEF">
      <w:pPr>
        <w:numPr>
          <w:ilvl w:val="0"/>
          <w:numId w:val="48"/>
        </w:numPr>
        <w:spacing w:after="160"/>
        <w:rPr>
          <w:szCs w:val="22"/>
        </w:rPr>
      </w:pPr>
      <w:r w:rsidRPr="00B65DEF">
        <w:rPr>
          <w:szCs w:val="22"/>
        </w:rPr>
        <w:t xml:space="preserve">El plazo de vigencia del poder presentado ya se encuentra </w:t>
      </w:r>
      <w:r w:rsidRPr="00B65DEF">
        <w:rPr>
          <w:rFonts w:eastAsiaTheme="majorEastAsia"/>
          <w:b/>
          <w:bCs/>
          <w:szCs w:val="22"/>
        </w:rPr>
        <w:t>vencido</w:t>
      </w:r>
      <w:r w:rsidRPr="00B65DEF">
        <w:rPr>
          <w:szCs w:val="22"/>
        </w:rPr>
        <w:t>, al haberse otorgado en 2018.</w:t>
      </w:r>
    </w:p>
    <w:p w14:paraId="4689E4F7" w14:textId="77777777" w:rsidR="00FD63CE" w:rsidRPr="00B65DEF" w:rsidRDefault="00FD63CE" w:rsidP="00B65DEF">
      <w:pPr>
        <w:numPr>
          <w:ilvl w:val="0"/>
          <w:numId w:val="48"/>
        </w:numPr>
        <w:spacing w:after="160"/>
        <w:rPr>
          <w:szCs w:val="22"/>
        </w:rPr>
      </w:pPr>
      <w:r w:rsidRPr="00B65DEF">
        <w:rPr>
          <w:szCs w:val="22"/>
        </w:rPr>
        <w:lastRenderedPageBreak/>
        <w:t xml:space="preserve">Aunado a lo anterior, el instrumento </w:t>
      </w:r>
      <w:r w:rsidRPr="00B65DEF">
        <w:rPr>
          <w:rFonts w:eastAsiaTheme="majorEastAsia"/>
          <w:b/>
          <w:bCs/>
          <w:szCs w:val="22"/>
        </w:rPr>
        <w:t xml:space="preserve">no le confiere a </w:t>
      </w:r>
      <w:proofErr w:type="gramStart"/>
      <w:r w:rsidRPr="00B65DEF">
        <w:rPr>
          <w:rFonts w:eastAsiaTheme="majorEastAsia"/>
          <w:b/>
          <w:bCs/>
          <w:szCs w:val="22"/>
        </w:rPr>
        <w:t>la recurrente facultades expresas</w:t>
      </w:r>
      <w:proofErr w:type="gramEnd"/>
      <w:r w:rsidRPr="00B65DEF">
        <w:rPr>
          <w:rFonts w:eastAsiaTheme="majorEastAsia"/>
          <w:b/>
          <w:bCs/>
          <w:szCs w:val="22"/>
        </w:rPr>
        <w:t xml:space="preserve"> para ejercer derechos en materia de datos personales</w:t>
      </w:r>
      <w:r w:rsidRPr="00B65DEF">
        <w:rPr>
          <w:szCs w:val="22"/>
        </w:rPr>
        <w:t>, limitándose a facultades de dominio, administración y cobranza.</w:t>
      </w:r>
    </w:p>
    <w:p w14:paraId="3321BD42" w14:textId="77777777" w:rsidR="00FD63CE" w:rsidRPr="00B65DEF" w:rsidRDefault="00FD63CE" w:rsidP="00B65DEF">
      <w:pPr>
        <w:spacing w:after="160"/>
        <w:rPr>
          <w:szCs w:val="22"/>
        </w:rPr>
      </w:pPr>
      <w:r w:rsidRPr="00B65DEF">
        <w:rPr>
          <w:szCs w:val="22"/>
        </w:rPr>
        <w:t>En consecuencia, el poder exhibido no acredita una representación válida y vigente que faculte a la recurrente para ejercer el derecho de acceso a los datos personales objeto de la solicitud.</w:t>
      </w:r>
    </w:p>
    <w:p w14:paraId="30666B8A" w14:textId="77777777" w:rsidR="00FD63CE" w:rsidRPr="00B65DEF" w:rsidRDefault="00FD63CE" w:rsidP="00B65DEF">
      <w:pPr>
        <w:spacing w:after="160"/>
        <w:rPr>
          <w:szCs w:val="22"/>
        </w:rPr>
      </w:pPr>
      <w:r w:rsidRPr="00B65DEF">
        <w:rPr>
          <w:szCs w:val="22"/>
        </w:rPr>
        <w:t xml:space="preserve">En el caso concreto, la parte recurrente únicamente acreditó su identidad personal al adjuntar copia de su credencial para votar expedida por el Instituto Nacional Electoral. Sin embargo, los datos personales cuya entrega solicitó, corresponden a un tercero identificado en el recibo predial como </w:t>
      </w:r>
      <w:r w:rsidRPr="00B65DEF">
        <w:rPr>
          <w:rFonts w:eastAsiaTheme="majorEastAsia"/>
          <w:b/>
          <w:bCs/>
          <w:szCs w:val="22"/>
        </w:rPr>
        <w:t>Víctor Molina Romero</w:t>
      </w:r>
      <w:r w:rsidRPr="00B65DEF">
        <w:rPr>
          <w:szCs w:val="22"/>
        </w:rPr>
        <w:t>.</w:t>
      </w:r>
    </w:p>
    <w:p w14:paraId="64384973" w14:textId="77777777" w:rsidR="00FD63CE" w:rsidRPr="00B65DEF" w:rsidRDefault="00FD63CE" w:rsidP="00B65DEF">
      <w:pPr>
        <w:rPr>
          <w:szCs w:val="22"/>
        </w:rPr>
      </w:pPr>
      <w:r w:rsidRPr="00B65DEF">
        <w:rPr>
          <w:szCs w:val="22"/>
        </w:rPr>
        <w:t xml:space="preserve">En consecuencia, y con la finalidad de salvaguardar los datos personales involucrados, este Instituto notificó a la recurrente un </w:t>
      </w:r>
      <w:r w:rsidRPr="00B65DEF">
        <w:rPr>
          <w:rFonts w:eastAsiaTheme="majorEastAsia"/>
          <w:b/>
          <w:bCs/>
          <w:szCs w:val="22"/>
        </w:rPr>
        <w:t>Acuerdo de Prevención</w:t>
      </w:r>
      <w:r w:rsidRPr="00B65DEF">
        <w:rPr>
          <w:szCs w:val="22"/>
        </w:rPr>
        <w:t xml:space="preserve">, al amparo del artículo 136 de la Ley de Protección de Datos Personales en Posesión de Sujetos Obligados del Estado de México y Municipios (LPDPPP). En dicho acuerdo se le concedió un plazo de cinco días hábiles, contados a partir del siguiente a la notificación, para subsanar las omisiones advertidas, consistentes en acreditar la identidad del titular de los datos personales, así como la personalidad y representación para ejercer el derecho de acceso en su nombre. No obstante, conforme a las constancias del expediente electrónico, dicho requerimiento </w:t>
      </w:r>
      <w:r w:rsidRPr="00B65DEF">
        <w:rPr>
          <w:rFonts w:eastAsiaTheme="majorEastAsia"/>
          <w:b/>
          <w:bCs/>
          <w:szCs w:val="22"/>
        </w:rPr>
        <w:t>no fue atendido</w:t>
      </w:r>
      <w:r w:rsidRPr="00B65DEF">
        <w:rPr>
          <w:szCs w:val="22"/>
        </w:rPr>
        <w:t xml:space="preserve">. </w:t>
      </w:r>
    </w:p>
    <w:p w14:paraId="5E66A315" w14:textId="77777777" w:rsidR="00FD63CE" w:rsidRPr="00B65DEF" w:rsidRDefault="00FD63CE" w:rsidP="00B65DEF">
      <w:pPr>
        <w:spacing w:after="160"/>
        <w:rPr>
          <w:szCs w:val="22"/>
        </w:rPr>
      </w:pPr>
      <w:r w:rsidRPr="00B65DEF">
        <w:rPr>
          <w:szCs w:val="22"/>
        </w:rPr>
        <w:t>Bajo estas consideraciones, se concluye que la solicitante no acreditó la representación ni la identidad del titular de los datos personales sobre los cuales pretendía ejercer el derecho de acceso. Estos requisitos son indispensables tanto en la solicitud inicial como en el escrito de interposición del recurso de revisión, de conformidad con lo previsto en los artículos 110, fracción II, y 130, fracción VI, de la LPDPPP, que establecen:</w:t>
      </w:r>
    </w:p>
    <w:p w14:paraId="228B4275" w14:textId="77777777" w:rsidR="00FD63CE" w:rsidRPr="00B65DEF" w:rsidRDefault="00FD63CE" w:rsidP="00B65DEF">
      <w:pPr>
        <w:pStyle w:val="Cita"/>
        <w:ind w:left="567" w:right="539"/>
        <w:jc w:val="both"/>
        <w:rPr>
          <w:color w:val="auto"/>
        </w:rPr>
      </w:pPr>
      <w:r w:rsidRPr="00B65DEF">
        <w:rPr>
          <w:rFonts w:eastAsiaTheme="majorEastAsia"/>
          <w:color w:val="auto"/>
        </w:rPr>
        <w:t>“</w:t>
      </w:r>
      <w:r w:rsidRPr="00B65DEF">
        <w:rPr>
          <w:rFonts w:eastAsiaTheme="majorEastAsia"/>
          <w:b/>
          <w:bCs/>
          <w:color w:val="auto"/>
        </w:rPr>
        <w:t>Artículo 110.</w:t>
      </w:r>
      <w:r w:rsidRPr="00B65DEF">
        <w:rPr>
          <w:rFonts w:eastAsiaTheme="majorEastAsia"/>
          <w:color w:val="auto"/>
        </w:rPr>
        <w:t xml:space="preserve"> La solicitud para el ejercicio de derechos ARCO, deberá contener:</w:t>
      </w:r>
    </w:p>
    <w:p w14:paraId="53815693" w14:textId="77777777" w:rsidR="00FD63CE" w:rsidRPr="00B65DEF" w:rsidRDefault="00FD63CE" w:rsidP="00B65DEF">
      <w:pPr>
        <w:pStyle w:val="Cita"/>
        <w:ind w:left="567" w:right="539"/>
        <w:jc w:val="both"/>
        <w:rPr>
          <w:color w:val="auto"/>
        </w:rPr>
      </w:pPr>
      <w:r w:rsidRPr="00B65DEF">
        <w:rPr>
          <w:color w:val="auto"/>
        </w:rPr>
        <w:t>…</w:t>
      </w:r>
    </w:p>
    <w:p w14:paraId="23E3179A" w14:textId="77777777" w:rsidR="00FD63CE" w:rsidRPr="00B65DEF" w:rsidRDefault="00FD63CE" w:rsidP="00B65DEF">
      <w:pPr>
        <w:pStyle w:val="Cita"/>
        <w:ind w:left="567" w:right="539"/>
        <w:jc w:val="both"/>
        <w:rPr>
          <w:color w:val="auto"/>
        </w:rPr>
      </w:pPr>
      <w:r w:rsidRPr="00B65DEF">
        <w:rPr>
          <w:color w:val="auto"/>
        </w:rPr>
        <w:lastRenderedPageBreak/>
        <w:t>II. Los documentos que acrediten la identidad del titular y, en su caso, la personalidad e identidad de su representante.</w:t>
      </w:r>
    </w:p>
    <w:p w14:paraId="5A0D2C63" w14:textId="77777777" w:rsidR="00FD63CE" w:rsidRPr="00B65DEF" w:rsidRDefault="00FD63CE" w:rsidP="00B65DEF">
      <w:pPr>
        <w:pStyle w:val="Cita"/>
        <w:ind w:left="567" w:right="539"/>
        <w:jc w:val="both"/>
        <w:rPr>
          <w:color w:val="auto"/>
        </w:rPr>
      </w:pPr>
      <w:r w:rsidRPr="00B65DEF">
        <w:rPr>
          <w:rFonts w:eastAsiaTheme="majorEastAsia"/>
          <w:color w:val="auto"/>
        </w:rPr>
        <w:t>Artículo 130.</w:t>
      </w:r>
      <w:r w:rsidRPr="00B65DEF">
        <w:rPr>
          <w:color w:val="auto"/>
        </w:rPr>
        <w:t xml:space="preserve"> Los únicos requisitos exigibles en el escrito de interposición del recurso de revisión serán los siguientes:</w:t>
      </w:r>
    </w:p>
    <w:p w14:paraId="466CA9B5" w14:textId="77777777" w:rsidR="00FD63CE" w:rsidRPr="00B65DEF" w:rsidRDefault="00FD63CE" w:rsidP="00B65DEF">
      <w:pPr>
        <w:pStyle w:val="Cita"/>
        <w:ind w:left="567" w:right="539"/>
        <w:jc w:val="both"/>
        <w:rPr>
          <w:color w:val="auto"/>
        </w:rPr>
      </w:pPr>
      <w:r w:rsidRPr="00B65DEF">
        <w:rPr>
          <w:color w:val="auto"/>
        </w:rPr>
        <w:t>…</w:t>
      </w:r>
    </w:p>
    <w:p w14:paraId="51B75321" w14:textId="77777777" w:rsidR="00FD63CE" w:rsidRPr="00B65DEF" w:rsidRDefault="00FD63CE" w:rsidP="00B65DEF">
      <w:pPr>
        <w:pStyle w:val="Cita"/>
        <w:ind w:left="567" w:right="539"/>
        <w:jc w:val="both"/>
        <w:rPr>
          <w:color w:val="auto"/>
        </w:rPr>
      </w:pPr>
      <w:r w:rsidRPr="00B65DEF">
        <w:rPr>
          <w:color w:val="auto"/>
        </w:rPr>
        <w:t>VI. Los documentos que acrediten la identidad del titular y, en su caso, la personalidad e identidad de su representante.”</w:t>
      </w:r>
    </w:p>
    <w:p w14:paraId="00FCF2AE" w14:textId="77777777" w:rsidR="00FD63CE" w:rsidRPr="00B65DEF" w:rsidRDefault="00FD63CE" w:rsidP="00B65DEF">
      <w:pPr>
        <w:spacing w:after="160"/>
        <w:rPr>
          <w:szCs w:val="22"/>
        </w:rPr>
      </w:pPr>
    </w:p>
    <w:p w14:paraId="02F6C0F3" w14:textId="77777777" w:rsidR="00FD63CE" w:rsidRPr="00B65DEF" w:rsidRDefault="00FD63CE" w:rsidP="00B65DEF">
      <w:pPr>
        <w:spacing w:after="160"/>
        <w:rPr>
          <w:szCs w:val="22"/>
        </w:rPr>
      </w:pPr>
      <w:r w:rsidRPr="00B65DEF">
        <w:rPr>
          <w:szCs w:val="22"/>
        </w:rPr>
        <w:t>Lo anterior demuestra que la recurrente no presentó documento alguno con el que acreditara la identidad del titular de los datos personales a los que pretendía acceder, ni su representación.</w:t>
      </w:r>
    </w:p>
    <w:p w14:paraId="4F54E58C" w14:textId="77777777" w:rsidR="00FD63CE" w:rsidRPr="00B65DEF" w:rsidRDefault="00FD63CE" w:rsidP="00B65DEF">
      <w:pPr>
        <w:spacing w:after="160"/>
        <w:rPr>
          <w:szCs w:val="22"/>
        </w:rPr>
      </w:pPr>
      <w:r w:rsidRPr="00B65DEF">
        <w:rPr>
          <w:szCs w:val="22"/>
        </w:rPr>
        <w:t>En consecuencia, no se cumplen los requisitos legales para el ejercicio del derecho de acceso a datos personales, lo que configura la causal de sobreseimiento establecida en el artículo 139, fracción II, de la LPDPPP, en correlación con la causal de improcedencia prevista en el artículo 138, fracción II, del mismo ordenamiento:</w:t>
      </w:r>
    </w:p>
    <w:p w14:paraId="06F704D7" w14:textId="77777777" w:rsidR="00FD63CE" w:rsidRPr="00B65DEF" w:rsidRDefault="00FD63CE" w:rsidP="00B65DEF">
      <w:pPr>
        <w:pStyle w:val="Cita"/>
        <w:ind w:left="567" w:right="539"/>
        <w:jc w:val="both"/>
        <w:rPr>
          <w:color w:val="auto"/>
        </w:rPr>
      </w:pPr>
      <w:r w:rsidRPr="00B65DEF">
        <w:rPr>
          <w:rFonts w:eastAsiaTheme="majorEastAsia"/>
          <w:color w:val="auto"/>
        </w:rPr>
        <w:t>“</w:t>
      </w:r>
      <w:r w:rsidRPr="00B65DEF">
        <w:rPr>
          <w:rFonts w:eastAsiaTheme="majorEastAsia"/>
          <w:b/>
          <w:bCs/>
          <w:color w:val="auto"/>
        </w:rPr>
        <w:t>Artículo 138.</w:t>
      </w:r>
      <w:r w:rsidRPr="00B65DEF">
        <w:rPr>
          <w:rFonts w:eastAsiaTheme="majorEastAsia"/>
          <w:color w:val="auto"/>
        </w:rPr>
        <w:t xml:space="preserve"> El recurso de revisión podrá ser desechado por improcedente cuando:</w:t>
      </w:r>
    </w:p>
    <w:p w14:paraId="4D815038" w14:textId="77777777" w:rsidR="00FD63CE" w:rsidRPr="00B65DEF" w:rsidRDefault="00FD63CE" w:rsidP="00B65DEF">
      <w:pPr>
        <w:pStyle w:val="Cita"/>
        <w:ind w:left="567" w:right="539"/>
        <w:jc w:val="both"/>
        <w:rPr>
          <w:color w:val="auto"/>
        </w:rPr>
      </w:pPr>
      <w:r w:rsidRPr="00B65DEF">
        <w:rPr>
          <w:color w:val="auto"/>
        </w:rPr>
        <w:t>…</w:t>
      </w:r>
    </w:p>
    <w:p w14:paraId="74EF634F" w14:textId="77777777" w:rsidR="00FD63CE" w:rsidRPr="00B65DEF" w:rsidRDefault="00FD63CE" w:rsidP="00B65DEF">
      <w:pPr>
        <w:pStyle w:val="Cita"/>
        <w:ind w:left="567" w:right="539"/>
        <w:jc w:val="both"/>
        <w:rPr>
          <w:color w:val="auto"/>
        </w:rPr>
      </w:pPr>
      <w:r w:rsidRPr="00B65DEF">
        <w:rPr>
          <w:color w:val="auto"/>
        </w:rPr>
        <w:t>II. El titular o su representante no acrediten debidamente su identidad y personalidad de este último.</w:t>
      </w:r>
    </w:p>
    <w:p w14:paraId="1EC1CE47" w14:textId="77777777" w:rsidR="00FD63CE" w:rsidRPr="00B65DEF" w:rsidRDefault="00FD63CE" w:rsidP="00B65DEF">
      <w:pPr>
        <w:pStyle w:val="Cita"/>
        <w:ind w:left="567" w:right="539"/>
        <w:jc w:val="both"/>
        <w:rPr>
          <w:color w:val="auto"/>
        </w:rPr>
      </w:pPr>
      <w:r w:rsidRPr="00B65DEF">
        <w:rPr>
          <w:rFonts w:eastAsiaTheme="majorEastAsia"/>
          <w:color w:val="auto"/>
        </w:rPr>
        <w:t>Artículo 139. El recurso de revisión sólo podrá ser sobreseído cuando:</w:t>
      </w:r>
      <w:r w:rsidRPr="00B65DEF">
        <w:rPr>
          <w:color w:val="auto"/>
        </w:rPr>
        <w:br/>
        <w:t>…</w:t>
      </w:r>
    </w:p>
    <w:p w14:paraId="0C1347F2" w14:textId="77777777" w:rsidR="00FD63CE" w:rsidRPr="00B65DEF" w:rsidRDefault="00FD63CE" w:rsidP="00B65DEF">
      <w:pPr>
        <w:pStyle w:val="Cita"/>
        <w:ind w:left="567" w:right="539"/>
        <w:jc w:val="both"/>
        <w:rPr>
          <w:color w:val="auto"/>
        </w:rPr>
      </w:pPr>
      <w:r w:rsidRPr="00B65DEF">
        <w:rPr>
          <w:color w:val="auto"/>
        </w:rPr>
        <w:lastRenderedPageBreak/>
        <w:t>III. Admitido el recurso de revisión, se actualice alguna causal de improcedencia en los términos de la presente Ley.”</w:t>
      </w:r>
    </w:p>
    <w:p w14:paraId="5ABBD3B2" w14:textId="77777777" w:rsidR="00FD63CE" w:rsidRPr="00B65DEF" w:rsidRDefault="00FD63CE" w:rsidP="00B65DEF">
      <w:pPr>
        <w:spacing w:after="160"/>
        <w:rPr>
          <w:szCs w:val="22"/>
        </w:rPr>
      </w:pPr>
      <w:r w:rsidRPr="00B65DEF">
        <w:rPr>
          <w:szCs w:val="22"/>
        </w:rPr>
        <w:t xml:space="preserve">Por tanto, lo procedente es </w:t>
      </w:r>
      <w:r w:rsidRPr="00B65DEF">
        <w:rPr>
          <w:rFonts w:eastAsiaTheme="majorEastAsia"/>
          <w:b/>
          <w:bCs/>
          <w:szCs w:val="22"/>
        </w:rPr>
        <w:t>sobreseer</w:t>
      </w:r>
      <w:r w:rsidRPr="00B65DEF">
        <w:rPr>
          <w:szCs w:val="22"/>
        </w:rPr>
        <w:t xml:space="preserve"> el presente recurso de revisión, conforme al artículo 137, fracción I, de la LPDPPP, que dispone:</w:t>
      </w:r>
    </w:p>
    <w:p w14:paraId="72B54A1F" w14:textId="77777777" w:rsidR="00FD63CE" w:rsidRPr="00B65DEF" w:rsidRDefault="00FD63CE" w:rsidP="00B65DEF">
      <w:pPr>
        <w:pStyle w:val="Cita"/>
        <w:ind w:left="567" w:right="539"/>
        <w:jc w:val="both"/>
        <w:rPr>
          <w:color w:val="auto"/>
        </w:rPr>
      </w:pPr>
      <w:r w:rsidRPr="00B65DEF">
        <w:rPr>
          <w:rFonts w:eastAsiaTheme="majorEastAsia"/>
          <w:color w:val="auto"/>
        </w:rPr>
        <w:t>“</w:t>
      </w:r>
      <w:r w:rsidRPr="00B65DEF">
        <w:rPr>
          <w:rFonts w:eastAsiaTheme="majorEastAsia"/>
          <w:b/>
          <w:bCs/>
          <w:color w:val="auto"/>
        </w:rPr>
        <w:t>Artículo 137.</w:t>
      </w:r>
      <w:r w:rsidRPr="00B65DEF">
        <w:rPr>
          <w:rFonts w:eastAsiaTheme="majorEastAsia"/>
          <w:color w:val="auto"/>
        </w:rPr>
        <w:t xml:space="preserve"> Las resoluciones del Instituto podrán:</w:t>
      </w:r>
    </w:p>
    <w:p w14:paraId="2FE98E22" w14:textId="77777777" w:rsidR="00FD63CE" w:rsidRPr="00B65DEF" w:rsidRDefault="00FD63CE" w:rsidP="00B65DEF">
      <w:pPr>
        <w:pStyle w:val="Cita"/>
        <w:ind w:left="567" w:right="539"/>
        <w:jc w:val="both"/>
        <w:rPr>
          <w:color w:val="auto"/>
        </w:rPr>
      </w:pPr>
      <w:r w:rsidRPr="00B65DEF">
        <w:rPr>
          <w:color w:val="auto"/>
        </w:rPr>
        <w:t>I. Sobreseer o desechar el recurso de revisión por improcedente.”</w:t>
      </w:r>
    </w:p>
    <w:p w14:paraId="2DFE8665" w14:textId="77777777" w:rsidR="00FD63CE" w:rsidRPr="00B65DEF" w:rsidRDefault="00FD63CE" w:rsidP="00B65DEF">
      <w:pPr>
        <w:spacing w:after="160"/>
        <w:rPr>
          <w:szCs w:val="22"/>
        </w:rPr>
      </w:pPr>
    </w:p>
    <w:p w14:paraId="18769494" w14:textId="77777777" w:rsidR="00FD63CE" w:rsidRPr="00B65DEF" w:rsidRDefault="00FD63CE" w:rsidP="00B65DEF">
      <w:pPr>
        <w:spacing w:after="160"/>
        <w:rPr>
          <w:szCs w:val="22"/>
        </w:rPr>
      </w:pPr>
      <w:r w:rsidRPr="00B65DEF">
        <w:rPr>
          <w:szCs w:val="22"/>
        </w:rPr>
        <w:t>En la doctrina, el sobreseimiento implica que un procedimiento se suspenda o concluya definitivamente sin que se entre al estudio de fondo de los agravios planteados. Este criterio ha sido sostenido por la Suprema Corte de Justicia de la Nación en múltiples jurisprudencias, entre ellas la que a continuación se cita como orientación:</w:t>
      </w:r>
    </w:p>
    <w:p w14:paraId="182EBAF9" w14:textId="77777777" w:rsidR="00FD63CE" w:rsidRPr="00B65DEF" w:rsidRDefault="00FD63CE" w:rsidP="00B65DEF">
      <w:pPr>
        <w:pStyle w:val="Cita"/>
        <w:ind w:left="567" w:right="539"/>
        <w:jc w:val="both"/>
        <w:rPr>
          <w:color w:val="auto"/>
        </w:rPr>
      </w:pPr>
      <w:r w:rsidRPr="00B65DEF">
        <w:rPr>
          <w:rFonts w:eastAsiaTheme="majorEastAsia"/>
          <w:color w:val="auto"/>
        </w:rPr>
        <w:t>“</w:t>
      </w:r>
      <w:r w:rsidRPr="00B65DEF">
        <w:rPr>
          <w:rFonts w:eastAsiaTheme="majorEastAsia"/>
          <w:b/>
          <w:bCs/>
          <w:color w:val="auto"/>
        </w:rPr>
        <w:t>SOBRESEIMIENTO EN EL JUICIO DE AMPARO DIRECTO. IMPIDE EL ESTUDIO DE LAS VIOLACIONES PROCESALES PLANTEADAS EN LOS CONCEPTOS DE VIOLACIÓN.</w:t>
      </w:r>
      <w:r w:rsidRPr="00B65DEF">
        <w:rPr>
          <w:color w:val="auto"/>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3C7A7B1" w14:textId="77777777" w:rsidR="00FD63CE" w:rsidRPr="00B65DEF" w:rsidRDefault="00FD63CE" w:rsidP="00B65DEF">
      <w:pPr>
        <w:spacing w:after="160"/>
        <w:rPr>
          <w:szCs w:val="22"/>
        </w:rPr>
      </w:pPr>
    </w:p>
    <w:p w14:paraId="286BD5F5" w14:textId="4C2CF14C" w:rsidR="00B67EE5" w:rsidRPr="00B65DEF" w:rsidRDefault="00FD63CE" w:rsidP="00B65DEF">
      <w:pPr>
        <w:spacing w:after="160"/>
        <w:rPr>
          <w:szCs w:val="22"/>
        </w:rPr>
      </w:pPr>
      <w:r w:rsidRPr="00B65DEF">
        <w:rPr>
          <w:szCs w:val="22"/>
        </w:rPr>
        <w:t xml:space="preserve">Finalmente, se dejan a salvo los derechos de la solicitante para que, si lo considera pertinente, presente una nueva solicitud. Es importante hacer de su conocimiento que la ley reconoce a </w:t>
      </w:r>
      <w:r w:rsidRPr="00B65DEF">
        <w:rPr>
          <w:szCs w:val="22"/>
        </w:rPr>
        <w:lastRenderedPageBreak/>
        <w:t>los titulares de datos personales el derecho a acceder, rectificar y cancelar su información en posesión de los sujetos obligados, así como a oponerse a su tratamiento. Sin embargo, para ejercer tales derechos ante el responsable o ante este Instituto, resulta indispensable que el interesado demuestre ser el titular de los datos personales o, en su caso, acredite debidamente la representación legal que le faculte para actuar en su nombre.</w:t>
      </w:r>
    </w:p>
    <w:p w14:paraId="54CFDBD9" w14:textId="33230400" w:rsidR="000C7FB3" w:rsidRPr="00B65DEF" w:rsidRDefault="000F31D0" w:rsidP="00B65DEF">
      <w:pPr>
        <w:pStyle w:val="Ttulo3"/>
        <w:spacing w:line="360" w:lineRule="auto"/>
        <w:rPr>
          <w:szCs w:val="22"/>
        </w:rPr>
      </w:pPr>
      <w:bookmarkStart w:id="26" w:name="_Toc207224859"/>
      <w:r w:rsidRPr="00B65DEF">
        <w:rPr>
          <w:szCs w:val="22"/>
        </w:rPr>
        <w:t>f</w:t>
      </w:r>
      <w:r w:rsidR="000C7FB3" w:rsidRPr="00B65DEF">
        <w:rPr>
          <w:szCs w:val="22"/>
        </w:rPr>
        <w:t>) Conclusión</w:t>
      </w:r>
      <w:bookmarkEnd w:id="26"/>
    </w:p>
    <w:p w14:paraId="2F7B8B1D" w14:textId="2BA05303" w:rsidR="00564595" w:rsidRPr="00B65DEF" w:rsidRDefault="00564595" w:rsidP="00B65DEF">
      <w:pPr>
        <w:pStyle w:val="Prrafodelista"/>
        <w:tabs>
          <w:tab w:val="left" w:pos="426"/>
        </w:tabs>
        <w:spacing w:before="240" w:after="240"/>
        <w:ind w:left="0" w:right="-28"/>
        <w:rPr>
          <w:rFonts w:eastAsia="Palatino Linotype" w:cs="Palatino Linotype"/>
          <w:szCs w:val="22"/>
        </w:rPr>
      </w:pPr>
      <w:r w:rsidRPr="00B65DEF">
        <w:rPr>
          <w:szCs w:val="22"/>
          <w:lang w:val="es-ES"/>
        </w:rPr>
        <w:t xml:space="preserve">Bajo </w:t>
      </w:r>
      <w:r w:rsidRPr="00B65DEF">
        <w:rPr>
          <w:rFonts w:cs="Arial"/>
          <w:szCs w:val="22"/>
          <w:lang w:val="es-CO"/>
        </w:rPr>
        <w:t xml:space="preserve">ese tenor, y en términos del artículo 137, fracción I de la Ley de Protección de Datos Personales en Posesión de Sujetos Obligados del Estado de México y Municipios, este Pleno determina el </w:t>
      </w:r>
      <w:r w:rsidRPr="00B65DEF">
        <w:rPr>
          <w:rFonts w:cs="Arial"/>
          <w:b/>
          <w:szCs w:val="22"/>
          <w:lang w:val="es-CO"/>
        </w:rPr>
        <w:t xml:space="preserve">SOBRESEIMIENTO </w:t>
      </w:r>
      <w:r w:rsidRPr="00B65DEF">
        <w:rPr>
          <w:rFonts w:cs="Arial"/>
          <w:szCs w:val="22"/>
          <w:lang w:val="es-CO"/>
        </w:rPr>
        <w:t>del presente Recurso de Revisión.</w:t>
      </w:r>
    </w:p>
    <w:p w14:paraId="57394BA8" w14:textId="77777777" w:rsidR="00262EF0" w:rsidRPr="00B65DEF" w:rsidRDefault="00262EF0" w:rsidP="00B65DEF">
      <w:pPr>
        <w:pStyle w:val="Prrafodelista"/>
        <w:widowControl w:val="0"/>
        <w:autoSpaceDE w:val="0"/>
        <w:autoSpaceDN w:val="0"/>
        <w:adjustRightInd w:val="0"/>
        <w:ind w:left="0" w:right="51"/>
        <w:rPr>
          <w:rFonts w:cs="Arial"/>
          <w:szCs w:val="22"/>
        </w:rPr>
      </w:pPr>
    </w:p>
    <w:p w14:paraId="6D80F2EF" w14:textId="77777777" w:rsidR="008E2B84" w:rsidRPr="00B65DEF" w:rsidRDefault="008E2B84" w:rsidP="00B65DEF">
      <w:pPr>
        <w:ind w:right="-93"/>
        <w:rPr>
          <w:szCs w:val="22"/>
        </w:rPr>
      </w:pPr>
      <w:r w:rsidRPr="00B65DEF">
        <w:rPr>
          <w:szCs w:val="22"/>
        </w:rPr>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06F4A3CD" w14:textId="77777777" w:rsidR="008E2B84" w:rsidRPr="00B65DEF" w:rsidRDefault="008E2B84" w:rsidP="00B65DEF">
      <w:pPr>
        <w:pStyle w:val="Prrafodelista"/>
        <w:autoSpaceDE w:val="0"/>
        <w:autoSpaceDN w:val="0"/>
        <w:adjustRightInd w:val="0"/>
        <w:ind w:left="0"/>
        <w:rPr>
          <w:rFonts w:eastAsia="Calibri" w:cs="Arial"/>
          <w:szCs w:val="22"/>
        </w:rPr>
      </w:pPr>
    </w:p>
    <w:p w14:paraId="723CB561" w14:textId="77777777" w:rsidR="008E2B84" w:rsidRPr="00B65DEF" w:rsidRDefault="008E2B84" w:rsidP="00B65DEF">
      <w:pPr>
        <w:pStyle w:val="Ttulo1"/>
        <w:rPr>
          <w:szCs w:val="22"/>
        </w:rPr>
      </w:pPr>
      <w:bookmarkStart w:id="27" w:name="_Toc190858234"/>
      <w:bookmarkStart w:id="28" w:name="_Toc207224860"/>
      <w:r w:rsidRPr="00B65DEF">
        <w:rPr>
          <w:szCs w:val="22"/>
        </w:rPr>
        <w:t>RESUELVE</w:t>
      </w:r>
      <w:bookmarkEnd w:id="27"/>
      <w:bookmarkEnd w:id="28"/>
    </w:p>
    <w:p w14:paraId="508BA34D" w14:textId="4DEA9453" w:rsidR="00564595" w:rsidRPr="00B65DEF" w:rsidRDefault="00564595" w:rsidP="00B65DEF">
      <w:pPr>
        <w:widowControl w:val="0"/>
        <w:rPr>
          <w:rFonts w:eastAsia="Calibri" w:cs="Tahoma"/>
          <w:bCs/>
          <w:szCs w:val="22"/>
          <w:lang w:eastAsia="en-US"/>
        </w:rPr>
      </w:pPr>
      <w:r w:rsidRPr="00B65DEF">
        <w:rPr>
          <w:b/>
          <w:bCs/>
          <w:szCs w:val="22"/>
        </w:rPr>
        <w:t>PRIMERO.</w:t>
      </w:r>
      <w:r w:rsidRPr="00B65DEF">
        <w:rPr>
          <w:szCs w:val="22"/>
        </w:rPr>
        <w:t xml:space="preserve"> </w:t>
      </w:r>
      <w:r w:rsidRPr="00B65DEF">
        <w:rPr>
          <w:rFonts w:cs="Arial"/>
          <w:b/>
          <w:szCs w:val="22"/>
        </w:rPr>
        <w:t>SOBRESEE</w:t>
      </w:r>
      <w:r w:rsidRPr="00B65DEF">
        <w:rPr>
          <w:rFonts w:cs="Arial"/>
          <w:szCs w:val="22"/>
        </w:rPr>
        <w:t xml:space="preserve"> el Recurso de Revisión número </w:t>
      </w:r>
      <w:r w:rsidRPr="00B65DEF">
        <w:rPr>
          <w:rFonts w:eastAsia="Palatino Linotype" w:cs="Palatino Linotype"/>
          <w:b/>
          <w:szCs w:val="22"/>
        </w:rPr>
        <w:t xml:space="preserve">07697/INFOEM/AD/RR/2024 </w:t>
      </w:r>
      <w:r w:rsidRPr="00B65DEF">
        <w:rPr>
          <w:rFonts w:eastAsia="Palatino Linotype" w:cs="Palatino Linotype"/>
          <w:szCs w:val="22"/>
        </w:rPr>
        <w:t xml:space="preserve">por </w:t>
      </w:r>
      <w:r w:rsidRPr="00B65DEF">
        <w:rPr>
          <w:rFonts w:eastAsia="Palatino Linotype" w:cs="Palatino Linotype"/>
          <w:b/>
          <w:szCs w:val="22"/>
        </w:rPr>
        <w:t>improcedente</w:t>
      </w:r>
      <w:r w:rsidRPr="00B65DEF">
        <w:rPr>
          <w:szCs w:val="22"/>
        </w:rPr>
        <w:t>, en términos del artículo 139 fracción III, en relación con el artículo 138 fracción II de la Ley de Protección de Datos Personales en Posesión de Sujetos Obligados del Estado de México y Municipios.</w:t>
      </w:r>
    </w:p>
    <w:p w14:paraId="18049652" w14:textId="77777777" w:rsidR="00564595" w:rsidRPr="00B65DEF" w:rsidRDefault="00564595" w:rsidP="00B65DEF">
      <w:pPr>
        <w:widowControl w:val="0"/>
        <w:rPr>
          <w:rFonts w:eastAsia="Calibri" w:cs="Tahoma"/>
          <w:bCs/>
          <w:szCs w:val="22"/>
          <w:lang w:eastAsia="en-US"/>
        </w:rPr>
      </w:pPr>
    </w:p>
    <w:p w14:paraId="030776FF" w14:textId="77777777" w:rsidR="00564595" w:rsidRPr="00B65DEF" w:rsidRDefault="00564595" w:rsidP="00B65DEF">
      <w:pPr>
        <w:ind w:right="-93"/>
        <w:rPr>
          <w:szCs w:val="22"/>
        </w:rPr>
      </w:pPr>
      <w:r w:rsidRPr="00B65DEF">
        <w:rPr>
          <w:rFonts w:eastAsia="Calibri" w:cs="Tahoma"/>
          <w:b/>
          <w:bCs/>
          <w:szCs w:val="22"/>
          <w:lang w:eastAsia="en-US"/>
        </w:rPr>
        <w:lastRenderedPageBreak/>
        <w:t>SEGUNDO.</w:t>
      </w:r>
      <w:r w:rsidRPr="00B65DEF">
        <w:rPr>
          <w:rFonts w:eastAsia="Calibri" w:cs="Tahoma"/>
          <w:szCs w:val="22"/>
          <w:lang w:eastAsia="es-MX"/>
        </w:rPr>
        <w:t xml:space="preserve"> </w:t>
      </w:r>
      <w:r w:rsidRPr="00B65DEF">
        <w:rPr>
          <w:rFonts w:cs="Arial"/>
          <w:b/>
          <w:szCs w:val="22"/>
          <w:shd w:val="clear" w:color="auto" w:fill="FFFFFF"/>
        </w:rPr>
        <w:t xml:space="preserve">Notifíquese </w:t>
      </w:r>
      <w:r w:rsidRPr="00B65DEF">
        <w:rPr>
          <w:szCs w:val="22"/>
          <w:lang w:eastAsia="es-ES_tradnl"/>
        </w:rPr>
        <w:t xml:space="preserve">mediante </w:t>
      </w:r>
      <w:r w:rsidRPr="00B65DEF">
        <w:rPr>
          <w:szCs w:val="22"/>
        </w:rPr>
        <w:t xml:space="preserve">Sistema de </w:t>
      </w:r>
      <w:r w:rsidRPr="00B65DEF">
        <w:rPr>
          <w:rFonts w:cs="Arial"/>
          <w:szCs w:val="22"/>
        </w:rPr>
        <w:t>Acceso</w:t>
      </w:r>
      <w:r w:rsidRPr="00B65DEF">
        <w:rPr>
          <w:szCs w:val="22"/>
        </w:rPr>
        <w:t xml:space="preserve">, Rectificación, Cancelación y Oposición de Datos Personales en el Estado de México, </w:t>
      </w:r>
      <w:r w:rsidRPr="00B65DEF">
        <w:rPr>
          <w:b/>
          <w:bCs/>
          <w:szCs w:val="22"/>
          <w:lang w:eastAsia="es-ES_tradnl"/>
        </w:rPr>
        <w:t xml:space="preserve">(SARCOEM) </w:t>
      </w:r>
      <w:r w:rsidRPr="00B65DEF">
        <w:rPr>
          <w:szCs w:val="22"/>
          <w:shd w:val="clear" w:color="auto" w:fill="FFFFFF"/>
        </w:rPr>
        <w:t xml:space="preserve">al Titular de la Unidad de Transparencia </w:t>
      </w:r>
      <w:r w:rsidRPr="00B65DEF">
        <w:rPr>
          <w:rFonts w:cs="Arial"/>
          <w:szCs w:val="22"/>
          <w:shd w:val="clear" w:color="auto" w:fill="FFFFFF"/>
        </w:rPr>
        <w:t>del</w:t>
      </w:r>
      <w:r w:rsidRPr="00B65DEF">
        <w:rPr>
          <w:rFonts w:cs="Arial"/>
          <w:b/>
          <w:szCs w:val="22"/>
          <w:shd w:val="clear" w:color="auto" w:fill="FFFFFF"/>
        </w:rPr>
        <w:t xml:space="preserve"> SUJETO OBLIGADO</w:t>
      </w:r>
      <w:r w:rsidRPr="00B65DEF">
        <w:rPr>
          <w:rFonts w:cs="Arial"/>
          <w:szCs w:val="22"/>
          <w:shd w:val="clear" w:color="auto" w:fill="FFFFFF"/>
        </w:rPr>
        <w:t xml:space="preserve"> para su conocimiento.</w:t>
      </w:r>
    </w:p>
    <w:p w14:paraId="506CD8BF" w14:textId="77777777" w:rsidR="00564595" w:rsidRPr="00B65DEF" w:rsidRDefault="00564595" w:rsidP="00B65DEF">
      <w:pPr>
        <w:widowControl w:val="0"/>
        <w:rPr>
          <w:rFonts w:eastAsia="Calibri" w:cs="Tahoma"/>
          <w:bCs/>
          <w:szCs w:val="22"/>
          <w:lang w:eastAsia="en-US"/>
        </w:rPr>
      </w:pPr>
    </w:p>
    <w:p w14:paraId="7AC3F57F" w14:textId="77777777" w:rsidR="00564595" w:rsidRPr="00B65DEF" w:rsidRDefault="00564595" w:rsidP="00B65DEF">
      <w:pPr>
        <w:rPr>
          <w:szCs w:val="22"/>
        </w:rPr>
      </w:pPr>
      <w:r w:rsidRPr="00B65DEF">
        <w:rPr>
          <w:b/>
          <w:bCs/>
          <w:szCs w:val="22"/>
        </w:rPr>
        <w:t>TERCERO.</w:t>
      </w:r>
      <w:r w:rsidRPr="00B65DEF">
        <w:rPr>
          <w:szCs w:val="22"/>
        </w:rPr>
        <w:t xml:space="preserve"> </w:t>
      </w:r>
      <w:r w:rsidRPr="00B65DEF">
        <w:rPr>
          <w:b/>
          <w:szCs w:val="22"/>
          <w:lang w:eastAsia="es-ES_tradnl"/>
        </w:rPr>
        <w:t>Notifíquese</w:t>
      </w:r>
      <w:r w:rsidRPr="00B65DEF">
        <w:rPr>
          <w:szCs w:val="22"/>
          <w:lang w:eastAsia="es-ES_tradnl"/>
        </w:rPr>
        <w:t xml:space="preserve"> a </w:t>
      </w:r>
      <w:r w:rsidRPr="00B65DEF">
        <w:rPr>
          <w:b/>
          <w:szCs w:val="22"/>
          <w:lang w:eastAsia="es-ES_tradnl"/>
        </w:rPr>
        <w:t>LA PARTE RECURRENTE</w:t>
      </w:r>
      <w:r w:rsidRPr="00B65DEF">
        <w:rPr>
          <w:szCs w:val="22"/>
          <w:lang w:eastAsia="es-ES_tradnl"/>
        </w:rPr>
        <w:t xml:space="preserve"> la presente resolución </w:t>
      </w:r>
      <w:r w:rsidRPr="00B65DEF">
        <w:rPr>
          <w:szCs w:val="22"/>
          <w:lang w:val="es-ES_tradnl"/>
        </w:rPr>
        <w:t xml:space="preserve">vía </w:t>
      </w:r>
      <w:r w:rsidRPr="00B65DEF">
        <w:rPr>
          <w:szCs w:val="22"/>
        </w:rPr>
        <w:t xml:space="preserve">Sistema de </w:t>
      </w:r>
      <w:r w:rsidRPr="00B65DEF">
        <w:rPr>
          <w:rFonts w:cs="Arial"/>
          <w:szCs w:val="22"/>
        </w:rPr>
        <w:t>Acceso</w:t>
      </w:r>
      <w:r w:rsidRPr="00B65DEF">
        <w:rPr>
          <w:szCs w:val="22"/>
        </w:rPr>
        <w:t xml:space="preserve">, Rectificación, Cancelación y Oposición de Datos Personales en el Estado de México, </w:t>
      </w:r>
      <w:r w:rsidRPr="00B65DEF">
        <w:rPr>
          <w:b/>
          <w:bCs/>
          <w:szCs w:val="22"/>
          <w:lang w:eastAsia="es-ES_tradnl"/>
        </w:rPr>
        <w:t>(SARCOEM</w:t>
      </w:r>
      <w:r w:rsidRPr="00B65DEF">
        <w:rPr>
          <w:rFonts w:cs="Arial"/>
          <w:b/>
          <w:szCs w:val="22"/>
          <w:lang w:val="es-ES_tradnl"/>
        </w:rPr>
        <w:t>).</w:t>
      </w:r>
    </w:p>
    <w:p w14:paraId="4AADFF60" w14:textId="77777777" w:rsidR="00564595" w:rsidRPr="00B65DEF" w:rsidRDefault="00564595" w:rsidP="00B65DEF">
      <w:pPr>
        <w:rPr>
          <w:szCs w:val="22"/>
        </w:rPr>
      </w:pPr>
    </w:p>
    <w:p w14:paraId="102AD1A1" w14:textId="77777777" w:rsidR="00564595" w:rsidRPr="00B65DEF" w:rsidRDefault="00564595" w:rsidP="00B65DEF">
      <w:pPr>
        <w:rPr>
          <w:szCs w:val="22"/>
        </w:rPr>
      </w:pPr>
      <w:r w:rsidRPr="00B65DEF">
        <w:rPr>
          <w:b/>
          <w:bCs/>
          <w:szCs w:val="22"/>
        </w:rPr>
        <w:t>CUARTO.</w:t>
      </w:r>
      <w:r w:rsidRPr="00B65DEF">
        <w:rPr>
          <w:szCs w:val="22"/>
        </w:rPr>
        <w:t xml:space="preserve"> </w:t>
      </w:r>
      <w:r w:rsidRPr="00B65DEF">
        <w:rPr>
          <w:rFonts w:eastAsiaTheme="minorEastAsia"/>
          <w:b/>
          <w:szCs w:val="22"/>
          <w:lang w:eastAsia="es-ES_tradnl"/>
        </w:rPr>
        <w:t>Hágase del conocimiento</w:t>
      </w:r>
      <w:r w:rsidRPr="00B65DEF">
        <w:rPr>
          <w:rFonts w:eastAsiaTheme="minorEastAsia"/>
          <w:szCs w:val="22"/>
          <w:lang w:eastAsia="es-ES_tradnl"/>
        </w:rPr>
        <w:t xml:space="preserve"> de </w:t>
      </w:r>
      <w:r w:rsidRPr="00B65DEF">
        <w:rPr>
          <w:b/>
          <w:szCs w:val="22"/>
          <w:lang w:eastAsia="es-ES_tradnl"/>
        </w:rPr>
        <w:t>LA PARTE RECURRENTE</w:t>
      </w:r>
      <w:r w:rsidRPr="00B65DEF">
        <w:rPr>
          <w:szCs w:val="22"/>
          <w:lang w:eastAsia="es-ES_tradnl"/>
        </w:rPr>
        <w:t xml:space="preserve"> </w:t>
      </w:r>
      <w:r w:rsidRPr="00B65DEF">
        <w:rPr>
          <w:rFonts w:eastAsiaTheme="minorEastAsia"/>
          <w:szCs w:val="22"/>
          <w:lang w:eastAsia="es-ES_tradnl"/>
        </w:rPr>
        <w:t xml:space="preserve">que de conformidad con lo establecido en el artículo </w:t>
      </w:r>
      <w:r w:rsidRPr="00B65DEF">
        <w:rPr>
          <w:szCs w:val="22"/>
          <w:lang w:eastAsia="es-ES_tradnl"/>
        </w:rPr>
        <w:t>142 de la Ley de Protección de Datos Personales en Posesión de Sujetos Obligados del Estado de México y Municipios, podrá impugnarla vía Juicio de Amparo en los términos de las leyes aplicables.</w:t>
      </w:r>
    </w:p>
    <w:p w14:paraId="55594B89" w14:textId="77777777" w:rsidR="00524463" w:rsidRPr="00B65DEF" w:rsidRDefault="00524463" w:rsidP="00B65DEF">
      <w:pPr>
        <w:ind w:right="113"/>
        <w:rPr>
          <w:rFonts w:cs="Arial"/>
          <w:b/>
          <w:szCs w:val="22"/>
        </w:rPr>
      </w:pPr>
    </w:p>
    <w:p w14:paraId="7D9970B6" w14:textId="00217C9E" w:rsidR="00C75DAE" w:rsidRPr="00B65DEF" w:rsidRDefault="00C75DAE" w:rsidP="00B65DEF">
      <w:pPr>
        <w:rPr>
          <w:rFonts w:eastAsia="Palatino Linotype" w:cs="Palatino Linotype"/>
          <w:szCs w:val="22"/>
        </w:rPr>
      </w:pPr>
      <w:r w:rsidRPr="00B65DEF">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A10C5" w:rsidRPr="00B65DEF">
        <w:rPr>
          <w:rFonts w:eastAsia="Palatino Linotype" w:cs="Palatino Linotype"/>
          <w:szCs w:val="22"/>
        </w:rPr>
        <w:t>TRIGÉSIMA</w:t>
      </w:r>
      <w:r w:rsidRPr="00B65DEF">
        <w:rPr>
          <w:rFonts w:eastAsia="Palatino Linotype" w:cs="Palatino Linotype"/>
          <w:szCs w:val="22"/>
        </w:rPr>
        <w:t xml:space="preserve"> SESIÓN ORDINARIA, CELEBRADA EL </w:t>
      </w:r>
      <w:r w:rsidR="005A10C5" w:rsidRPr="00B65DEF">
        <w:rPr>
          <w:rFonts w:eastAsia="Palatino Linotype" w:cs="Palatino Linotype"/>
          <w:szCs w:val="22"/>
        </w:rPr>
        <w:t>VEINTISIETE</w:t>
      </w:r>
      <w:r w:rsidR="008E2B84" w:rsidRPr="00B65DEF">
        <w:rPr>
          <w:rFonts w:eastAsia="Palatino Linotype" w:cs="Palatino Linotype"/>
          <w:szCs w:val="22"/>
        </w:rPr>
        <w:t xml:space="preserve"> DE AGOSTO</w:t>
      </w:r>
      <w:r w:rsidR="00E93C0F" w:rsidRPr="00B65DEF">
        <w:rPr>
          <w:rFonts w:eastAsia="Palatino Linotype" w:cs="Palatino Linotype"/>
          <w:szCs w:val="22"/>
        </w:rPr>
        <w:t xml:space="preserve"> </w:t>
      </w:r>
      <w:r w:rsidRPr="00B65DEF">
        <w:rPr>
          <w:rFonts w:eastAsia="Palatino Linotype" w:cs="Palatino Linotype"/>
          <w:szCs w:val="22"/>
        </w:rPr>
        <w:t xml:space="preserve">DE DOS MIL </w:t>
      </w:r>
      <w:r w:rsidR="00E93C0F" w:rsidRPr="00B65DEF">
        <w:rPr>
          <w:rFonts w:eastAsia="Palatino Linotype" w:cs="Palatino Linotype"/>
          <w:szCs w:val="22"/>
        </w:rPr>
        <w:t xml:space="preserve">VEINTICINCO </w:t>
      </w:r>
      <w:r w:rsidRPr="00B65DEF">
        <w:rPr>
          <w:rFonts w:eastAsia="Palatino Linotype" w:cs="Palatino Linotype"/>
          <w:szCs w:val="22"/>
        </w:rPr>
        <w:t>ANTE EL SECRETARIO TÉCNICO DEL PLENO, ALEXIS TAPIA RAMÍREZ.</w:t>
      </w:r>
    </w:p>
    <w:p w14:paraId="49D72DA3" w14:textId="76032DC2" w:rsidR="00664420" w:rsidRPr="00B65DEF" w:rsidRDefault="00C75DAE" w:rsidP="00B65DEF">
      <w:pPr>
        <w:ind w:right="-93"/>
        <w:rPr>
          <w:rFonts w:eastAsia="Calibri" w:cs="Tahoma"/>
          <w:bCs/>
          <w:szCs w:val="22"/>
          <w:lang w:eastAsia="en-US"/>
        </w:rPr>
      </w:pPr>
      <w:r w:rsidRPr="00B65DEF">
        <w:rPr>
          <w:rFonts w:eastAsia="Palatino Linotype" w:cs="Palatino Linotype"/>
          <w:szCs w:val="22"/>
        </w:rPr>
        <w:t>SCMM/AGZ/DEMF/</w:t>
      </w:r>
      <w:r w:rsidR="00E700C2" w:rsidRPr="00B65DEF">
        <w:rPr>
          <w:rFonts w:eastAsia="Palatino Linotype" w:cs="Palatino Linotype"/>
          <w:szCs w:val="22"/>
        </w:rPr>
        <w:t>PAG</w:t>
      </w:r>
    </w:p>
    <w:p w14:paraId="5EFEA0CD" w14:textId="77777777" w:rsidR="00664420" w:rsidRPr="00B65DEF" w:rsidRDefault="00664420" w:rsidP="00B65DEF">
      <w:pPr>
        <w:ind w:right="-93"/>
        <w:rPr>
          <w:rFonts w:eastAsia="Calibri" w:cs="Tahoma"/>
          <w:szCs w:val="22"/>
          <w:lang w:val="es-ES"/>
        </w:rPr>
      </w:pPr>
    </w:p>
    <w:p w14:paraId="696BC976" w14:textId="77777777" w:rsidR="00664420" w:rsidRPr="00B65DEF" w:rsidRDefault="00664420" w:rsidP="00B65DEF">
      <w:pPr>
        <w:ind w:right="-93"/>
        <w:rPr>
          <w:rFonts w:eastAsia="Calibri" w:cs="Tahoma"/>
          <w:bCs/>
          <w:szCs w:val="22"/>
          <w:lang w:val="es-ES" w:eastAsia="en-US"/>
        </w:rPr>
      </w:pPr>
    </w:p>
    <w:p w14:paraId="671CB0C5" w14:textId="77777777" w:rsidR="00664420" w:rsidRPr="00B65DEF" w:rsidRDefault="00664420" w:rsidP="00B65DEF">
      <w:pPr>
        <w:ind w:right="-93"/>
        <w:rPr>
          <w:rFonts w:eastAsia="Calibri" w:cs="Tahoma"/>
          <w:bCs/>
          <w:szCs w:val="22"/>
          <w:lang w:val="es-ES_tradnl" w:eastAsia="en-US"/>
        </w:rPr>
      </w:pPr>
    </w:p>
    <w:p w14:paraId="52B66DE7" w14:textId="77777777" w:rsidR="00664420" w:rsidRPr="00B65DEF" w:rsidRDefault="00664420" w:rsidP="00B65DEF">
      <w:pPr>
        <w:ind w:right="-93"/>
        <w:rPr>
          <w:rFonts w:eastAsia="Calibri" w:cs="Tahoma"/>
          <w:bCs/>
          <w:szCs w:val="22"/>
          <w:lang w:val="es-ES_tradnl" w:eastAsia="en-US"/>
        </w:rPr>
      </w:pPr>
    </w:p>
    <w:p w14:paraId="3BA305D1" w14:textId="77777777" w:rsidR="00664420" w:rsidRPr="00B65DEF" w:rsidRDefault="00664420" w:rsidP="00B65DEF">
      <w:pPr>
        <w:ind w:right="-93"/>
        <w:rPr>
          <w:rFonts w:eastAsia="Calibri" w:cs="Tahoma"/>
          <w:bCs/>
          <w:szCs w:val="22"/>
          <w:lang w:val="es-ES_tradnl" w:eastAsia="en-US"/>
        </w:rPr>
      </w:pPr>
    </w:p>
    <w:p w14:paraId="78230707" w14:textId="77777777" w:rsidR="00664420" w:rsidRPr="00B65DEF" w:rsidRDefault="00664420" w:rsidP="00B65DEF">
      <w:pPr>
        <w:ind w:right="-93"/>
        <w:rPr>
          <w:rFonts w:eastAsia="Calibri" w:cs="Tahoma"/>
          <w:bCs/>
          <w:szCs w:val="22"/>
          <w:lang w:val="es-ES_tradnl" w:eastAsia="en-US"/>
        </w:rPr>
      </w:pPr>
    </w:p>
    <w:p w14:paraId="72D18B28" w14:textId="77777777" w:rsidR="00664420" w:rsidRPr="00B65DEF" w:rsidRDefault="00664420" w:rsidP="00B65DEF">
      <w:pPr>
        <w:ind w:right="-93"/>
        <w:rPr>
          <w:rFonts w:eastAsia="Calibri" w:cs="Tahoma"/>
          <w:bCs/>
          <w:szCs w:val="22"/>
          <w:lang w:val="es-ES_tradnl" w:eastAsia="en-US"/>
        </w:rPr>
      </w:pPr>
    </w:p>
    <w:p w14:paraId="6BD461DC" w14:textId="77777777" w:rsidR="00664420" w:rsidRPr="00B65DEF" w:rsidRDefault="00664420" w:rsidP="00B65DEF">
      <w:pPr>
        <w:tabs>
          <w:tab w:val="center" w:pos="4568"/>
        </w:tabs>
        <w:ind w:right="-93"/>
        <w:rPr>
          <w:rFonts w:eastAsia="Calibri" w:cs="Tahoma"/>
          <w:bCs/>
          <w:szCs w:val="22"/>
          <w:lang w:eastAsia="en-US"/>
        </w:rPr>
      </w:pPr>
    </w:p>
    <w:p w14:paraId="4DBB1727" w14:textId="77777777" w:rsidR="00664420" w:rsidRPr="00B65DEF" w:rsidRDefault="00664420" w:rsidP="00B65DEF">
      <w:pPr>
        <w:tabs>
          <w:tab w:val="center" w:pos="4568"/>
        </w:tabs>
        <w:ind w:right="-93"/>
        <w:rPr>
          <w:rFonts w:eastAsia="Calibri" w:cs="Tahoma"/>
          <w:bCs/>
          <w:szCs w:val="22"/>
          <w:lang w:eastAsia="en-US"/>
        </w:rPr>
      </w:pPr>
    </w:p>
    <w:p w14:paraId="1D74121B" w14:textId="77777777" w:rsidR="00664420" w:rsidRPr="00B65DEF" w:rsidRDefault="00664420" w:rsidP="00B65DEF">
      <w:pPr>
        <w:tabs>
          <w:tab w:val="center" w:pos="4568"/>
        </w:tabs>
        <w:ind w:right="-93"/>
        <w:rPr>
          <w:rFonts w:eastAsia="Calibri" w:cs="Tahoma"/>
          <w:bCs/>
          <w:szCs w:val="22"/>
          <w:lang w:eastAsia="en-US"/>
        </w:rPr>
      </w:pPr>
    </w:p>
    <w:p w14:paraId="08E74E9C" w14:textId="77777777" w:rsidR="00664420" w:rsidRPr="00B65DEF" w:rsidRDefault="00664420" w:rsidP="00B65DEF">
      <w:pPr>
        <w:tabs>
          <w:tab w:val="center" w:pos="4568"/>
        </w:tabs>
        <w:ind w:right="-93"/>
        <w:rPr>
          <w:rFonts w:eastAsia="Calibri" w:cs="Tahoma"/>
          <w:bCs/>
          <w:szCs w:val="22"/>
          <w:lang w:eastAsia="en-US"/>
        </w:rPr>
      </w:pPr>
    </w:p>
    <w:p w14:paraId="2CBF5E03" w14:textId="77777777" w:rsidR="00664420" w:rsidRPr="00B65DEF" w:rsidRDefault="00664420" w:rsidP="00B65DEF">
      <w:pPr>
        <w:tabs>
          <w:tab w:val="center" w:pos="4568"/>
        </w:tabs>
        <w:ind w:right="-93"/>
        <w:rPr>
          <w:rFonts w:eastAsia="Calibri" w:cs="Tahoma"/>
          <w:bCs/>
          <w:szCs w:val="22"/>
          <w:lang w:eastAsia="en-US"/>
        </w:rPr>
      </w:pPr>
    </w:p>
    <w:p w14:paraId="44865A6D" w14:textId="77777777" w:rsidR="00664420" w:rsidRPr="00B65DEF" w:rsidRDefault="00664420" w:rsidP="00B65DEF">
      <w:pPr>
        <w:tabs>
          <w:tab w:val="center" w:pos="4568"/>
        </w:tabs>
        <w:ind w:right="-93"/>
        <w:rPr>
          <w:rFonts w:eastAsia="Calibri" w:cs="Tahoma"/>
          <w:bCs/>
          <w:szCs w:val="22"/>
          <w:lang w:eastAsia="en-US"/>
        </w:rPr>
      </w:pPr>
    </w:p>
    <w:p w14:paraId="7147F06B" w14:textId="77777777" w:rsidR="00664420" w:rsidRPr="00B65DEF" w:rsidRDefault="00664420" w:rsidP="00B65DEF">
      <w:pPr>
        <w:tabs>
          <w:tab w:val="center" w:pos="4568"/>
        </w:tabs>
        <w:ind w:right="-93"/>
        <w:rPr>
          <w:rFonts w:eastAsia="Calibri" w:cs="Tahoma"/>
          <w:bCs/>
          <w:szCs w:val="22"/>
          <w:lang w:eastAsia="en-US"/>
        </w:rPr>
      </w:pPr>
    </w:p>
    <w:p w14:paraId="6FDF3D7E" w14:textId="77777777" w:rsidR="00664420" w:rsidRPr="00B65DEF" w:rsidRDefault="00664420" w:rsidP="00B65DEF">
      <w:pPr>
        <w:tabs>
          <w:tab w:val="center" w:pos="4568"/>
        </w:tabs>
        <w:ind w:right="-93"/>
        <w:rPr>
          <w:rFonts w:eastAsia="Calibri" w:cs="Tahoma"/>
          <w:bCs/>
          <w:szCs w:val="22"/>
          <w:lang w:eastAsia="en-US"/>
        </w:rPr>
      </w:pPr>
    </w:p>
    <w:p w14:paraId="6246F818" w14:textId="77777777" w:rsidR="00664420" w:rsidRPr="00B65DEF" w:rsidRDefault="00664420" w:rsidP="00B65DEF">
      <w:pPr>
        <w:tabs>
          <w:tab w:val="center" w:pos="4568"/>
        </w:tabs>
        <w:ind w:right="-93"/>
        <w:rPr>
          <w:rFonts w:eastAsia="Calibri" w:cs="Tahoma"/>
          <w:bCs/>
          <w:szCs w:val="22"/>
          <w:lang w:eastAsia="en-US"/>
        </w:rPr>
      </w:pPr>
    </w:p>
    <w:p w14:paraId="57A88B28" w14:textId="77777777" w:rsidR="00664420" w:rsidRPr="00B65DEF" w:rsidRDefault="00664420" w:rsidP="00B65DEF">
      <w:pPr>
        <w:tabs>
          <w:tab w:val="center" w:pos="4568"/>
        </w:tabs>
        <w:ind w:right="-93"/>
        <w:rPr>
          <w:rFonts w:eastAsia="Calibri" w:cs="Tahoma"/>
          <w:bCs/>
          <w:szCs w:val="22"/>
          <w:lang w:eastAsia="en-US"/>
        </w:rPr>
      </w:pPr>
    </w:p>
    <w:p w14:paraId="77EF6095" w14:textId="77777777" w:rsidR="00664420" w:rsidRPr="00B65DEF" w:rsidRDefault="00664420" w:rsidP="00B65DEF">
      <w:pPr>
        <w:tabs>
          <w:tab w:val="center" w:pos="4568"/>
        </w:tabs>
        <w:ind w:right="-93"/>
        <w:rPr>
          <w:rFonts w:eastAsia="Calibri" w:cs="Tahoma"/>
          <w:bCs/>
          <w:szCs w:val="22"/>
          <w:lang w:eastAsia="en-US"/>
        </w:rPr>
      </w:pPr>
    </w:p>
    <w:p w14:paraId="35593947" w14:textId="77777777" w:rsidR="00664420" w:rsidRPr="00B65DEF" w:rsidRDefault="00664420" w:rsidP="00B65DEF">
      <w:pPr>
        <w:tabs>
          <w:tab w:val="center" w:pos="4568"/>
        </w:tabs>
        <w:ind w:right="-93"/>
        <w:rPr>
          <w:rFonts w:eastAsia="Calibri" w:cs="Tahoma"/>
          <w:bCs/>
          <w:szCs w:val="22"/>
          <w:lang w:eastAsia="en-US"/>
        </w:rPr>
      </w:pPr>
    </w:p>
    <w:p w14:paraId="3AF72A17" w14:textId="77777777" w:rsidR="00664420" w:rsidRPr="00B65DEF" w:rsidRDefault="00664420" w:rsidP="00B65DEF">
      <w:pPr>
        <w:tabs>
          <w:tab w:val="center" w:pos="4568"/>
        </w:tabs>
        <w:ind w:right="-93"/>
        <w:rPr>
          <w:rFonts w:eastAsia="Calibri" w:cs="Tahoma"/>
          <w:bCs/>
          <w:szCs w:val="22"/>
          <w:lang w:eastAsia="en-US"/>
        </w:rPr>
      </w:pPr>
    </w:p>
    <w:p w14:paraId="37169144" w14:textId="77777777" w:rsidR="00664420" w:rsidRPr="00B65DEF" w:rsidRDefault="00664420" w:rsidP="00B65DEF">
      <w:pPr>
        <w:tabs>
          <w:tab w:val="center" w:pos="4568"/>
        </w:tabs>
        <w:ind w:right="-93"/>
        <w:rPr>
          <w:rFonts w:eastAsia="Calibri" w:cs="Tahoma"/>
          <w:bCs/>
          <w:szCs w:val="22"/>
          <w:lang w:eastAsia="en-US"/>
        </w:rPr>
      </w:pPr>
    </w:p>
    <w:p w14:paraId="77CFC088" w14:textId="77777777" w:rsidR="00664420" w:rsidRPr="00B65DEF" w:rsidRDefault="00664420" w:rsidP="00B65DEF">
      <w:pPr>
        <w:tabs>
          <w:tab w:val="center" w:pos="4568"/>
        </w:tabs>
        <w:ind w:right="-93"/>
        <w:rPr>
          <w:rFonts w:eastAsia="Calibri" w:cs="Tahoma"/>
          <w:bCs/>
          <w:szCs w:val="22"/>
          <w:lang w:eastAsia="en-US"/>
        </w:rPr>
      </w:pPr>
    </w:p>
    <w:p w14:paraId="781A11A5" w14:textId="77777777" w:rsidR="00664420" w:rsidRPr="00B65DEF" w:rsidRDefault="00664420" w:rsidP="00B65DEF">
      <w:pPr>
        <w:tabs>
          <w:tab w:val="center" w:pos="4568"/>
        </w:tabs>
        <w:ind w:right="-93"/>
        <w:rPr>
          <w:rFonts w:eastAsia="Calibri" w:cs="Tahoma"/>
          <w:bCs/>
          <w:szCs w:val="22"/>
          <w:lang w:eastAsia="en-US"/>
        </w:rPr>
      </w:pPr>
    </w:p>
    <w:p w14:paraId="5B4ADFF3" w14:textId="77777777" w:rsidR="00A131AC" w:rsidRPr="00B65DEF" w:rsidRDefault="00A131AC" w:rsidP="00B65DEF">
      <w:pPr>
        <w:rPr>
          <w:szCs w:val="22"/>
        </w:rPr>
      </w:pPr>
    </w:p>
    <w:sectPr w:rsidR="00A131AC" w:rsidRPr="00B65DEF"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31FE1" w14:textId="77777777" w:rsidR="008142BE" w:rsidRDefault="008142BE" w:rsidP="00664420">
      <w:pPr>
        <w:spacing w:line="240" w:lineRule="auto"/>
      </w:pPr>
      <w:r>
        <w:separator/>
      </w:r>
    </w:p>
  </w:endnote>
  <w:endnote w:type="continuationSeparator" w:id="0">
    <w:p w14:paraId="59DE64BF" w14:textId="77777777" w:rsidR="008142BE" w:rsidRDefault="008142B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156AD" w:rsidRDefault="00F156AD">
    <w:pPr>
      <w:tabs>
        <w:tab w:val="center" w:pos="4550"/>
        <w:tab w:val="left" w:pos="5818"/>
      </w:tabs>
      <w:ind w:right="260"/>
      <w:jc w:val="right"/>
      <w:rPr>
        <w:color w:val="071320" w:themeColor="text2" w:themeShade="80"/>
        <w:sz w:val="24"/>
        <w:szCs w:val="24"/>
      </w:rPr>
    </w:pPr>
  </w:p>
  <w:p w14:paraId="1BCA7F23" w14:textId="77777777" w:rsidR="00F156AD" w:rsidRDefault="00F156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1DF6F22" w:rsidR="00F156AD" w:rsidRDefault="00F156A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A0415" w:rsidRPr="00CA0415">
      <w:rPr>
        <w:noProof/>
        <w:color w:val="0A1D30" w:themeColor="text2" w:themeShade="BF"/>
        <w:sz w:val="24"/>
        <w:szCs w:val="24"/>
        <w:lang w:val="es-ES"/>
      </w:rPr>
      <w:t>28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A0415" w:rsidRPr="00CA0415">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F156AD" w:rsidRDefault="00F156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1434B" w14:textId="77777777" w:rsidR="008142BE" w:rsidRDefault="008142BE" w:rsidP="00664420">
      <w:pPr>
        <w:spacing w:line="240" w:lineRule="auto"/>
      </w:pPr>
      <w:r>
        <w:separator/>
      </w:r>
    </w:p>
  </w:footnote>
  <w:footnote w:type="continuationSeparator" w:id="0">
    <w:p w14:paraId="6DD31DF3" w14:textId="77777777" w:rsidR="008142BE" w:rsidRDefault="008142BE"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156AD" w:rsidRPr="00330DA7" w14:paraId="070A4B18" w14:textId="77777777" w:rsidTr="003F35FD">
      <w:trPr>
        <w:trHeight w:val="144"/>
        <w:jc w:val="right"/>
      </w:trPr>
      <w:tc>
        <w:tcPr>
          <w:tcW w:w="2727" w:type="dxa"/>
        </w:tcPr>
        <w:p w14:paraId="62B7493A" w14:textId="77777777" w:rsidR="00F156AD" w:rsidRPr="00330DA7" w:rsidRDefault="00F156AD"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8A36119" w:rsidR="00F156AD" w:rsidRPr="00BB704F" w:rsidRDefault="00F156AD" w:rsidP="00FC15AD">
          <w:pPr>
            <w:tabs>
              <w:tab w:val="right" w:pos="8838"/>
            </w:tabs>
            <w:ind w:right="-105"/>
            <w:rPr>
              <w:rFonts w:eastAsia="Calibri" w:cs="Tahoma"/>
              <w:szCs w:val="22"/>
              <w:lang w:eastAsia="en-US"/>
            </w:rPr>
          </w:pPr>
          <w:r w:rsidRPr="0075088B">
            <w:rPr>
              <w:rFonts w:eastAsia="Calibri" w:cs="Tahoma"/>
              <w:szCs w:val="22"/>
              <w:lang w:eastAsia="en-US"/>
            </w:rPr>
            <w:t>07697/INFOEM/AD/RR/2024</w:t>
          </w:r>
        </w:p>
      </w:tc>
    </w:tr>
    <w:tr w:rsidR="00F156AD" w:rsidRPr="00330DA7" w14:paraId="4521E058" w14:textId="77777777" w:rsidTr="003F35FD">
      <w:trPr>
        <w:trHeight w:val="283"/>
        <w:jc w:val="right"/>
      </w:trPr>
      <w:tc>
        <w:tcPr>
          <w:tcW w:w="2727" w:type="dxa"/>
        </w:tcPr>
        <w:p w14:paraId="0B68C086" w14:textId="77777777" w:rsidR="00F156AD" w:rsidRPr="00330DA7" w:rsidRDefault="00F156AD"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8A49345" w:rsidR="00F156AD" w:rsidRPr="00BB704F" w:rsidRDefault="00F156AD" w:rsidP="00254444">
          <w:pPr>
            <w:tabs>
              <w:tab w:val="left" w:pos="2834"/>
              <w:tab w:val="right" w:pos="8838"/>
            </w:tabs>
            <w:spacing w:line="240" w:lineRule="auto"/>
            <w:ind w:left="-108" w:right="-108"/>
            <w:rPr>
              <w:rFonts w:eastAsia="Calibri" w:cs="Tahoma"/>
              <w:szCs w:val="22"/>
              <w:lang w:eastAsia="en-US"/>
            </w:rPr>
          </w:pPr>
          <w:r w:rsidRPr="008D085A">
            <w:rPr>
              <w:rFonts w:eastAsia="Calibri" w:cs="Tahoma"/>
              <w:szCs w:val="22"/>
              <w:lang w:eastAsia="en-US"/>
            </w:rPr>
            <w:t>Ayuntamiento de la Paz</w:t>
          </w:r>
        </w:p>
      </w:tc>
    </w:tr>
    <w:tr w:rsidR="00F156AD" w:rsidRPr="00330DA7" w14:paraId="6331D9B6" w14:textId="77777777" w:rsidTr="003F35FD">
      <w:trPr>
        <w:trHeight w:val="283"/>
        <w:jc w:val="right"/>
      </w:trPr>
      <w:tc>
        <w:tcPr>
          <w:tcW w:w="2727" w:type="dxa"/>
        </w:tcPr>
        <w:p w14:paraId="3FA86BAE" w14:textId="53104C8D" w:rsidR="00F156AD" w:rsidRPr="00330DA7" w:rsidRDefault="00F156AD"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156AD" w:rsidRPr="00EA66FC" w:rsidRDefault="00F156AD"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214EBF06" w:rsidR="00F156AD" w:rsidRPr="00443C6B" w:rsidRDefault="00F156A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32822D24">
          <wp:simplePos x="0" y="0"/>
          <wp:positionH relativeFrom="margin">
            <wp:posOffset>-995045</wp:posOffset>
          </wp:positionH>
          <wp:positionV relativeFrom="margin">
            <wp:posOffset>-1782445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156AD" w:rsidRPr="00330DA7" w14:paraId="29CFF901" w14:textId="77777777" w:rsidTr="008D085A">
      <w:trPr>
        <w:trHeight w:val="1435"/>
      </w:trPr>
      <w:tc>
        <w:tcPr>
          <w:tcW w:w="283" w:type="dxa"/>
        </w:tcPr>
        <w:p w14:paraId="046B9F8F" w14:textId="67E1D1C6" w:rsidR="00F156AD" w:rsidRPr="00330DA7" w:rsidRDefault="00F156AD" w:rsidP="00BB704F">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156AD" w:rsidRPr="00330DA7" w14:paraId="04F272D2" w14:textId="77777777" w:rsidTr="008D085A">
            <w:trPr>
              <w:trHeight w:val="274"/>
            </w:trPr>
            <w:tc>
              <w:tcPr>
                <w:tcW w:w="2727" w:type="dxa"/>
              </w:tcPr>
              <w:p w14:paraId="2FD4DBF6" w14:textId="77777777" w:rsidR="00F156AD" w:rsidRPr="00330DA7" w:rsidRDefault="00F156AD" w:rsidP="008D085A">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BD4A36E" w:rsidR="00F156AD" w:rsidRPr="00A90C72" w:rsidRDefault="00F156AD" w:rsidP="008D085A">
                <w:pPr>
                  <w:tabs>
                    <w:tab w:val="right" w:pos="8838"/>
                  </w:tabs>
                  <w:spacing w:line="240" w:lineRule="auto"/>
                  <w:ind w:left="-74" w:right="-105"/>
                  <w:rPr>
                    <w:rFonts w:eastAsia="Calibri" w:cs="Tahoma"/>
                    <w:szCs w:val="22"/>
                    <w:lang w:eastAsia="en-US"/>
                  </w:rPr>
                </w:pPr>
                <w:r w:rsidRPr="0075088B">
                  <w:rPr>
                    <w:rFonts w:eastAsia="Calibri" w:cs="Tahoma"/>
                    <w:szCs w:val="22"/>
                    <w:lang w:eastAsia="en-US"/>
                  </w:rPr>
                  <w:t>07697/INFOEM/AD/RR/2024</w:t>
                </w:r>
              </w:p>
            </w:tc>
            <w:tc>
              <w:tcPr>
                <w:tcW w:w="3402" w:type="dxa"/>
              </w:tcPr>
              <w:p w14:paraId="71DEA1CF" w14:textId="77777777" w:rsidR="00F156AD" w:rsidRDefault="00F156AD" w:rsidP="008D085A">
                <w:pPr>
                  <w:tabs>
                    <w:tab w:val="right" w:pos="8838"/>
                  </w:tabs>
                  <w:ind w:left="-74" w:right="-105"/>
                  <w:rPr>
                    <w:rFonts w:eastAsia="Calibri" w:cs="Tahoma"/>
                    <w:szCs w:val="22"/>
                    <w:lang w:eastAsia="en-US"/>
                  </w:rPr>
                </w:pPr>
              </w:p>
            </w:tc>
          </w:tr>
          <w:tr w:rsidR="00F156AD" w:rsidRPr="00330DA7" w14:paraId="05C58951" w14:textId="77777777" w:rsidTr="00D73113">
            <w:trPr>
              <w:trHeight w:val="681"/>
            </w:trPr>
            <w:tc>
              <w:tcPr>
                <w:tcW w:w="2727" w:type="dxa"/>
              </w:tcPr>
              <w:p w14:paraId="642B9610" w14:textId="77777777" w:rsidR="00F156AD" w:rsidRPr="00330DA7" w:rsidRDefault="00F156AD" w:rsidP="008D085A">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212E7F9" w:rsidR="00F156AD" w:rsidRPr="005F19B1" w:rsidRDefault="00CA0415" w:rsidP="008D085A">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XXXXXXXXX XXXXXX XXXXX</w:t>
                </w:r>
              </w:p>
            </w:tc>
            <w:tc>
              <w:tcPr>
                <w:tcW w:w="3402" w:type="dxa"/>
              </w:tcPr>
              <w:p w14:paraId="73F47F53" w14:textId="4CCE5DFE" w:rsidR="00F156AD" w:rsidRPr="005F19B1" w:rsidRDefault="00F156AD" w:rsidP="008D085A">
                <w:pPr>
                  <w:tabs>
                    <w:tab w:val="left" w:pos="3122"/>
                    <w:tab w:val="right" w:pos="8838"/>
                  </w:tabs>
                  <w:ind w:left="-105" w:right="-105"/>
                  <w:rPr>
                    <w:rFonts w:eastAsia="Calibri" w:cs="Tahoma"/>
                    <w:szCs w:val="22"/>
                    <w:lang w:eastAsia="en-US"/>
                  </w:rPr>
                </w:pPr>
              </w:p>
            </w:tc>
          </w:tr>
          <w:bookmarkEnd w:id="1"/>
          <w:tr w:rsidR="00F156AD" w:rsidRPr="00330DA7" w14:paraId="00E6CDC1" w14:textId="77777777" w:rsidTr="008D085A">
            <w:trPr>
              <w:trHeight w:val="283"/>
            </w:trPr>
            <w:tc>
              <w:tcPr>
                <w:tcW w:w="2727" w:type="dxa"/>
              </w:tcPr>
              <w:p w14:paraId="0631AD24" w14:textId="77777777" w:rsidR="00F156AD" w:rsidRPr="00330DA7" w:rsidRDefault="00F156AD" w:rsidP="008D085A">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26A4216" w:rsidR="00F156AD" w:rsidRPr="00952DD0" w:rsidRDefault="00F156AD" w:rsidP="008D085A">
                <w:pPr>
                  <w:tabs>
                    <w:tab w:val="left" w:pos="2834"/>
                    <w:tab w:val="right" w:pos="8838"/>
                  </w:tabs>
                  <w:spacing w:line="240" w:lineRule="auto"/>
                  <w:ind w:left="-108" w:right="-108"/>
                  <w:rPr>
                    <w:rFonts w:eastAsia="Calibri" w:cs="Tahoma"/>
                    <w:szCs w:val="22"/>
                    <w:lang w:eastAsia="en-US"/>
                  </w:rPr>
                </w:pPr>
                <w:r w:rsidRPr="008D085A">
                  <w:rPr>
                    <w:rFonts w:eastAsia="Calibri" w:cs="Tahoma"/>
                    <w:szCs w:val="22"/>
                    <w:lang w:eastAsia="en-US"/>
                  </w:rPr>
                  <w:t>Ayuntamiento de la Paz</w:t>
                </w:r>
              </w:p>
            </w:tc>
            <w:tc>
              <w:tcPr>
                <w:tcW w:w="3402" w:type="dxa"/>
              </w:tcPr>
              <w:p w14:paraId="3A7DA319" w14:textId="77777777" w:rsidR="00F156AD" w:rsidRPr="00A90C72" w:rsidRDefault="00F156AD" w:rsidP="008D085A">
                <w:pPr>
                  <w:tabs>
                    <w:tab w:val="left" w:pos="2834"/>
                    <w:tab w:val="right" w:pos="8838"/>
                  </w:tabs>
                  <w:ind w:left="-108" w:right="-105"/>
                  <w:rPr>
                    <w:rFonts w:eastAsia="Calibri" w:cs="Tahoma"/>
                    <w:szCs w:val="22"/>
                    <w:lang w:eastAsia="en-US"/>
                  </w:rPr>
                </w:pPr>
              </w:p>
            </w:tc>
          </w:tr>
          <w:tr w:rsidR="00F156AD" w:rsidRPr="00330DA7" w14:paraId="0F6CD8D2" w14:textId="77777777" w:rsidTr="008D085A">
            <w:trPr>
              <w:trHeight w:val="283"/>
            </w:trPr>
            <w:tc>
              <w:tcPr>
                <w:tcW w:w="2727" w:type="dxa"/>
              </w:tcPr>
              <w:p w14:paraId="31700628" w14:textId="1DE530B2" w:rsidR="00F156AD" w:rsidRPr="00330DA7" w:rsidRDefault="00F156AD" w:rsidP="008D085A">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F156AD" w:rsidRPr="00EA66FC" w:rsidRDefault="00F156AD" w:rsidP="008D085A">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156AD" w:rsidRPr="00330DA7" w:rsidRDefault="00F156AD" w:rsidP="008D085A">
                <w:pPr>
                  <w:tabs>
                    <w:tab w:val="right" w:pos="8838"/>
                  </w:tabs>
                  <w:ind w:left="-108" w:right="-105"/>
                  <w:rPr>
                    <w:rFonts w:eastAsia="Calibri" w:cs="Tahoma"/>
                    <w:szCs w:val="22"/>
                    <w:lang w:eastAsia="en-US"/>
                  </w:rPr>
                </w:pPr>
              </w:p>
            </w:tc>
          </w:tr>
        </w:tbl>
        <w:p w14:paraId="5DC6AC61" w14:textId="77777777" w:rsidR="00F156AD" w:rsidRPr="00330DA7" w:rsidRDefault="00F156AD" w:rsidP="00BB704F">
          <w:pPr>
            <w:tabs>
              <w:tab w:val="right" w:pos="8838"/>
            </w:tabs>
            <w:ind w:left="-28"/>
            <w:rPr>
              <w:rFonts w:ascii="Arial" w:eastAsia="Calibri" w:hAnsi="Arial" w:cs="Arial"/>
              <w:b/>
              <w:szCs w:val="22"/>
              <w:lang w:eastAsia="en-US"/>
            </w:rPr>
          </w:pPr>
        </w:p>
      </w:tc>
    </w:tr>
  </w:tbl>
  <w:p w14:paraId="2A906731" w14:textId="77777777" w:rsidR="00F156AD" w:rsidRPr="00765661" w:rsidRDefault="008142BE" w:rsidP="00BB70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C17"/>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0255B"/>
    <w:multiLevelType w:val="multilevel"/>
    <w:tmpl w:val="C0A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1231D"/>
    <w:multiLevelType w:val="multilevel"/>
    <w:tmpl w:val="7C7045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D70A90"/>
    <w:multiLevelType w:val="multilevel"/>
    <w:tmpl w:val="D4AE9C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3E07F3"/>
    <w:multiLevelType w:val="hybridMultilevel"/>
    <w:tmpl w:val="5F687BCE"/>
    <w:lvl w:ilvl="0" w:tplc="DD78E4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C374A1F"/>
    <w:multiLevelType w:val="hybridMultilevel"/>
    <w:tmpl w:val="82FA2306"/>
    <w:lvl w:ilvl="0" w:tplc="A3B60D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CB707E4"/>
    <w:multiLevelType w:val="hybridMultilevel"/>
    <w:tmpl w:val="50CE5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424631"/>
    <w:multiLevelType w:val="multilevel"/>
    <w:tmpl w:val="F710BC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DE0D63"/>
    <w:multiLevelType w:val="hybridMultilevel"/>
    <w:tmpl w:val="A86EEDC0"/>
    <w:lvl w:ilvl="0" w:tplc="8B443E64">
      <w:start w:val="1"/>
      <w:numFmt w:val="bullet"/>
      <w:lvlText w:val="-"/>
      <w:lvlJc w:val="left"/>
      <w:pPr>
        <w:ind w:left="1080" w:hanging="360"/>
      </w:pPr>
      <w:rPr>
        <w:rFonts w:ascii="Microsoft Himalaya" w:hAnsi="Microsoft Himalay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9EE7E42"/>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890ED2"/>
    <w:multiLevelType w:val="multilevel"/>
    <w:tmpl w:val="941EE9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515596"/>
    <w:multiLevelType w:val="hybridMultilevel"/>
    <w:tmpl w:val="4D32D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8A628B"/>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A949B3"/>
    <w:multiLevelType w:val="hybridMultilevel"/>
    <w:tmpl w:val="160E9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CE87836"/>
    <w:multiLevelType w:val="hybridMultilevel"/>
    <w:tmpl w:val="0FEE8900"/>
    <w:lvl w:ilvl="0" w:tplc="080A0009">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1" w15:restartNumberingAfterBreak="0">
    <w:nsid w:val="307838A2"/>
    <w:multiLevelType w:val="multilevel"/>
    <w:tmpl w:val="A6E8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060D6"/>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1547B2"/>
    <w:multiLevelType w:val="hybridMultilevel"/>
    <w:tmpl w:val="51582C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3CBB1E89"/>
    <w:multiLevelType w:val="multilevel"/>
    <w:tmpl w:val="4FA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4943711"/>
    <w:multiLevelType w:val="multilevel"/>
    <w:tmpl w:val="779C1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061095"/>
    <w:multiLevelType w:val="hybridMultilevel"/>
    <w:tmpl w:val="BFDE6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ADC20A9"/>
    <w:multiLevelType w:val="multilevel"/>
    <w:tmpl w:val="79B48D7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E751DA3"/>
    <w:multiLevelType w:val="hybridMultilevel"/>
    <w:tmpl w:val="F88E1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6070267"/>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8F5FC4"/>
    <w:multiLevelType w:val="hybridMultilevel"/>
    <w:tmpl w:val="6168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733C99"/>
    <w:multiLevelType w:val="hybridMultilevel"/>
    <w:tmpl w:val="58D8C39C"/>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7126A26"/>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2F102C"/>
    <w:multiLevelType w:val="hybridMultilevel"/>
    <w:tmpl w:val="41E69DD6"/>
    <w:lvl w:ilvl="0" w:tplc="080A0001">
      <w:start w:val="1"/>
      <w:numFmt w:val="bullet"/>
      <w:lvlText w:val=""/>
      <w:lvlJc w:val="left"/>
      <w:pPr>
        <w:ind w:left="780" w:hanging="360"/>
      </w:pPr>
      <w:rPr>
        <w:rFonts w:ascii="Symbol" w:hAnsi="Symbol" w:hint="default"/>
      </w:rPr>
    </w:lvl>
    <w:lvl w:ilvl="1" w:tplc="080A0001">
      <w:start w:val="1"/>
      <w:numFmt w:val="bullet"/>
      <w:lvlText w:val=""/>
      <w:lvlJc w:val="left"/>
      <w:pPr>
        <w:ind w:left="1500" w:hanging="360"/>
      </w:pPr>
      <w:rPr>
        <w:rFonts w:ascii="Symbol" w:hAnsi="Symbol"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21A1483"/>
    <w:multiLevelType w:val="multilevel"/>
    <w:tmpl w:val="162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2F7944"/>
    <w:multiLevelType w:val="hybridMultilevel"/>
    <w:tmpl w:val="E9748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42"/>
  </w:num>
  <w:num w:numId="4">
    <w:abstractNumId w:val="14"/>
  </w:num>
  <w:num w:numId="5">
    <w:abstractNumId w:val="8"/>
  </w:num>
  <w:num w:numId="6">
    <w:abstractNumId w:val="44"/>
  </w:num>
  <w:num w:numId="7">
    <w:abstractNumId w:val="29"/>
  </w:num>
  <w:num w:numId="8">
    <w:abstractNumId w:val="12"/>
  </w:num>
  <w:num w:numId="9">
    <w:abstractNumId w:val="28"/>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8"/>
  </w:num>
  <w:num w:numId="13">
    <w:abstractNumId w:val="4"/>
  </w:num>
  <w:num w:numId="14">
    <w:abstractNumId w:val="10"/>
  </w:num>
  <w:num w:numId="15">
    <w:abstractNumId w:val="30"/>
  </w:num>
  <w:num w:numId="16">
    <w:abstractNumId w:val="35"/>
  </w:num>
  <w:num w:numId="17">
    <w:abstractNumId w:val="34"/>
  </w:num>
  <w:num w:numId="18">
    <w:abstractNumId w:val="31"/>
  </w:num>
  <w:num w:numId="19">
    <w:abstractNumId w:val="24"/>
  </w:num>
  <w:num w:numId="20">
    <w:abstractNumId w:val="36"/>
  </w:num>
  <w:num w:numId="21">
    <w:abstractNumId w:val="22"/>
  </w:num>
  <w:num w:numId="22">
    <w:abstractNumId w:val="0"/>
  </w:num>
  <w:num w:numId="23">
    <w:abstractNumId w:val="3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6"/>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0"/>
  </w:num>
  <w:num w:numId="30">
    <w:abstractNumId w:val="20"/>
  </w:num>
  <w:num w:numId="31">
    <w:abstractNumId w:val="25"/>
  </w:num>
  <w:num w:numId="32">
    <w:abstractNumId w:val="27"/>
  </w:num>
  <w:num w:numId="33">
    <w:abstractNumId w:val="13"/>
  </w:num>
  <w:num w:numId="34">
    <w:abstractNumId w:val="45"/>
  </w:num>
  <w:num w:numId="35">
    <w:abstractNumId w:val="37"/>
  </w:num>
  <w:num w:numId="36">
    <w:abstractNumId w:val="17"/>
  </w:num>
  <w:num w:numId="37">
    <w:abstractNumId w:val="32"/>
  </w:num>
  <w:num w:numId="38">
    <w:abstractNumId w:val="15"/>
  </w:num>
  <w:num w:numId="39">
    <w:abstractNumId w:val="38"/>
  </w:num>
  <w:num w:numId="40">
    <w:abstractNumId w:val="7"/>
  </w:num>
  <w:num w:numId="41">
    <w:abstractNumId w:val="11"/>
  </w:num>
  <w:num w:numId="42">
    <w:abstractNumId w:val="23"/>
  </w:num>
  <w:num w:numId="43">
    <w:abstractNumId w:val="3"/>
  </w:num>
  <w:num w:numId="44">
    <w:abstractNumId w:val="2"/>
  </w:num>
  <w:num w:numId="45">
    <w:abstractNumId w:val="9"/>
  </w:num>
  <w:num w:numId="46">
    <w:abstractNumId w:val="1"/>
  </w:num>
  <w:num w:numId="47">
    <w:abstractNumId w:val="2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B41"/>
    <w:rsid w:val="0000629A"/>
    <w:rsid w:val="00013575"/>
    <w:rsid w:val="00023B8D"/>
    <w:rsid w:val="00026A16"/>
    <w:rsid w:val="000318BC"/>
    <w:rsid w:val="00032D20"/>
    <w:rsid w:val="00033D8B"/>
    <w:rsid w:val="0003759D"/>
    <w:rsid w:val="00037853"/>
    <w:rsid w:val="00042940"/>
    <w:rsid w:val="00057B2D"/>
    <w:rsid w:val="00063558"/>
    <w:rsid w:val="00063F87"/>
    <w:rsid w:val="0007075E"/>
    <w:rsid w:val="00072EF6"/>
    <w:rsid w:val="00080071"/>
    <w:rsid w:val="00087DA8"/>
    <w:rsid w:val="00092988"/>
    <w:rsid w:val="00093755"/>
    <w:rsid w:val="000A5B97"/>
    <w:rsid w:val="000A70E4"/>
    <w:rsid w:val="000A7623"/>
    <w:rsid w:val="000B608C"/>
    <w:rsid w:val="000C2944"/>
    <w:rsid w:val="000C4ABC"/>
    <w:rsid w:val="000C69AA"/>
    <w:rsid w:val="000C7FB3"/>
    <w:rsid w:val="000D0D67"/>
    <w:rsid w:val="000D2277"/>
    <w:rsid w:val="000E09C4"/>
    <w:rsid w:val="000E43BA"/>
    <w:rsid w:val="000E65A9"/>
    <w:rsid w:val="000F31D0"/>
    <w:rsid w:val="000F32D4"/>
    <w:rsid w:val="000F4146"/>
    <w:rsid w:val="0011350D"/>
    <w:rsid w:val="00114FEE"/>
    <w:rsid w:val="001234E7"/>
    <w:rsid w:val="001353A6"/>
    <w:rsid w:val="00141876"/>
    <w:rsid w:val="0014207B"/>
    <w:rsid w:val="0014304C"/>
    <w:rsid w:val="00150168"/>
    <w:rsid w:val="00150C49"/>
    <w:rsid w:val="0015273F"/>
    <w:rsid w:val="0016110E"/>
    <w:rsid w:val="00165F3F"/>
    <w:rsid w:val="001665AF"/>
    <w:rsid w:val="00181BDD"/>
    <w:rsid w:val="00184953"/>
    <w:rsid w:val="00191AEE"/>
    <w:rsid w:val="00194A90"/>
    <w:rsid w:val="00195C26"/>
    <w:rsid w:val="001A479B"/>
    <w:rsid w:val="001A58B3"/>
    <w:rsid w:val="001B187E"/>
    <w:rsid w:val="001B4A85"/>
    <w:rsid w:val="001B6484"/>
    <w:rsid w:val="001B6666"/>
    <w:rsid w:val="001C7688"/>
    <w:rsid w:val="001C7D6F"/>
    <w:rsid w:val="001C7E33"/>
    <w:rsid w:val="001D5976"/>
    <w:rsid w:val="001D6000"/>
    <w:rsid w:val="001D6157"/>
    <w:rsid w:val="001E29EC"/>
    <w:rsid w:val="001E3B2E"/>
    <w:rsid w:val="001F3515"/>
    <w:rsid w:val="00204591"/>
    <w:rsid w:val="00214A0B"/>
    <w:rsid w:val="002209CD"/>
    <w:rsid w:val="0022343C"/>
    <w:rsid w:val="00223BF3"/>
    <w:rsid w:val="002253F4"/>
    <w:rsid w:val="00233005"/>
    <w:rsid w:val="00233F17"/>
    <w:rsid w:val="00243BA9"/>
    <w:rsid w:val="00244878"/>
    <w:rsid w:val="00254444"/>
    <w:rsid w:val="00261CA8"/>
    <w:rsid w:val="00262EF0"/>
    <w:rsid w:val="002A0170"/>
    <w:rsid w:val="002A3601"/>
    <w:rsid w:val="002A7349"/>
    <w:rsid w:val="002B44BF"/>
    <w:rsid w:val="002B7C6F"/>
    <w:rsid w:val="002C30A0"/>
    <w:rsid w:val="002D111C"/>
    <w:rsid w:val="002D380A"/>
    <w:rsid w:val="00300E66"/>
    <w:rsid w:val="00302476"/>
    <w:rsid w:val="00305A4E"/>
    <w:rsid w:val="00305F07"/>
    <w:rsid w:val="0030686F"/>
    <w:rsid w:val="0030755C"/>
    <w:rsid w:val="00311BEC"/>
    <w:rsid w:val="00314ACA"/>
    <w:rsid w:val="0032056A"/>
    <w:rsid w:val="00325D09"/>
    <w:rsid w:val="00327EE2"/>
    <w:rsid w:val="00331F35"/>
    <w:rsid w:val="00335CDF"/>
    <w:rsid w:val="00337EC4"/>
    <w:rsid w:val="00341DE9"/>
    <w:rsid w:val="00344616"/>
    <w:rsid w:val="003511AC"/>
    <w:rsid w:val="00353AB6"/>
    <w:rsid w:val="0035515C"/>
    <w:rsid w:val="00357919"/>
    <w:rsid w:val="0036064B"/>
    <w:rsid w:val="00362A11"/>
    <w:rsid w:val="00363CD4"/>
    <w:rsid w:val="00383515"/>
    <w:rsid w:val="00386ADB"/>
    <w:rsid w:val="003A40C1"/>
    <w:rsid w:val="003B4FF5"/>
    <w:rsid w:val="003B5D3E"/>
    <w:rsid w:val="003C128C"/>
    <w:rsid w:val="003C68B8"/>
    <w:rsid w:val="003D0A77"/>
    <w:rsid w:val="003D2BD9"/>
    <w:rsid w:val="003D394A"/>
    <w:rsid w:val="003D749F"/>
    <w:rsid w:val="003E0BAD"/>
    <w:rsid w:val="003E1107"/>
    <w:rsid w:val="003E2C2C"/>
    <w:rsid w:val="003F16A3"/>
    <w:rsid w:val="003F35FD"/>
    <w:rsid w:val="003F4054"/>
    <w:rsid w:val="003F4C0A"/>
    <w:rsid w:val="003F671F"/>
    <w:rsid w:val="00403724"/>
    <w:rsid w:val="00405455"/>
    <w:rsid w:val="0040721D"/>
    <w:rsid w:val="0041385B"/>
    <w:rsid w:val="00424A49"/>
    <w:rsid w:val="004258D0"/>
    <w:rsid w:val="004270C7"/>
    <w:rsid w:val="004328A6"/>
    <w:rsid w:val="00432ECF"/>
    <w:rsid w:val="00434A05"/>
    <w:rsid w:val="00434CB3"/>
    <w:rsid w:val="00441BFA"/>
    <w:rsid w:val="00441D82"/>
    <w:rsid w:val="00445547"/>
    <w:rsid w:val="00450C16"/>
    <w:rsid w:val="004524B1"/>
    <w:rsid w:val="004530DC"/>
    <w:rsid w:val="00454FBD"/>
    <w:rsid w:val="00457B55"/>
    <w:rsid w:val="004615A1"/>
    <w:rsid w:val="00466E8E"/>
    <w:rsid w:val="00472360"/>
    <w:rsid w:val="00472BCC"/>
    <w:rsid w:val="00485EA1"/>
    <w:rsid w:val="00487842"/>
    <w:rsid w:val="004A28E6"/>
    <w:rsid w:val="004A6957"/>
    <w:rsid w:val="004B1638"/>
    <w:rsid w:val="004B6714"/>
    <w:rsid w:val="004D2005"/>
    <w:rsid w:val="004D7CD8"/>
    <w:rsid w:val="004E0A05"/>
    <w:rsid w:val="004E5068"/>
    <w:rsid w:val="004F7A00"/>
    <w:rsid w:val="005000D0"/>
    <w:rsid w:val="00503A6A"/>
    <w:rsid w:val="0050473D"/>
    <w:rsid w:val="0050658E"/>
    <w:rsid w:val="00507A5B"/>
    <w:rsid w:val="00522ACC"/>
    <w:rsid w:val="00523F48"/>
    <w:rsid w:val="00524463"/>
    <w:rsid w:val="005365FA"/>
    <w:rsid w:val="00540808"/>
    <w:rsid w:val="005439B4"/>
    <w:rsid w:val="005443E7"/>
    <w:rsid w:val="005474D6"/>
    <w:rsid w:val="005603BC"/>
    <w:rsid w:val="005618EA"/>
    <w:rsid w:val="00564595"/>
    <w:rsid w:val="005706B7"/>
    <w:rsid w:val="005718CF"/>
    <w:rsid w:val="005723CB"/>
    <w:rsid w:val="00575400"/>
    <w:rsid w:val="005764A4"/>
    <w:rsid w:val="00580040"/>
    <w:rsid w:val="005834D5"/>
    <w:rsid w:val="0059224D"/>
    <w:rsid w:val="00594416"/>
    <w:rsid w:val="00595421"/>
    <w:rsid w:val="005A10C5"/>
    <w:rsid w:val="005A2A3F"/>
    <w:rsid w:val="005B18AF"/>
    <w:rsid w:val="005C47F5"/>
    <w:rsid w:val="005D11A1"/>
    <w:rsid w:val="005D11E9"/>
    <w:rsid w:val="005D5A50"/>
    <w:rsid w:val="005F41B7"/>
    <w:rsid w:val="005F5301"/>
    <w:rsid w:val="005F65B7"/>
    <w:rsid w:val="006067C7"/>
    <w:rsid w:val="00610301"/>
    <w:rsid w:val="006141A0"/>
    <w:rsid w:val="006159AD"/>
    <w:rsid w:val="006201A0"/>
    <w:rsid w:val="00646436"/>
    <w:rsid w:val="00657A4A"/>
    <w:rsid w:val="00664420"/>
    <w:rsid w:val="006800AD"/>
    <w:rsid w:val="00694A85"/>
    <w:rsid w:val="00697783"/>
    <w:rsid w:val="006A646A"/>
    <w:rsid w:val="006B044A"/>
    <w:rsid w:val="006B10B0"/>
    <w:rsid w:val="006B56AF"/>
    <w:rsid w:val="006C0A11"/>
    <w:rsid w:val="006C11FA"/>
    <w:rsid w:val="006C5442"/>
    <w:rsid w:val="006C5FCF"/>
    <w:rsid w:val="006D1525"/>
    <w:rsid w:val="006D4D4E"/>
    <w:rsid w:val="006D6958"/>
    <w:rsid w:val="006E25BC"/>
    <w:rsid w:val="006E6BBC"/>
    <w:rsid w:val="006F028F"/>
    <w:rsid w:val="006F15DE"/>
    <w:rsid w:val="006F7768"/>
    <w:rsid w:val="00711BEF"/>
    <w:rsid w:val="00714F1D"/>
    <w:rsid w:val="00717632"/>
    <w:rsid w:val="00717E59"/>
    <w:rsid w:val="00721019"/>
    <w:rsid w:val="00725CED"/>
    <w:rsid w:val="00733237"/>
    <w:rsid w:val="00737518"/>
    <w:rsid w:val="00741EE4"/>
    <w:rsid w:val="0074376E"/>
    <w:rsid w:val="007506D8"/>
    <w:rsid w:val="0075088B"/>
    <w:rsid w:val="007602D9"/>
    <w:rsid w:val="00764677"/>
    <w:rsid w:val="00775BFC"/>
    <w:rsid w:val="00775C78"/>
    <w:rsid w:val="00781239"/>
    <w:rsid w:val="007849EA"/>
    <w:rsid w:val="007A0804"/>
    <w:rsid w:val="007A0CC8"/>
    <w:rsid w:val="007A17F4"/>
    <w:rsid w:val="007A3459"/>
    <w:rsid w:val="007A3A61"/>
    <w:rsid w:val="007B0FE4"/>
    <w:rsid w:val="007B510E"/>
    <w:rsid w:val="007B6074"/>
    <w:rsid w:val="007B7248"/>
    <w:rsid w:val="007C3E64"/>
    <w:rsid w:val="007C68A0"/>
    <w:rsid w:val="007C7350"/>
    <w:rsid w:val="007D1C55"/>
    <w:rsid w:val="007D317F"/>
    <w:rsid w:val="007F58B3"/>
    <w:rsid w:val="007F5918"/>
    <w:rsid w:val="007F5D06"/>
    <w:rsid w:val="0080011A"/>
    <w:rsid w:val="00804433"/>
    <w:rsid w:val="0080509F"/>
    <w:rsid w:val="00805A6E"/>
    <w:rsid w:val="008142BE"/>
    <w:rsid w:val="00821F7A"/>
    <w:rsid w:val="00826E1B"/>
    <w:rsid w:val="00831786"/>
    <w:rsid w:val="00833E34"/>
    <w:rsid w:val="00834769"/>
    <w:rsid w:val="00865CF4"/>
    <w:rsid w:val="00876DBC"/>
    <w:rsid w:val="008879E4"/>
    <w:rsid w:val="008A6003"/>
    <w:rsid w:val="008A6F88"/>
    <w:rsid w:val="008A72D0"/>
    <w:rsid w:val="008B1E16"/>
    <w:rsid w:val="008B2A48"/>
    <w:rsid w:val="008B5B58"/>
    <w:rsid w:val="008C1A3A"/>
    <w:rsid w:val="008D085A"/>
    <w:rsid w:val="008D5EB3"/>
    <w:rsid w:val="008E1316"/>
    <w:rsid w:val="008E23D3"/>
    <w:rsid w:val="008E2B84"/>
    <w:rsid w:val="008E34F3"/>
    <w:rsid w:val="008E401D"/>
    <w:rsid w:val="008F0A99"/>
    <w:rsid w:val="008F29B7"/>
    <w:rsid w:val="008F756B"/>
    <w:rsid w:val="0090166C"/>
    <w:rsid w:val="009051A8"/>
    <w:rsid w:val="009068A5"/>
    <w:rsid w:val="00910FD2"/>
    <w:rsid w:val="00931437"/>
    <w:rsid w:val="009408DF"/>
    <w:rsid w:val="009415BB"/>
    <w:rsid w:val="0094173F"/>
    <w:rsid w:val="009507B0"/>
    <w:rsid w:val="00952BC1"/>
    <w:rsid w:val="00953105"/>
    <w:rsid w:val="00953430"/>
    <w:rsid w:val="00964749"/>
    <w:rsid w:val="00970008"/>
    <w:rsid w:val="00970EB3"/>
    <w:rsid w:val="0098138C"/>
    <w:rsid w:val="00983097"/>
    <w:rsid w:val="00987670"/>
    <w:rsid w:val="009977A5"/>
    <w:rsid w:val="009A0600"/>
    <w:rsid w:val="009A2D78"/>
    <w:rsid w:val="009A37A3"/>
    <w:rsid w:val="009A7C10"/>
    <w:rsid w:val="009B2945"/>
    <w:rsid w:val="009D0344"/>
    <w:rsid w:val="009D20B5"/>
    <w:rsid w:val="009D2903"/>
    <w:rsid w:val="009D65DE"/>
    <w:rsid w:val="009E2DEE"/>
    <w:rsid w:val="009E5612"/>
    <w:rsid w:val="009F797C"/>
    <w:rsid w:val="00A126CB"/>
    <w:rsid w:val="00A131AC"/>
    <w:rsid w:val="00A16D85"/>
    <w:rsid w:val="00A21A20"/>
    <w:rsid w:val="00A332A8"/>
    <w:rsid w:val="00A36A99"/>
    <w:rsid w:val="00A423AE"/>
    <w:rsid w:val="00A53315"/>
    <w:rsid w:val="00A65489"/>
    <w:rsid w:val="00A70EF0"/>
    <w:rsid w:val="00A841C6"/>
    <w:rsid w:val="00A9208D"/>
    <w:rsid w:val="00A96D0E"/>
    <w:rsid w:val="00AA1BE5"/>
    <w:rsid w:val="00AA6EA9"/>
    <w:rsid w:val="00AC2DB8"/>
    <w:rsid w:val="00AC3CA0"/>
    <w:rsid w:val="00AD3AC8"/>
    <w:rsid w:val="00AE3DA7"/>
    <w:rsid w:val="00AE43EC"/>
    <w:rsid w:val="00AE7078"/>
    <w:rsid w:val="00AF03C4"/>
    <w:rsid w:val="00AF28BA"/>
    <w:rsid w:val="00B025B6"/>
    <w:rsid w:val="00B0370D"/>
    <w:rsid w:val="00B119B3"/>
    <w:rsid w:val="00B2242E"/>
    <w:rsid w:val="00B22A80"/>
    <w:rsid w:val="00B2634C"/>
    <w:rsid w:val="00B50B22"/>
    <w:rsid w:val="00B554A5"/>
    <w:rsid w:val="00B632C4"/>
    <w:rsid w:val="00B65DEF"/>
    <w:rsid w:val="00B67B4C"/>
    <w:rsid w:val="00B67EE5"/>
    <w:rsid w:val="00B823D3"/>
    <w:rsid w:val="00B93C76"/>
    <w:rsid w:val="00B949FA"/>
    <w:rsid w:val="00BA216E"/>
    <w:rsid w:val="00BA55A8"/>
    <w:rsid w:val="00BA7814"/>
    <w:rsid w:val="00BB2ABF"/>
    <w:rsid w:val="00BB4372"/>
    <w:rsid w:val="00BB64F4"/>
    <w:rsid w:val="00BB7040"/>
    <w:rsid w:val="00BB704F"/>
    <w:rsid w:val="00BC2782"/>
    <w:rsid w:val="00BD345F"/>
    <w:rsid w:val="00BD3F4F"/>
    <w:rsid w:val="00BD5A7C"/>
    <w:rsid w:val="00BE11BD"/>
    <w:rsid w:val="00BE2D42"/>
    <w:rsid w:val="00BE6EF2"/>
    <w:rsid w:val="00BE7A1B"/>
    <w:rsid w:val="00BE7D9C"/>
    <w:rsid w:val="00BF0221"/>
    <w:rsid w:val="00BF091A"/>
    <w:rsid w:val="00BF0DF3"/>
    <w:rsid w:val="00BF4EAD"/>
    <w:rsid w:val="00BF6A6E"/>
    <w:rsid w:val="00BF752C"/>
    <w:rsid w:val="00C02B5E"/>
    <w:rsid w:val="00C049E2"/>
    <w:rsid w:val="00C06900"/>
    <w:rsid w:val="00C071E2"/>
    <w:rsid w:val="00C213AA"/>
    <w:rsid w:val="00C30F4C"/>
    <w:rsid w:val="00C36095"/>
    <w:rsid w:val="00C36318"/>
    <w:rsid w:val="00C36795"/>
    <w:rsid w:val="00C40140"/>
    <w:rsid w:val="00C44BB4"/>
    <w:rsid w:val="00C461EC"/>
    <w:rsid w:val="00C507D4"/>
    <w:rsid w:val="00C5440E"/>
    <w:rsid w:val="00C61DB2"/>
    <w:rsid w:val="00C64A37"/>
    <w:rsid w:val="00C6563E"/>
    <w:rsid w:val="00C65809"/>
    <w:rsid w:val="00C67358"/>
    <w:rsid w:val="00C67C64"/>
    <w:rsid w:val="00C71CEF"/>
    <w:rsid w:val="00C72DAA"/>
    <w:rsid w:val="00C7596C"/>
    <w:rsid w:val="00C75DAE"/>
    <w:rsid w:val="00C76033"/>
    <w:rsid w:val="00C80B14"/>
    <w:rsid w:val="00CA0415"/>
    <w:rsid w:val="00CA313A"/>
    <w:rsid w:val="00CA3C2B"/>
    <w:rsid w:val="00CA6E86"/>
    <w:rsid w:val="00CB497B"/>
    <w:rsid w:val="00CB7E9A"/>
    <w:rsid w:val="00CC0159"/>
    <w:rsid w:val="00CD0298"/>
    <w:rsid w:val="00CD0B92"/>
    <w:rsid w:val="00CE29D3"/>
    <w:rsid w:val="00CE31E1"/>
    <w:rsid w:val="00CE52A1"/>
    <w:rsid w:val="00CE5E87"/>
    <w:rsid w:val="00CE7574"/>
    <w:rsid w:val="00CF2D8B"/>
    <w:rsid w:val="00CF7586"/>
    <w:rsid w:val="00D036D3"/>
    <w:rsid w:val="00D067FE"/>
    <w:rsid w:val="00D06974"/>
    <w:rsid w:val="00D27437"/>
    <w:rsid w:val="00D2790D"/>
    <w:rsid w:val="00D305B2"/>
    <w:rsid w:val="00D40EB7"/>
    <w:rsid w:val="00D51ECD"/>
    <w:rsid w:val="00D5659C"/>
    <w:rsid w:val="00D572AA"/>
    <w:rsid w:val="00D575FE"/>
    <w:rsid w:val="00D6170E"/>
    <w:rsid w:val="00D73113"/>
    <w:rsid w:val="00D91532"/>
    <w:rsid w:val="00D91CB4"/>
    <w:rsid w:val="00DA33E2"/>
    <w:rsid w:val="00DB0EA3"/>
    <w:rsid w:val="00DB1BC3"/>
    <w:rsid w:val="00DB1C09"/>
    <w:rsid w:val="00DC4901"/>
    <w:rsid w:val="00DD0016"/>
    <w:rsid w:val="00DE1133"/>
    <w:rsid w:val="00DE68B8"/>
    <w:rsid w:val="00DF5C13"/>
    <w:rsid w:val="00E02C37"/>
    <w:rsid w:val="00E03DE2"/>
    <w:rsid w:val="00E07C32"/>
    <w:rsid w:val="00E16BF5"/>
    <w:rsid w:val="00E16D4A"/>
    <w:rsid w:val="00E2033E"/>
    <w:rsid w:val="00E2276B"/>
    <w:rsid w:val="00E2605C"/>
    <w:rsid w:val="00E37A3F"/>
    <w:rsid w:val="00E37D3C"/>
    <w:rsid w:val="00E43891"/>
    <w:rsid w:val="00E43CF0"/>
    <w:rsid w:val="00E538E7"/>
    <w:rsid w:val="00E53918"/>
    <w:rsid w:val="00E547FD"/>
    <w:rsid w:val="00E60C22"/>
    <w:rsid w:val="00E62E6A"/>
    <w:rsid w:val="00E700C2"/>
    <w:rsid w:val="00E7015A"/>
    <w:rsid w:val="00E73136"/>
    <w:rsid w:val="00E7635B"/>
    <w:rsid w:val="00E77D64"/>
    <w:rsid w:val="00E83EF5"/>
    <w:rsid w:val="00E90B51"/>
    <w:rsid w:val="00E9335C"/>
    <w:rsid w:val="00E93C0F"/>
    <w:rsid w:val="00E9727C"/>
    <w:rsid w:val="00EA2C9B"/>
    <w:rsid w:val="00EA5E7E"/>
    <w:rsid w:val="00EA71B5"/>
    <w:rsid w:val="00EB2C2E"/>
    <w:rsid w:val="00EB52E2"/>
    <w:rsid w:val="00EB57E9"/>
    <w:rsid w:val="00EB5DDA"/>
    <w:rsid w:val="00EC73AE"/>
    <w:rsid w:val="00ED18CB"/>
    <w:rsid w:val="00ED1C1E"/>
    <w:rsid w:val="00ED2F01"/>
    <w:rsid w:val="00ED481A"/>
    <w:rsid w:val="00EE2AF2"/>
    <w:rsid w:val="00EE696F"/>
    <w:rsid w:val="00EF486D"/>
    <w:rsid w:val="00F07EE6"/>
    <w:rsid w:val="00F156AD"/>
    <w:rsid w:val="00F202FA"/>
    <w:rsid w:val="00F220C7"/>
    <w:rsid w:val="00F25D5D"/>
    <w:rsid w:val="00F33CC8"/>
    <w:rsid w:val="00F33E79"/>
    <w:rsid w:val="00F342DD"/>
    <w:rsid w:val="00F3715D"/>
    <w:rsid w:val="00F4481C"/>
    <w:rsid w:val="00F45399"/>
    <w:rsid w:val="00F5451C"/>
    <w:rsid w:val="00F55F03"/>
    <w:rsid w:val="00F63FF6"/>
    <w:rsid w:val="00F7583E"/>
    <w:rsid w:val="00F75D23"/>
    <w:rsid w:val="00F76C86"/>
    <w:rsid w:val="00F928A9"/>
    <w:rsid w:val="00F96BF4"/>
    <w:rsid w:val="00F971B1"/>
    <w:rsid w:val="00F977CC"/>
    <w:rsid w:val="00FA1C98"/>
    <w:rsid w:val="00FA4131"/>
    <w:rsid w:val="00FA5957"/>
    <w:rsid w:val="00FB1D9E"/>
    <w:rsid w:val="00FC15AD"/>
    <w:rsid w:val="00FC3CE0"/>
    <w:rsid w:val="00FC468B"/>
    <w:rsid w:val="00FD06A8"/>
    <w:rsid w:val="00FD63CE"/>
    <w:rsid w:val="00FE2BFB"/>
    <w:rsid w:val="00FE404B"/>
    <w:rsid w:val="00FE5B95"/>
    <w:rsid w:val="00FE5E03"/>
    <w:rsid w:val="00FE72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F2"/>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244878"/>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244878"/>
    <w:rPr>
      <w:b/>
      <w:bCs/>
    </w:rPr>
  </w:style>
  <w:style w:type="character" w:customStyle="1" w:styleId="Mencinsinresolver1">
    <w:name w:val="Mención sin resolver1"/>
    <w:basedOn w:val="Fuentedeprrafopredeter"/>
    <w:uiPriority w:val="99"/>
    <w:semiHidden/>
    <w:unhideWhenUsed/>
    <w:rsid w:val="00FE2BFB"/>
    <w:rPr>
      <w:color w:val="605E5C"/>
      <w:shd w:val="clear" w:color="auto" w:fill="E1DFDD"/>
    </w:rPr>
  </w:style>
  <w:style w:type="table" w:styleId="Tablanormal5">
    <w:name w:val="Plain Table 5"/>
    <w:basedOn w:val="Tablanormal"/>
    <w:uiPriority w:val="45"/>
    <w:rsid w:val="008D08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aconvietas3">
    <w:name w:val="List Bullet 3"/>
    <w:basedOn w:val="Normal"/>
    <w:uiPriority w:val="99"/>
    <w:unhideWhenUsed/>
    <w:rsid w:val="00BE2D42"/>
    <w:pPr>
      <w:numPr>
        <w:numId w:val="37"/>
      </w:numPr>
      <w:spacing w:line="240" w:lineRule="auto"/>
      <w:contextualSpacing/>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210385214">
      <w:bodyDiv w:val="1"/>
      <w:marLeft w:val="0"/>
      <w:marRight w:val="0"/>
      <w:marTop w:val="0"/>
      <w:marBottom w:val="0"/>
      <w:divBdr>
        <w:top w:val="none" w:sz="0" w:space="0" w:color="auto"/>
        <w:left w:val="none" w:sz="0" w:space="0" w:color="auto"/>
        <w:bottom w:val="none" w:sz="0" w:space="0" w:color="auto"/>
        <w:right w:val="none" w:sz="0" w:space="0" w:color="auto"/>
      </w:divBdr>
    </w:div>
    <w:div w:id="226261555">
      <w:bodyDiv w:val="1"/>
      <w:marLeft w:val="0"/>
      <w:marRight w:val="0"/>
      <w:marTop w:val="0"/>
      <w:marBottom w:val="0"/>
      <w:divBdr>
        <w:top w:val="none" w:sz="0" w:space="0" w:color="auto"/>
        <w:left w:val="none" w:sz="0" w:space="0" w:color="auto"/>
        <w:bottom w:val="none" w:sz="0" w:space="0" w:color="auto"/>
        <w:right w:val="none" w:sz="0" w:space="0" w:color="auto"/>
      </w:divBdr>
    </w:div>
    <w:div w:id="228660266">
      <w:bodyDiv w:val="1"/>
      <w:marLeft w:val="0"/>
      <w:marRight w:val="0"/>
      <w:marTop w:val="0"/>
      <w:marBottom w:val="0"/>
      <w:divBdr>
        <w:top w:val="none" w:sz="0" w:space="0" w:color="auto"/>
        <w:left w:val="none" w:sz="0" w:space="0" w:color="auto"/>
        <w:bottom w:val="none" w:sz="0" w:space="0" w:color="auto"/>
        <w:right w:val="none" w:sz="0" w:space="0" w:color="auto"/>
      </w:divBdr>
    </w:div>
    <w:div w:id="316033928">
      <w:bodyDiv w:val="1"/>
      <w:marLeft w:val="0"/>
      <w:marRight w:val="0"/>
      <w:marTop w:val="0"/>
      <w:marBottom w:val="0"/>
      <w:divBdr>
        <w:top w:val="none" w:sz="0" w:space="0" w:color="auto"/>
        <w:left w:val="none" w:sz="0" w:space="0" w:color="auto"/>
        <w:bottom w:val="none" w:sz="0" w:space="0" w:color="auto"/>
        <w:right w:val="none" w:sz="0" w:space="0" w:color="auto"/>
      </w:divBdr>
    </w:div>
    <w:div w:id="610867218">
      <w:bodyDiv w:val="1"/>
      <w:marLeft w:val="0"/>
      <w:marRight w:val="0"/>
      <w:marTop w:val="0"/>
      <w:marBottom w:val="0"/>
      <w:divBdr>
        <w:top w:val="none" w:sz="0" w:space="0" w:color="auto"/>
        <w:left w:val="none" w:sz="0" w:space="0" w:color="auto"/>
        <w:bottom w:val="none" w:sz="0" w:space="0" w:color="auto"/>
        <w:right w:val="none" w:sz="0" w:space="0" w:color="auto"/>
      </w:divBdr>
    </w:div>
    <w:div w:id="853615856">
      <w:bodyDiv w:val="1"/>
      <w:marLeft w:val="0"/>
      <w:marRight w:val="0"/>
      <w:marTop w:val="0"/>
      <w:marBottom w:val="0"/>
      <w:divBdr>
        <w:top w:val="none" w:sz="0" w:space="0" w:color="auto"/>
        <w:left w:val="none" w:sz="0" w:space="0" w:color="auto"/>
        <w:bottom w:val="none" w:sz="0" w:space="0" w:color="auto"/>
        <w:right w:val="none" w:sz="0" w:space="0" w:color="auto"/>
      </w:divBdr>
    </w:div>
    <w:div w:id="903174639">
      <w:bodyDiv w:val="1"/>
      <w:marLeft w:val="0"/>
      <w:marRight w:val="0"/>
      <w:marTop w:val="0"/>
      <w:marBottom w:val="0"/>
      <w:divBdr>
        <w:top w:val="none" w:sz="0" w:space="0" w:color="auto"/>
        <w:left w:val="none" w:sz="0" w:space="0" w:color="auto"/>
        <w:bottom w:val="none" w:sz="0" w:space="0" w:color="auto"/>
        <w:right w:val="none" w:sz="0" w:space="0" w:color="auto"/>
      </w:divBdr>
    </w:div>
    <w:div w:id="1000694624">
      <w:bodyDiv w:val="1"/>
      <w:marLeft w:val="0"/>
      <w:marRight w:val="0"/>
      <w:marTop w:val="0"/>
      <w:marBottom w:val="0"/>
      <w:divBdr>
        <w:top w:val="none" w:sz="0" w:space="0" w:color="auto"/>
        <w:left w:val="none" w:sz="0" w:space="0" w:color="auto"/>
        <w:bottom w:val="none" w:sz="0" w:space="0" w:color="auto"/>
        <w:right w:val="none" w:sz="0" w:space="0" w:color="auto"/>
      </w:divBdr>
    </w:div>
    <w:div w:id="1058360395">
      <w:bodyDiv w:val="1"/>
      <w:marLeft w:val="0"/>
      <w:marRight w:val="0"/>
      <w:marTop w:val="0"/>
      <w:marBottom w:val="0"/>
      <w:divBdr>
        <w:top w:val="none" w:sz="0" w:space="0" w:color="auto"/>
        <w:left w:val="none" w:sz="0" w:space="0" w:color="auto"/>
        <w:bottom w:val="none" w:sz="0" w:space="0" w:color="auto"/>
        <w:right w:val="none" w:sz="0" w:space="0" w:color="auto"/>
      </w:divBdr>
    </w:div>
    <w:div w:id="1086539456">
      <w:bodyDiv w:val="1"/>
      <w:marLeft w:val="0"/>
      <w:marRight w:val="0"/>
      <w:marTop w:val="0"/>
      <w:marBottom w:val="0"/>
      <w:divBdr>
        <w:top w:val="none" w:sz="0" w:space="0" w:color="auto"/>
        <w:left w:val="none" w:sz="0" w:space="0" w:color="auto"/>
        <w:bottom w:val="none" w:sz="0" w:space="0" w:color="auto"/>
        <w:right w:val="none" w:sz="0" w:space="0" w:color="auto"/>
      </w:divBdr>
    </w:div>
    <w:div w:id="1132602260">
      <w:bodyDiv w:val="1"/>
      <w:marLeft w:val="0"/>
      <w:marRight w:val="0"/>
      <w:marTop w:val="0"/>
      <w:marBottom w:val="0"/>
      <w:divBdr>
        <w:top w:val="none" w:sz="0" w:space="0" w:color="auto"/>
        <w:left w:val="none" w:sz="0" w:space="0" w:color="auto"/>
        <w:bottom w:val="none" w:sz="0" w:space="0" w:color="auto"/>
        <w:right w:val="none" w:sz="0" w:space="0" w:color="auto"/>
      </w:divBdr>
      <w:divsChild>
        <w:div w:id="1590238183">
          <w:marLeft w:val="0"/>
          <w:marRight w:val="0"/>
          <w:marTop w:val="0"/>
          <w:marBottom w:val="0"/>
          <w:divBdr>
            <w:top w:val="none" w:sz="0" w:space="0" w:color="auto"/>
            <w:left w:val="none" w:sz="0" w:space="0" w:color="auto"/>
            <w:bottom w:val="none" w:sz="0" w:space="0" w:color="auto"/>
            <w:right w:val="none" w:sz="0" w:space="0" w:color="auto"/>
          </w:divBdr>
        </w:div>
      </w:divsChild>
    </w:div>
    <w:div w:id="1136722753">
      <w:bodyDiv w:val="1"/>
      <w:marLeft w:val="0"/>
      <w:marRight w:val="0"/>
      <w:marTop w:val="0"/>
      <w:marBottom w:val="0"/>
      <w:divBdr>
        <w:top w:val="none" w:sz="0" w:space="0" w:color="auto"/>
        <w:left w:val="none" w:sz="0" w:space="0" w:color="auto"/>
        <w:bottom w:val="none" w:sz="0" w:space="0" w:color="auto"/>
        <w:right w:val="none" w:sz="0" w:space="0" w:color="auto"/>
      </w:divBdr>
    </w:div>
    <w:div w:id="1221598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9534">
          <w:marLeft w:val="0"/>
          <w:marRight w:val="0"/>
          <w:marTop w:val="0"/>
          <w:marBottom w:val="0"/>
          <w:divBdr>
            <w:top w:val="none" w:sz="0" w:space="0" w:color="auto"/>
            <w:left w:val="none" w:sz="0" w:space="0" w:color="auto"/>
            <w:bottom w:val="none" w:sz="0" w:space="0" w:color="auto"/>
            <w:right w:val="none" w:sz="0" w:space="0" w:color="auto"/>
          </w:divBdr>
        </w:div>
      </w:divsChild>
    </w:div>
    <w:div w:id="1247687280">
      <w:bodyDiv w:val="1"/>
      <w:marLeft w:val="0"/>
      <w:marRight w:val="0"/>
      <w:marTop w:val="0"/>
      <w:marBottom w:val="0"/>
      <w:divBdr>
        <w:top w:val="none" w:sz="0" w:space="0" w:color="auto"/>
        <w:left w:val="none" w:sz="0" w:space="0" w:color="auto"/>
        <w:bottom w:val="none" w:sz="0" w:space="0" w:color="auto"/>
        <w:right w:val="none" w:sz="0" w:space="0" w:color="auto"/>
      </w:divBdr>
    </w:div>
    <w:div w:id="1317109039">
      <w:bodyDiv w:val="1"/>
      <w:marLeft w:val="0"/>
      <w:marRight w:val="0"/>
      <w:marTop w:val="0"/>
      <w:marBottom w:val="0"/>
      <w:divBdr>
        <w:top w:val="none" w:sz="0" w:space="0" w:color="auto"/>
        <w:left w:val="none" w:sz="0" w:space="0" w:color="auto"/>
        <w:bottom w:val="none" w:sz="0" w:space="0" w:color="auto"/>
        <w:right w:val="none" w:sz="0" w:space="0" w:color="auto"/>
      </w:divBdr>
    </w:div>
    <w:div w:id="1394815848">
      <w:bodyDiv w:val="1"/>
      <w:marLeft w:val="0"/>
      <w:marRight w:val="0"/>
      <w:marTop w:val="0"/>
      <w:marBottom w:val="0"/>
      <w:divBdr>
        <w:top w:val="none" w:sz="0" w:space="0" w:color="auto"/>
        <w:left w:val="none" w:sz="0" w:space="0" w:color="auto"/>
        <w:bottom w:val="none" w:sz="0" w:space="0" w:color="auto"/>
        <w:right w:val="none" w:sz="0" w:space="0" w:color="auto"/>
      </w:divBdr>
    </w:div>
    <w:div w:id="1446536290">
      <w:bodyDiv w:val="1"/>
      <w:marLeft w:val="0"/>
      <w:marRight w:val="0"/>
      <w:marTop w:val="0"/>
      <w:marBottom w:val="0"/>
      <w:divBdr>
        <w:top w:val="none" w:sz="0" w:space="0" w:color="auto"/>
        <w:left w:val="none" w:sz="0" w:space="0" w:color="auto"/>
        <w:bottom w:val="none" w:sz="0" w:space="0" w:color="auto"/>
        <w:right w:val="none" w:sz="0" w:space="0" w:color="auto"/>
      </w:divBdr>
    </w:div>
    <w:div w:id="1504785836">
      <w:bodyDiv w:val="1"/>
      <w:marLeft w:val="0"/>
      <w:marRight w:val="0"/>
      <w:marTop w:val="0"/>
      <w:marBottom w:val="0"/>
      <w:divBdr>
        <w:top w:val="none" w:sz="0" w:space="0" w:color="auto"/>
        <w:left w:val="none" w:sz="0" w:space="0" w:color="auto"/>
        <w:bottom w:val="none" w:sz="0" w:space="0" w:color="auto"/>
        <w:right w:val="none" w:sz="0" w:space="0" w:color="auto"/>
      </w:divBdr>
    </w:div>
    <w:div w:id="1840654612">
      <w:bodyDiv w:val="1"/>
      <w:marLeft w:val="0"/>
      <w:marRight w:val="0"/>
      <w:marTop w:val="0"/>
      <w:marBottom w:val="0"/>
      <w:divBdr>
        <w:top w:val="none" w:sz="0" w:space="0" w:color="auto"/>
        <w:left w:val="none" w:sz="0" w:space="0" w:color="auto"/>
        <w:bottom w:val="none" w:sz="0" w:space="0" w:color="auto"/>
        <w:right w:val="none" w:sz="0" w:space="0" w:color="auto"/>
      </w:divBdr>
    </w:div>
    <w:div w:id="1926955403">
      <w:bodyDiv w:val="1"/>
      <w:marLeft w:val="0"/>
      <w:marRight w:val="0"/>
      <w:marTop w:val="0"/>
      <w:marBottom w:val="0"/>
      <w:divBdr>
        <w:top w:val="none" w:sz="0" w:space="0" w:color="auto"/>
        <w:left w:val="none" w:sz="0" w:space="0" w:color="auto"/>
        <w:bottom w:val="none" w:sz="0" w:space="0" w:color="auto"/>
        <w:right w:val="none" w:sz="0" w:space="0" w:color="auto"/>
      </w:divBdr>
    </w:div>
    <w:div w:id="1954093052">
      <w:bodyDiv w:val="1"/>
      <w:marLeft w:val="0"/>
      <w:marRight w:val="0"/>
      <w:marTop w:val="0"/>
      <w:marBottom w:val="0"/>
      <w:divBdr>
        <w:top w:val="none" w:sz="0" w:space="0" w:color="auto"/>
        <w:left w:val="none" w:sz="0" w:space="0" w:color="auto"/>
        <w:bottom w:val="none" w:sz="0" w:space="0" w:color="auto"/>
        <w:right w:val="none" w:sz="0" w:space="0" w:color="auto"/>
      </w:divBdr>
    </w:div>
    <w:div w:id="1967269860">
      <w:bodyDiv w:val="1"/>
      <w:marLeft w:val="0"/>
      <w:marRight w:val="0"/>
      <w:marTop w:val="0"/>
      <w:marBottom w:val="0"/>
      <w:divBdr>
        <w:top w:val="none" w:sz="0" w:space="0" w:color="auto"/>
        <w:left w:val="none" w:sz="0" w:space="0" w:color="auto"/>
        <w:bottom w:val="none" w:sz="0" w:space="0" w:color="auto"/>
        <w:right w:val="none" w:sz="0" w:space="0" w:color="auto"/>
      </w:divBdr>
    </w:div>
    <w:div w:id="1982928492">
      <w:bodyDiv w:val="1"/>
      <w:marLeft w:val="0"/>
      <w:marRight w:val="0"/>
      <w:marTop w:val="0"/>
      <w:marBottom w:val="0"/>
      <w:divBdr>
        <w:top w:val="none" w:sz="0" w:space="0" w:color="auto"/>
        <w:left w:val="none" w:sz="0" w:space="0" w:color="auto"/>
        <w:bottom w:val="none" w:sz="0" w:space="0" w:color="auto"/>
        <w:right w:val="none" w:sz="0" w:space="0" w:color="auto"/>
      </w:divBdr>
    </w:div>
    <w:div w:id="2036348581">
      <w:bodyDiv w:val="1"/>
      <w:marLeft w:val="0"/>
      <w:marRight w:val="0"/>
      <w:marTop w:val="0"/>
      <w:marBottom w:val="0"/>
      <w:divBdr>
        <w:top w:val="none" w:sz="0" w:space="0" w:color="auto"/>
        <w:left w:val="none" w:sz="0" w:space="0" w:color="auto"/>
        <w:bottom w:val="none" w:sz="0" w:space="0" w:color="auto"/>
        <w:right w:val="none" w:sz="0" w:space="0" w:color="auto"/>
      </w:divBdr>
    </w:div>
    <w:div w:id="2038119617">
      <w:bodyDiv w:val="1"/>
      <w:marLeft w:val="0"/>
      <w:marRight w:val="0"/>
      <w:marTop w:val="0"/>
      <w:marBottom w:val="0"/>
      <w:divBdr>
        <w:top w:val="none" w:sz="0" w:space="0" w:color="auto"/>
        <w:left w:val="none" w:sz="0" w:space="0" w:color="auto"/>
        <w:bottom w:val="none" w:sz="0" w:space="0" w:color="auto"/>
        <w:right w:val="none" w:sz="0" w:space="0" w:color="auto"/>
      </w:divBdr>
    </w:div>
    <w:div w:id="21266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1CC3B-189F-4B41-A2F3-396BECF9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6722</Words>
  <Characters>36977</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2025-08-29T16:39:00Z</cp:lastPrinted>
  <dcterms:created xsi:type="dcterms:W3CDTF">2025-08-21T18:02:00Z</dcterms:created>
  <dcterms:modified xsi:type="dcterms:W3CDTF">2025-11-09T21:39:00Z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