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6467" w14:textId="6D5DB2E6" w:rsidR="00D93AD3" w:rsidRPr="005A189A" w:rsidRDefault="00405A8F" w:rsidP="008342C3">
      <w:pPr>
        <w:spacing w:line="360" w:lineRule="auto"/>
        <w:jc w:val="both"/>
        <w:rPr>
          <w:rFonts w:ascii="Palatino Linotype" w:eastAsia="Palatino Linotype" w:hAnsi="Palatino Linotype" w:cs="Palatino Linotype"/>
        </w:rPr>
      </w:pPr>
      <w:bookmarkStart w:id="0" w:name="_heading=h.gjdgxs" w:colFirst="0" w:colLast="0"/>
      <w:bookmarkEnd w:id="0"/>
      <w:r w:rsidRPr="005A189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EB504A" w:rsidRPr="005A189A">
        <w:rPr>
          <w:rFonts w:ascii="Palatino Linotype" w:eastAsia="Palatino Linotype" w:hAnsi="Palatino Linotype" w:cs="Palatino Linotype"/>
        </w:rPr>
        <w:t>diecinueve</w:t>
      </w:r>
      <w:r w:rsidRPr="005A189A">
        <w:rPr>
          <w:rFonts w:ascii="Palatino Linotype" w:eastAsia="Palatino Linotype" w:hAnsi="Palatino Linotype" w:cs="Palatino Linotype"/>
        </w:rPr>
        <w:t xml:space="preserve"> de </w:t>
      </w:r>
      <w:r w:rsidR="00EB504A" w:rsidRPr="005A189A">
        <w:rPr>
          <w:rFonts w:ascii="Palatino Linotype" w:eastAsia="Palatino Linotype" w:hAnsi="Palatino Linotype" w:cs="Palatino Linotype"/>
        </w:rPr>
        <w:t>febrero</w:t>
      </w:r>
      <w:r w:rsidRPr="005A189A">
        <w:rPr>
          <w:rFonts w:ascii="Palatino Linotype" w:eastAsia="Palatino Linotype" w:hAnsi="Palatino Linotype" w:cs="Palatino Linotype"/>
        </w:rPr>
        <w:t xml:space="preserve"> de dos mil </w:t>
      </w:r>
      <w:r w:rsidR="00344210" w:rsidRPr="005A189A">
        <w:rPr>
          <w:rFonts w:ascii="Palatino Linotype" w:eastAsia="Palatino Linotype" w:hAnsi="Palatino Linotype" w:cs="Palatino Linotype"/>
        </w:rPr>
        <w:t>veinticinco</w:t>
      </w:r>
      <w:r w:rsidRPr="005A189A">
        <w:rPr>
          <w:rFonts w:ascii="Palatino Linotype" w:eastAsia="Palatino Linotype" w:hAnsi="Palatino Linotype" w:cs="Palatino Linotype"/>
        </w:rPr>
        <w:t xml:space="preserve">. </w:t>
      </w:r>
    </w:p>
    <w:p w14:paraId="05DA9192" w14:textId="77777777" w:rsidR="008342C3" w:rsidRPr="005A189A" w:rsidRDefault="008342C3" w:rsidP="008342C3">
      <w:pPr>
        <w:spacing w:line="360" w:lineRule="auto"/>
        <w:jc w:val="both"/>
        <w:rPr>
          <w:rFonts w:ascii="Palatino Linotype" w:eastAsia="Palatino Linotype" w:hAnsi="Palatino Linotype" w:cs="Palatino Linotype"/>
        </w:rPr>
      </w:pPr>
    </w:p>
    <w:p w14:paraId="2D0F52D3" w14:textId="2EF836E2" w:rsidR="00D93AD3" w:rsidRPr="005A189A" w:rsidRDefault="00405A8F" w:rsidP="008342C3">
      <w:pPr>
        <w:spacing w:line="360" w:lineRule="auto"/>
        <w:jc w:val="both"/>
        <w:rPr>
          <w:rFonts w:ascii="Palatino Linotype" w:eastAsia="Palatino Linotype" w:hAnsi="Palatino Linotype" w:cs="Palatino Linotype"/>
        </w:rPr>
      </w:pPr>
      <w:bookmarkStart w:id="1" w:name="_heading=h.1t3h5sf" w:colFirst="0" w:colLast="0"/>
      <w:bookmarkEnd w:id="1"/>
      <w:r w:rsidRPr="005A189A">
        <w:rPr>
          <w:rFonts w:ascii="Palatino Linotype" w:eastAsia="Palatino Linotype" w:hAnsi="Palatino Linotype" w:cs="Palatino Linotype"/>
          <w:b/>
        </w:rPr>
        <w:t>VISTO</w:t>
      </w:r>
      <w:r w:rsidRPr="005A189A">
        <w:rPr>
          <w:rFonts w:ascii="Palatino Linotype" w:eastAsia="Palatino Linotype" w:hAnsi="Palatino Linotype" w:cs="Palatino Linotype"/>
        </w:rPr>
        <w:t xml:space="preserve"> el expediente formado con motivo del </w:t>
      </w:r>
      <w:r w:rsidR="00BE7CEF"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ecurso de </w:t>
      </w:r>
      <w:r w:rsidR="00BE7CEF"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evisión </w:t>
      </w:r>
      <w:r w:rsidR="00EB504A" w:rsidRPr="005A189A">
        <w:rPr>
          <w:rFonts w:ascii="Palatino Linotype" w:eastAsia="Palatino Linotype" w:hAnsi="Palatino Linotype" w:cs="Palatino Linotype"/>
          <w:b/>
        </w:rPr>
        <w:t>00943/INFOEM/AD/RR/2024</w:t>
      </w:r>
      <w:r w:rsidRPr="005A189A">
        <w:rPr>
          <w:rFonts w:ascii="Palatino Linotype" w:eastAsia="Palatino Linotype" w:hAnsi="Palatino Linotype" w:cs="Palatino Linotype"/>
        </w:rPr>
        <w:t xml:space="preserve">, promovido por </w:t>
      </w:r>
      <w:r w:rsidR="000369F3">
        <w:rPr>
          <w:rFonts w:ascii="Palatino Linotype" w:eastAsia="Palatino Linotype" w:hAnsi="Palatino Linotype" w:cs="Palatino Linotype"/>
          <w:b/>
        </w:rPr>
        <w:t xml:space="preserve">XXXXX </w:t>
      </w:r>
      <w:proofErr w:type="spellStart"/>
      <w:r w:rsidR="000369F3">
        <w:rPr>
          <w:rFonts w:ascii="Palatino Linotype" w:eastAsia="Palatino Linotype" w:hAnsi="Palatino Linotype" w:cs="Palatino Linotype"/>
          <w:b/>
        </w:rPr>
        <w:t>XXXXX</w:t>
      </w:r>
      <w:proofErr w:type="spellEnd"/>
      <w:r w:rsidR="000369F3">
        <w:rPr>
          <w:rFonts w:ascii="Palatino Linotype" w:eastAsia="Palatino Linotype" w:hAnsi="Palatino Linotype" w:cs="Palatino Linotype"/>
          <w:b/>
        </w:rPr>
        <w:t xml:space="preserve"> XXXXXX</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 xml:space="preserve">en lo sucesivo </w:t>
      </w:r>
      <w:r w:rsidR="006C7B85" w:rsidRPr="005A189A">
        <w:rPr>
          <w:rFonts w:ascii="Palatino Linotype" w:eastAsia="Palatino Linotype" w:hAnsi="Palatino Linotype" w:cs="Palatino Linotype"/>
        </w:rPr>
        <w:t>el Recurrente</w:t>
      </w:r>
      <w:r w:rsidR="005A589E" w:rsidRPr="005A189A">
        <w:rPr>
          <w:rFonts w:ascii="Palatino Linotype" w:eastAsia="Palatino Linotype" w:hAnsi="Palatino Linotype" w:cs="Palatino Linotype"/>
        </w:rPr>
        <w:t xml:space="preserve"> en contra de la respuesta </w:t>
      </w:r>
      <w:r w:rsidR="00EB504A" w:rsidRPr="005A189A">
        <w:rPr>
          <w:rFonts w:ascii="Palatino Linotype" w:eastAsia="Palatino Linotype" w:hAnsi="Palatino Linotype" w:cs="Palatino Linotype"/>
        </w:rPr>
        <w:t>de la</w:t>
      </w:r>
      <w:r w:rsidRPr="005A189A">
        <w:rPr>
          <w:rFonts w:ascii="Palatino Linotype" w:eastAsia="Palatino Linotype" w:hAnsi="Palatino Linotype" w:cs="Palatino Linotype"/>
          <w:b/>
        </w:rPr>
        <w:t xml:space="preserve"> </w:t>
      </w:r>
      <w:r w:rsidR="00EB504A" w:rsidRPr="005A189A">
        <w:rPr>
          <w:rFonts w:ascii="Palatino Linotype" w:eastAsia="Palatino Linotype" w:hAnsi="Palatino Linotype" w:cs="Palatino Linotype"/>
          <w:b/>
        </w:rPr>
        <w:t>Secretaría de Educación, Ciencia, Tecnología e Innovación</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en lo sucesivo el</w:t>
      </w:r>
      <w:r w:rsidRPr="005A189A">
        <w:rPr>
          <w:rFonts w:ascii="Palatino Linotype" w:eastAsia="Palatino Linotype" w:hAnsi="Palatino Linotype" w:cs="Palatino Linotype"/>
          <w:b/>
        </w:rPr>
        <w:t xml:space="preserve"> Sujeto Obligado</w:t>
      </w:r>
      <w:r w:rsidRPr="005A189A">
        <w:rPr>
          <w:rFonts w:ascii="Palatino Linotype" w:eastAsia="Palatino Linotype" w:hAnsi="Palatino Linotype" w:cs="Palatino Linotype"/>
        </w:rPr>
        <w:t xml:space="preserve">, se procede a dictar la presente </w:t>
      </w:r>
      <w:r w:rsidR="008C4065"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esolución con base en los siguientes: </w:t>
      </w:r>
    </w:p>
    <w:p w14:paraId="3FE938C0" w14:textId="77777777" w:rsidR="008342C3" w:rsidRPr="005A189A" w:rsidRDefault="008342C3" w:rsidP="008342C3">
      <w:pPr>
        <w:spacing w:line="360" w:lineRule="auto"/>
        <w:jc w:val="both"/>
        <w:rPr>
          <w:rFonts w:ascii="Palatino Linotype" w:eastAsia="Palatino Linotype" w:hAnsi="Palatino Linotype" w:cs="Palatino Linotype"/>
        </w:rPr>
      </w:pPr>
    </w:p>
    <w:p w14:paraId="7132FE41" w14:textId="77777777" w:rsidR="00D93AD3" w:rsidRPr="005A189A" w:rsidRDefault="00405A8F" w:rsidP="008342C3">
      <w:pPr>
        <w:spacing w:line="360" w:lineRule="auto"/>
        <w:jc w:val="center"/>
        <w:rPr>
          <w:rFonts w:ascii="Palatino Linotype" w:eastAsia="Palatino Linotype" w:hAnsi="Palatino Linotype" w:cs="Palatino Linotype"/>
          <w:b/>
        </w:rPr>
      </w:pPr>
      <w:r w:rsidRPr="005A189A">
        <w:rPr>
          <w:rFonts w:ascii="Palatino Linotype" w:eastAsia="Palatino Linotype" w:hAnsi="Palatino Linotype" w:cs="Palatino Linotype"/>
          <w:b/>
        </w:rPr>
        <w:t>A N T E C E D E N T E S</w:t>
      </w:r>
    </w:p>
    <w:p w14:paraId="4C510204" w14:textId="77777777" w:rsidR="008342C3" w:rsidRPr="005A189A" w:rsidRDefault="008342C3" w:rsidP="008342C3">
      <w:pPr>
        <w:spacing w:line="360" w:lineRule="auto"/>
        <w:jc w:val="center"/>
        <w:rPr>
          <w:rFonts w:ascii="Palatino Linotype" w:eastAsia="Palatino Linotype" w:hAnsi="Palatino Linotype" w:cs="Palatino Linotype"/>
          <w:b/>
        </w:rPr>
      </w:pPr>
    </w:p>
    <w:p w14:paraId="5AC73DC6"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sidRPr="005A189A">
        <w:rPr>
          <w:rFonts w:ascii="Palatino Linotype" w:eastAsia="Palatino Linotype" w:hAnsi="Palatino Linotype" w:cs="Palatino Linotype"/>
          <w:b/>
        </w:rPr>
        <w:t xml:space="preserve">Solicitud de Acceso a Datos. </w:t>
      </w:r>
      <w:r w:rsidRPr="005A189A">
        <w:rPr>
          <w:rFonts w:ascii="Palatino Linotype" w:eastAsia="Palatino Linotype" w:hAnsi="Palatino Linotype" w:cs="Palatino Linotype"/>
        </w:rPr>
        <w:t xml:space="preserve">En fecha </w:t>
      </w:r>
      <w:r w:rsidR="00EB504A" w:rsidRPr="005A189A">
        <w:rPr>
          <w:rFonts w:ascii="Palatino Linotype" w:eastAsia="Palatino Linotype" w:hAnsi="Palatino Linotype" w:cs="Palatino Linotype"/>
          <w:b/>
        </w:rPr>
        <w:t>ocho</w:t>
      </w:r>
      <w:r w:rsidRPr="005A189A">
        <w:rPr>
          <w:rFonts w:ascii="Palatino Linotype" w:eastAsia="Palatino Linotype" w:hAnsi="Palatino Linotype" w:cs="Palatino Linotype"/>
          <w:b/>
        </w:rPr>
        <w:t xml:space="preserve"> de</w:t>
      </w:r>
      <w:r w:rsidR="00C309B8" w:rsidRPr="005A189A">
        <w:rPr>
          <w:rFonts w:ascii="Palatino Linotype" w:eastAsia="Palatino Linotype" w:hAnsi="Palatino Linotype" w:cs="Palatino Linotype"/>
          <w:b/>
        </w:rPr>
        <w:t xml:space="preserve"> </w:t>
      </w:r>
      <w:r w:rsidR="00EB504A" w:rsidRPr="005A189A">
        <w:rPr>
          <w:rFonts w:ascii="Palatino Linotype" w:eastAsia="Palatino Linotype" w:hAnsi="Palatino Linotype" w:cs="Palatino Linotype"/>
          <w:b/>
        </w:rPr>
        <w:t>febrer</w:t>
      </w:r>
      <w:r w:rsidR="00C309B8" w:rsidRPr="005A189A">
        <w:rPr>
          <w:rFonts w:ascii="Palatino Linotype" w:eastAsia="Palatino Linotype" w:hAnsi="Palatino Linotype" w:cs="Palatino Linotype"/>
          <w:b/>
        </w:rPr>
        <w:t>o</w:t>
      </w:r>
      <w:r w:rsidRPr="005A189A">
        <w:rPr>
          <w:rFonts w:ascii="Palatino Linotype" w:eastAsia="Palatino Linotype" w:hAnsi="Palatino Linotype" w:cs="Palatino Linotype"/>
          <w:b/>
        </w:rPr>
        <w:t xml:space="preserve"> dos mil </w:t>
      </w:r>
      <w:r w:rsidR="00EB504A" w:rsidRPr="005A189A">
        <w:rPr>
          <w:rFonts w:ascii="Palatino Linotype" w:eastAsia="Palatino Linotype" w:hAnsi="Palatino Linotype" w:cs="Palatino Linotype"/>
          <w:b/>
        </w:rPr>
        <w:t>veinticuatro</w:t>
      </w:r>
      <w:r w:rsidRPr="005A189A">
        <w:rPr>
          <w:rFonts w:ascii="Palatino Linotype" w:eastAsia="Palatino Linotype" w:hAnsi="Palatino Linotype" w:cs="Palatino Linotype"/>
        </w:rPr>
        <w:t xml:space="preserve">, </w:t>
      </w:r>
      <w:r w:rsidR="006C7B85" w:rsidRPr="005A189A">
        <w:rPr>
          <w:rFonts w:ascii="Palatino Linotype" w:eastAsia="Palatino Linotype" w:hAnsi="Palatino Linotype" w:cs="Palatino Linotype"/>
        </w:rPr>
        <w:t>el Recurrente</w:t>
      </w:r>
      <w:r w:rsidRPr="005A189A">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SARCOEM, ante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la solicitud de acceso a datos personales, a la que se le asignó el número de expediente </w:t>
      </w:r>
      <w:r w:rsidR="002837A0" w:rsidRPr="005A189A">
        <w:rPr>
          <w:rFonts w:ascii="Palatino Linotype" w:eastAsia="Palatino Linotype" w:hAnsi="Palatino Linotype" w:cs="Palatino Linotype"/>
          <w:b/>
        </w:rPr>
        <w:t>00004/SECTI/AD/2024</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en  la que requirió el acceso a lo siguiente:</w:t>
      </w:r>
    </w:p>
    <w:p w14:paraId="2899CB78" w14:textId="77777777" w:rsidR="00D93AD3" w:rsidRPr="005A189A" w:rsidRDefault="00D93AD3" w:rsidP="008342C3">
      <w:pPr>
        <w:spacing w:line="360" w:lineRule="auto"/>
        <w:jc w:val="both"/>
        <w:rPr>
          <w:rFonts w:ascii="Palatino Linotype" w:eastAsia="Palatino Linotype" w:hAnsi="Palatino Linotype" w:cs="Palatino Linotype"/>
        </w:rPr>
      </w:pPr>
    </w:p>
    <w:p w14:paraId="2F1F7BB5" w14:textId="004CC395" w:rsidR="00D93AD3" w:rsidRPr="005A189A" w:rsidRDefault="00405A8F" w:rsidP="008342C3">
      <w:pPr>
        <w:spacing w:line="360" w:lineRule="auto"/>
        <w:ind w:left="709" w:right="899"/>
        <w:jc w:val="both"/>
        <w:rPr>
          <w:rFonts w:ascii="Palatino Linotype" w:eastAsia="Palatino Linotype" w:hAnsi="Palatino Linotype" w:cs="Palatino Linotype"/>
          <w:i/>
        </w:rPr>
      </w:pPr>
      <w:r w:rsidRPr="005A189A">
        <w:rPr>
          <w:rFonts w:ascii="Palatino Linotype" w:eastAsia="Palatino Linotype" w:hAnsi="Palatino Linotype" w:cs="Palatino Linotype"/>
          <w:i/>
        </w:rPr>
        <w:t>“</w:t>
      </w:r>
      <w:r w:rsidR="00311525" w:rsidRPr="005A189A">
        <w:rPr>
          <w:rFonts w:ascii="Palatino Linotype" w:eastAsia="Palatino Linotype" w:hAnsi="Palatino Linotype" w:cs="Palatino Linotype"/>
          <w:i/>
        </w:rPr>
        <w:t xml:space="preserve">Buenas tardes, solicito la Constancia Anualizada de Percepciones y Deducciones de los siguientes años: 2004,2005, 2006 que laboré en la entonces Secretaría de Educación, Cultura y Bienestar Social, y en 2006,2007, 2008 y 2009 en la Secretaría de Educación pero en el Subsistema de Educación Media </w:t>
      </w:r>
      <w:r w:rsidR="00311525" w:rsidRPr="005A189A">
        <w:rPr>
          <w:rFonts w:ascii="Palatino Linotype" w:eastAsia="Palatino Linotype" w:hAnsi="Palatino Linotype" w:cs="Palatino Linotype"/>
          <w:i/>
        </w:rPr>
        <w:lastRenderedPageBreak/>
        <w:t xml:space="preserve">Superior, a nombre de </w:t>
      </w:r>
      <w:r w:rsidR="000369F3">
        <w:rPr>
          <w:rFonts w:ascii="Palatino Linotype" w:eastAsia="Palatino Linotype" w:hAnsi="Palatino Linotype" w:cs="Palatino Linotype"/>
          <w:i/>
        </w:rPr>
        <w:t xml:space="preserve">XXXX </w:t>
      </w:r>
      <w:proofErr w:type="spellStart"/>
      <w:r w:rsidR="000369F3">
        <w:rPr>
          <w:rFonts w:ascii="Palatino Linotype" w:eastAsia="Palatino Linotype" w:hAnsi="Palatino Linotype" w:cs="Palatino Linotype"/>
          <w:i/>
        </w:rPr>
        <w:t>XXXX</w:t>
      </w:r>
      <w:proofErr w:type="spellEnd"/>
      <w:r w:rsidR="000369F3">
        <w:rPr>
          <w:rFonts w:ascii="Palatino Linotype" w:eastAsia="Palatino Linotype" w:hAnsi="Palatino Linotype" w:cs="Palatino Linotype"/>
          <w:i/>
        </w:rPr>
        <w:t xml:space="preserve"> </w:t>
      </w:r>
      <w:proofErr w:type="spellStart"/>
      <w:r w:rsidR="000369F3">
        <w:rPr>
          <w:rFonts w:ascii="Palatino Linotype" w:eastAsia="Palatino Linotype" w:hAnsi="Palatino Linotype" w:cs="Palatino Linotype"/>
          <w:i/>
        </w:rPr>
        <w:t>XXXX</w:t>
      </w:r>
      <w:proofErr w:type="spellEnd"/>
      <w:r w:rsidR="00311525" w:rsidRPr="005A189A">
        <w:rPr>
          <w:rFonts w:ascii="Palatino Linotype" w:eastAsia="Palatino Linotype" w:hAnsi="Palatino Linotype" w:cs="Palatino Linotype"/>
          <w:i/>
        </w:rPr>
        <w:t xml:space="preserve">, con clave de Servidor Público : 943477471 y clave de </w:t>
      </w:r>
      <w:proofErr w:type="spellStart"/>
      <w:r w:rsidR="00311525" w:rsidRPr="005A189A">
        <w:rPr>
          <w:rFonts w:ascii="Palatino Linotype" w:eastAsia="Palatino Linotype" w:hAnsi="Palatino Linotype" w:cs="Palatino Linotype"/>
          <w:i/>
        </w:rPr>
        <w:t>ISSEMyM</w:t>
      </w:r>
      <w:proofErr w:type="spellEnd"/>
      <w:r w:rsidR="00311525" w:rsidRPr="005A189A">
        <w:rPr>
          <w:rFonts w:ascii="Palatino Linotype" w:eastAsia="Palatino Linotype" w:hAnsi="Palatino Linotype" w:cs="Palatino Linotype"/>
          <w:i/>
        </w:rPr>
        <w:t xml:space="preserve"> </w:t>
      </w:r>
      <w:r w:rsidR="000369F3">
        <w:rPr>
          <w:rFonts w:ascii="Palatino Linotype" w:eastAsia="Palatino Linotype" w:hAnsi="Palatino Linotype" w:cs="Palatino Linotype"/>
          <w:i/>
        </w:rPr>
        <w:t>XXXXXXX</w:t>
      </w:r>
      <w:r w:rsidR="00311525" w:rsidRPr="005A189A">
        <w:rPr>
          <w:rFonts w:ascii="Palatino Linotype" w:eastAsia="Palatino Linotype" w:hAnsi="Palatino Linotype" w:cs="Palatino Linotype"/>
          <w:i/>
        </w:rPr>
        <w:t xml:space="preserve"> O en su caso los recibos de percepciones por quincena de los mismos años, acreditando mi personalidad con la credencial para votar expedida por el Instituto Nacional Electoral, lo anterior por ser de utilidad para realizar trámites personales. LOS AÑOS QUE REQUIERO QUE SE ME EXPIDAN DE LAS CONSTANCIAS ANUALIZADAS DE PERCEPCIONES Y DEDUCCIONES SON: 2003</w:t>
      </w:r>
      <w:proofErr w:type="gramStart"/>
      <w:r w:rsidR="00311525" w:rsidRPr="005A189A">
        <w:rPr>
          <w:rFonts w:ascii="Palatino Linotype" w:eastAsia="Palatino Linotype" w:hAnsi="Palatino Linotype" w:cs="Palatino Linotype"/>
          <w:i/>
        </w:rPr>
        <w:t>,2004,2005,2006,2007,2008</w:t>
      </w:r>
      <w:proofErr w:type="gramEnd"/>
      <w:r w:rsidR="00311525" w:rsidRPr="005A189A">
        <w:rPr>
          <w:rFonts w:ascii="Palatino Linotype" w:eastAsia="Palatino Linotype" w:hAnsi="Palatino Linotype" w:cs="Palatino Linotype"/>
          <w:i/>
        </w:rPr>
        <w:t xml:space="preserve"> Y 2009.</w:t>
      </w:r>
      <w:r w:rsidR="008C4065" w:rsidRPr="005A189A">
        <w:rPr>
          <w:rFonts w:ascii="Palatino Linotype" w:eastAsia="Palatino Linotype" w:hAnsi="Palatino Linotype" w:cs="Palatino Linotype"/>
          <w:i/>
        </w:rPr>
        <w:t>”</w:t>
      </w:r>
    </w:p>
    <w:p w14:paraId="65D9A2AC" w14:textId="77777777" w:rsidR="00D93AD3" w:rsidRPr="005A189A" w:rsidRDefault="00D93AD3" w:rsidP="008342C3">
      <w:pPr>
        <w:spacing w:line="360" w:lineRule="auto"/>
        <w:jc w:val="both"/>
        <w:rPr>
          <w:rFonts w:ascii="Palatino Linotype" w:eastAsia="Palatino Linotype" w:hAnsi="Palatino Linotype" w:cs="Palatino Linotype"/>
          <w:b/>
        </w:rPr>
      </w:pPr>
    </w:p>
    <w:p w14:paraId="69428B1B" w14:textId="77777777" w:rsidR="00F65397" w:rsidRPr="005A189A" w:rsidRDefault="00F65397" w:rsidP="008342C3">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Se anexó a la solicitud el archivo denominado </w:t>
      </w:r>
      <w:r w:rsidR="002837A0" w:rsidRPr="005A189A">
        <w:rPr>
          <w:rFonts w:ascii="Palatino Linotype" w:eastAsia="Palatino Linotype" w:hAnsi="Palatino Linotype" w:cs="Palatino Linotype"/>
          <w:b/>
          <w:i/>
        </w:rPr>
        <w:t>img007.pdf</w:t>
      </w:r>
      <w:r w:rsidRPr="005A189A">
        <w:rPr>
          <w:rFonts w:ascii="Palatino Linotype" w:eastAsia="Palatino Linotype" w:hAnsi="Palatino Linotype" w:cs="Palatino Linotype"/>
          <w:b/>
          <w:i/>
        </w:rPr>
        <w:t xml:space="preserve">, </w:t>
      </w:r>
      <w:r w:rsidR="002837A0" w:rsidRPr="005A189A">
        <w:rPr>
          <w:rFonts w:ascii="Palatino Linotype" w:eastAsia="Palatino Linotype" w:hAnsi="Palatino Linotype" w:cs="Palatino Linotype"/>
        </w:rPr>
        <w:t xml:space="preserve">cuyo contenido corresponde a </w:t>
      </w:r>
      <w:r w:rsidRPr="005A189A">
        <w:rPr>
          <w:rFonts w:ascii="Palatino Linotype" w:eastAsia="Palatino Linotype" w:hAnsi="Palatino Linotype" w:cs="Palatino Linotype"/>
        </w:rPr>
        <w:t xml:space="preserve">la Credencial para Votar con Fotografía, emitida por </w:t>
      </w:r>
      <w:r w:rsidR="002837A0" w:rsidRPr="005A189A">
        <w:rPr>
          <w:rFonts w:ascii="Palatino Linotype" w:eastAsia="Palatino Linotype" w:hAnsi="Palatino Linotype" w:cs="Palatino Linotype"/>
        </w:rPr>
        <w:t>el Instituto Nacional Electoral, que coincide con el nombre de la solicitante de los datos personales en SARCOEM.</w:t>
      </w:r>
    </w:p>
    <w:p w14:paraId="38DF76DB" w14:textId="77777777" w:rsidR="00F65397" w:rsidRPr="005A189A" w:rsidRDefault="00F65397" w:rsidP="008342C3">
      <w:pPr>
        <w:pBdr>
          <w:top w:val="nil"/>
          <w:left w:val="nil"/>
          <w:bottom w:val="nil"/>
          <w:right w:val="nil"/>
          <w:between w:val="nil"/>
        </w:pBdr>
        <w:spacing w:line="360" w:lineRule="auto"/>
        <w:ind w:left="-12"/>
        <w:jc w:val="both"/>
        <w:rPr>
          <w:rFonts w:ascii="Palatino Linotype" w:eastAsia="Palatino Linotype" w:hAnsi="Palatino Linotype" w:cs="Palatino Linotype"/>
        </w:rPr>
      </w:pPr>
    </w:p>
    <w:p w14:paraId="6FDF868C" w14:textId="77777777" w:rsidR="00D93AD3" w:rsidRPr="005A189A" w:rsidRDefault="00405A8F" w:rsidP="008342C3">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rPr>
      </w:pPr>
      <w:r w:rsidRPr="005A189A">
        <w:rPr>
          <w:rFonts w:ascii="Palatino Linotype" w:eastAsia="Palatino Linotype" w:hAnsi="Palatino Linotype" w:cs="Palatino Linotype"/>
        </w:rPr>
        <w:t>Señaló como modalidad de entrega de información</w:t>
      </w:r>
      <w:r w:rsidRPr="005A189A">
        <w:rPr>
          <w:rFonts w:ascii="Palatino Linotype" w:eastAsia="Palatino Linotype" w:hAnsi="Palatino Linotype" w:cs="Palatino Linotype"/>
          <w:b/>
        </w:rPr>
        <w:t>:</w:t>
      </w:r>
      <w:r w:rsidR="00A76F1C" w:rsidRPr="005A189A">
        <w:rPr>
          <w:rFonts w:ascii="Palatino Linotype" w:eastAsia="Palatino Linotype" w:hAnsi="Palatino Linotype" w:cs="Palatino Linotype"/>
        </w:rPr>
        <w:t xml:space="preserve"> A través de </w:t>
      </w:r>
      <w:r w:rsidR="00C309B8" w:rsidRPr="005A189A">
        <w:rPr>
          <w:rFonts w:ascii="Palatino Linotype" w:eastAsia="Palatino Linotype" w:hAnsi="Palatino Linotype" w:cs="Palatino Linotype"/>
          <w:b/>
        </w:rPr>
        <w:t xml:space="preserve">Copias </w:t>
      </w:r>
      <w:r w:rsidR="002837A0" w:rsidRPr="005A189A">
        <w:rPr>
          <w:rFonts w:ascii="Palatino Linotype" w:eastAsia="Palatino Linotype" w:hAnsi="Palatino Linotype" w:cs="Palatino Linotype"/>
          <w:b/>
        </w:rPr>
        <w:t>Certificadas con costo.</w:t>
      </w:r>
    </w:p>
    <w:p w14:paraId="6D39A4A3" w14:textId="77777777" w:rsidR="00D93AD3" w:rsidRPr="005A189A" w:rsidRDefault="00D93AD3" w:rsidP="008342C3">
      <w:pPr>
        <w:spacing w:line="360" w:lineRule="auto"/>
        <w:jc w:val="both"/>
        <w:rPr>
          <w:rFonts w:ascii="Palatino Linotype" w:eastAsia="Palatino Linotype" w:hAnsi="Palatino Linotype" w:cs="Palatino Linotype"/>
          <w:b/>
          <w:u w:val="single"/>
        </w:rPr>
      </w:pPr>
    </w:p>
    <w:p w14:paraId="576E041D"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Respuesta. El</w:t>
      </w:r>
      <w:r w:rsidRPr="005A189A">
        <w:rPr>
          <w:rFonts w:ascii="Palatino Linotype" w:eastAsia="Palatino Linotype" w:hAnsi="Palatino Linotype" w:cs="Palatino Linotype"/>
        </w:rPr>
        <w:t xml:space="preserve"> </w:t>
      </w:r>
      <w:r w:rsidR="002837A0" w:rsidRPr="005A189A">
        <w:rPr>
          <w:rFonts w:ascii="Palatino Linotype" w:eastAsia="Palatino Linotype" w:hAnsi="Palatino Linotype" w:cs="Palatino Linotype"/>
          <w:b/>
        </w:rPr>
        <w:t>trece de febrero</w:t>
      </w:r>
      <w:r w:rsidRPr="005A189A">
        <w:rPr>
          <w:rFonts w:ascii="Palatino Linotype" w:eastAsia="Palatino Linotype" w:hAnsi="Palatino Linotype" w:cs="Palatino Linotype"/>
          <w:b/>
        </w:rPr>
        <w:t xml:space="preserve"> de dos mil </w:t>
      </w:r>
      <w:r w:rsidR="003475BC" w:rsidRPr="005A189A">
        <w:rPr>
          <w:rFonts w:ascii="Palatino Linotype" w:eastAsia="Palatino Linotype" w:hAnsi="Palatino Linotype" w:cs="Palatino Linotype"/>
          <w:b/>
        </w:rPr>
        <w:t>veintitrés</w:t>
      </w:r>
      <w:r w:rsidRPr="005A189A">
        <w:rPr>
          <w:rFonts w:ascii="Palatino Linotype" w:eastAsia="Palatino Linotype" w:hAnsi="Palatino Linotype" w:cs="Palatino Linotype"/>
        </w:rPr>
        <w:t xml:space="preserve">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w:t>
      </w:r>
      <w:r w:rsidR="00A76F1C" w:rsidRPr="005A189A">
        <w:rPr>
          <w:rFonts w:ascii="Palatino Linotype" w:eastAsia="Palatino Linotype" w:hAnsi="Palatino Linotype" w:cs="Palatino Linotype"/>
        </w:rPr>
        <w:t>emitió un</w:t>
      </w:r>
      <w:r w:rsidRPr="005A189A">
        <w:rPr>
          <w:rFonts w:ascii="Palatino Linotype" w:eastAsia="Palatino Linotype" w:hAnsi="Palatino Linotype" w:cs="Palatino Linotype"/>
        </w:rPr>
        <w:t xml:space="preserve"> respuesta a la solicitud de acceso a datos personales a través del </w:t>
      </w:r>
      <w:r w:rsidRPr="005A189A">
        <w:rPr>
          <w:rFonts w:ascii="Palatino Linotype" w:eastAsia="Palatino Linotype" w:hAnsi="Palatino Linotype" w:cs="Palatino Linotype"/>
          <w:b/>
        </w:rPr>
        <w:t>SARCOEM</w:t>
      </w:r>
      <w:r w:rsidRPr="005A189A">
        <w:rPr>
          <w:rFonts w:ascii="Palatino Linotype" w:eastAsia="Palatino Linotype" w:hAnsi="Palatino Linotype" w:cs="Palatino Linotype"/>
        </w:rPr>
        <w:t xml:space="preserve">, </w:t>
      </w:r>
      <w:r w:rsidR="00A214FC" w:rsidRPr="005A189A">
        <w:rPr>
          <w:rFonts w:ascii="Palatino Linotype" w:eastAsia="Palatino Linotype" w:hAnsi="Palatino Linotype" w:cs="Palatino Linotype"/>
        </w:rPr>
        <w:t xml:space="preserve">a través del archivo </w:t>
      </w:r>
      <w:r w:rsidR="00A214FC" w:rsidRPr="005A189A">
        <w:rPr>
          <w:rFonts w:ascii="Palatino Linotype" w:eastAsia="Palatino Linotype" w:hAnsi="Palatino Linotype" w:cs="Palatino Linotype"/>
          <w:b/>
        </w:rPr>
        <w:t>denominado</w:t>
      </w:r>
      <w:r w:rsidR="00A214FC" w:rsidRPr="005A189A">
        <w:rPr>
          <w:rFonts w:ascii="Palatino Linotype" w:eastAsia="Palatino Linotype" w:hAnsi="Palatino Linotype" w:cs="Palatino Linotype"/>
        </w:rPr>
        <w:t xml:space="preserve"> </w:t>
      </w:r>
      <w:r w:rsidR="002837A0" w:rsidRPr="005A189A">
        <w:rPr>
          <w:rFonts w:ascii="Palatino Linotype" w:eastAsia="Palatino Linotype" w:hAnsi="Palatino Linotype" w:cs="Palatino Linotype"/>
          <w:b/>
          <w:i/>
        </w:rPr>
        <w:t>Respuesta_UT_00004_AD.pdf</w:t>
      </w:r>
      <w:r w:rsidR="00A214FC" w:rsidRPr="005A189A">
        <w:rPr>
          <w:rFonts w:ascii="Palatino Linotype" w:eastAsia="Palatino Linotype" w:hAnsi="Palatino Linotype" w:cs="Palatino Linotype"/>
        </w:rPr>
        <w:t xml:space="preserve">, cuyo contenido </w:t>
      </w:r>
      <w:r w:rsidR="00D9633E" w:rsidRPr="005A189A">
        <w:rPr>
          <w:rFonts w:ascii="Palatino Linotype" w:eastAsia="Palatino Linotype" w:hAnsi="Palatino Linotype" w:cs="Palatino Linotype"/>
        </w:rPr>
        <w:t>corresponde</w:t>
      </w:r>
      <w:r w:rsidR="003973CD" w:rsidRPr="005A189A">
        <w:rPr>
          <w:rFonts w:ascii="Palatino Linotype" w:eastAsia="Palatino Linotype" w:hAnsi="Palatino Linotype" w:cs="Palatino Linotype"/>
        </w:rPr>
        <w:t xml:space="preserve"> </w:t>
      </w:r>
      <w:r w:rsidR="00D9633E" w:rsidRPr="005A189A">
        <w:rPr>
          <w:rFonts w:ascii="Palatino Linotype" w:eastAsia="Palatino Linotype" w:hAnsi="Palatino Linotype" w:cs="Palatino Linotype"/>
        </w:rPr>
        <w:t>a un oficio signado por el Titular de la Unidad de Transparencia, mediante el cual informa que la información solicitada ya se encuentra para su consulta pública en el Sistema Electrónico de Información, Tramites y Servicios, adjuntando para tal efecto el enlace correspondiente y una captura de pantalla del Sistema en comento.</w:t>
      </w:r>
    </w:p>
    <w:p w14:paraId="32A0B2F7"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lastRenderedPageBreak/>
        <w:t xml:space="preserve">Recurso de Revisión. </w:t>
      </w:r>
      <w:r w:rsidRPr="005A189A">
        <w:rPr>
          <w:rFonts w:ascii="Palatino Linotype" w:eastAsia="Palatino Linotype" w:hAnsi="Palatino Linotype" w:cs="Palatino Linotype"/>
        </w:rPr>
        <w:t xml:space="preserve">Inconforme con la respuesta, el </w:t>
      </w:r>
      <w:r w:rsidR="00D9633E" w:rsidRPr="005A189A">
        <w:rPr>
          <w:rFonts w:ascii="Palatino Linotype" w:eastAsia="Palatino Linotype" w:hAnsi="Palatino Linotype" w:cs="Palatino Linotype"/>
          <w:b/>
        </w:rPr>
        <w:t>diecinueve de febrero</w:t>
      </w:r>
      <w:r w:rsidRPr="005A189A">
        <w:rPr>
          <w:rFonts w:ascii="Palatino Linotype" w:eastAsia="Palatino Linotype" w:hAnsi="Palatino Linotype" w:cs="Palatino Linotype"/>
          <w:b/>
        </w:rPr>
        <w:t xml:space="preserve"> de dos mil </w:t>
      </w:r>
      <w:r w:rsidR="003475BC" w:rsidRPr="005A189A">
        <w:rPr>
          <w:rFonts w:ascii="Palatino Linotype" w:eastAsia="Palatino Linotype" w:hAnsi="Palatino Linotype" w:cs="Palatino Linotype"/>
          <w:b/>
        </w:rPr>
        <w:t>veintitrés</w:t>
      </w:r>
      <w:r w:rsidRPr="005A189A">
        <w:rPr>
          <w:rFonts w:ascii="Palatino Linotype" w:eastAsia="Palatino Linotype" w:hAnsi="Palatino Linotype" w:cs="Palatino Linotype"/>
        </w:rPr>
        <w:t xml:space="preserve"> </w:t>
      </w:r>
      <w:r w:rsidR="006C7B85" w:rsidRPr="005A189A">
        <w:rPr>
          <w:rFonts w:ascii="Palatino Linotype" w:eastAsia="Palatino Linotype" w:hAnsi="Palatino Linotype" w:cs="Palatino Linotype"/>
          <w:b/>
        </w:rPr>
        <w:t>el Recurrente</w:t>
      </w:r>
      <w:r w:rsidRPr="005A189A">
        <w:rPr>
          <w:rFonts w:ascii="Palatino Linotype" w:eastAsia="Palatino Linotype" w:hAnsi="Palatino Linotype" w:cs="Palatino Linotype"/>
        </w:rPr>
        <w:t xml:space="preserve"> interpuso el recurso de revisión, en el que señaló como: </w:t>
      </w:r>
    </w:p>
    <w:p w14:paraId="59FE6CD2" w14:textId="77777777" w:rsidR="00D93AD3" w:rsidRPr="005A189A" w:rsidRDefault="00405A8F" w:rsidP="008342C3">
      <w:pPr>
        <w:spacing w:line="360" w:lineRule="auto"/>
        <w:ind w:left="851" w:right="899"/>
        <w:jc w:val="both"/>
        <w:rPr>
          <w:rFonts w:ascii="Palatino Linotype" w:eastAsia="Palatino Linotype" w:hAnsi="Palatino Linotype" w:cs="Palatino Linotype"/>
        </w:rPr>
      </w:pPr>
      <w:bookmarkStart w:id="3" w:name="_heading=h.3znysh7" w:colFirst="0" w:colLast="0"/>
      <w:bookmarkEnd w:id="3"/>
      <w:r w:rsidRPr="005A189A">
        <w:rPr>
          <w:rFonts w:ascii="Palatino Linotype" w:eastAsia="Palatino Linotype" w:hAnsi="Palatino Linotype" w:cs="Palatino Linotype"/>
          <w:b/>
        </w:rPr>
        <w:t>Acto impugnado</w:t>
      </w:r>
      <w:r w:rsidRPr="005A189A">
        <w:rPr>
          <w:rFonts w:ascii="Palatino Linotype" w:eastAsia="Palatino Linotype" w:hAnsi="Palatino Linotype" w:cs="Palatino Linotype"/>
        </w:rPr>
        <w:t xml:space="preserve">: </w:t>
      </w:r>
    </w:p>
    <w:p w14:paraId="10A18BE2" w14:textId="77777777" w:rsidR="00D93AD3" w:rsidRPr="005A189A" w:rsidRDefault="00405A8F" w:rsidP="008342C3">
      <w:pPr>
        <w:spacing w:line="360" w:lineRule="auto"/>
        <w:ind w:left="851" w:right="899"/>
        <w:jc w:val="both"/>
        <w:rPr>
          <w:rFonts w:ascii="Palatino Linotype" w:eastAsia="Palatino Linotype" w:hAnsi="Palatino Linotype" w:cs="Palatino Linotype"/>
          <w:i/>
        </w:rPr>
      </w:pPr>
      <w:bookmarkStart w:id="4" w:name="_heading=h.2et92p0" w:colFirst="0" w:colLast="0"/>
      <w:bookmarkEnd w:id="4"/>
      <w:r w:rsidRPr="005A189A">
        <w:rPr>
          <w:rFonts w:ascii="Palatino Linotype" w:eastAsia="Palatino Linotype" w:hAnsi="Palatino Linotype" w:cs="Palatino Linotype"/>
          <w:i/>
        </w:rPr>
        <w:t>“</w:t>
      </w:r>
      <w:r w:rsidR="00D9633E" w:rsidRPr="005A189A">
        <w:rPr>
          <w:rFonts w:ascii="Palatino Linotype" w:eastAsia="Palatino Linotype" w:hAnsi="Palatino Linotype" w:cs="Palatino Linotype"/>
          <w:i/>
        </w:rPr>
        <w:t>El acto impugnado es la supuesta respuesta que se me remitió mediante el oficio por el cual se pretende dar respuesta a la solicitud ingresada a través del Sistema SARCOEM en el cual se le asignó el No. 00004 de fecha 08 de febrero del año 2024, y a la cual recayó la respuesta de fecha 12 de febrero del 2024 e ingresada al sistema el día 13 del mismo mes y año a través del oficio No. 22800007010000S/059/UT/2024, signado por el Licenciado Rodrigo Ulises Rojas Muñoz, Titular de la Unidad de Transparencia perteneciente a la Dirección de Información, Planeación, Programación y Evaluación, de la Secretaría de Educación, Ciencia, Tecnología e Innovación, por lo que en termino de los artículos 119, 120,121, 125,127,128 y 130 de la Ley de Protección de Datos Personales en Posesión de Sujetos Obligados del Estado de México y Municipios, interpongo Recurso de Revisión, toda vez que como ustedes podrán corroborar, el Sujeto Obligado de la Secretaría de Educación, establece en su respuesta lo siguiente “…que la información solicitada se encuentra disponible para consulta pública y, podrá consultarla de manera directa en las siguientes ligas electrónicas: https://sistemas2.edomex.gob.mx/TramitesyServicios/Tramite?tram=337&amp;cont=0”... SIC.</w:t>
      </w:r>
      <w:r w:rsidR="005F4062" w:rsidRPr="005A189A">
        <w:rPr>
          <w:rFonts w:ascii="Palatino Linotype" w:eastAsia="Palatino Linotype" w:hAnsi="Palatino Linotype" w:cs="Palatino Linotype"/>
          <w:i/>
        </w:rPr>
        <w:t>”</w:t>
      </w:r>
    </w:p>
    <w:p w14:paraId="20801D8B" w14:textId="77777777" w:rsidR="00D93AD3" w:rsidRPr="005A189A" w:rsidRDefault="00D93AD3" w:rsidP="008342C3">
      <w:pPr>
        <w:pBdr>
          <w:top w:val="nil"/>
          <w:left w:val="nil"/>
          <w:bottom w:val="nil"/>
          <w:right w:val="nil"/>
          <w:between w:val="nil"/>
        </w:pBdr>
        <w:spacing w:line="360" w:lineRule="auto"/>
        <w:ind w:right="899"/>
        <w:jc w:val="both"/>
        <w:rPr>
          <w:rFonts w:ascii="Palatino Linotype" w:eastAsia="Palatino Linotype" w:hAnsi="Palatino Linotype" w:cs="Palatino Linotype"/>
          <w:i/>
        </w:rPr>
      </w:pPr>
    </w:p>
    <w:p w14:paraId="6DFA1910" w14:textId="77777777" w:rsidR="00D93AD3" w:rsidRPr="005A189A" w:rsidRDefault="00405A8F" w:rsidP="008342C3">
      <w:pPr>
        <w:spacing w:line="360" w:lineRule="auto"/>
        <w:ind w:left="851" w:right="899"/>
        <w:jc w:val="both"/>
        <w:rPr>
          <w:rFonts w:ascii="Palatino Linotype" w:eastAsia="Palatino Linotype" w:hAnsi="Palatino Linotype" w:cs="Palatino Linotype"/>
          <w:b/>
        </w:rPr>
      </w:pPr>
      <w:bookmarkStart w:id="5" w:name="_heading=h.tyjcwt" w:colFirst="0" w:colLast="0"/>
      <w:bookmarkEnd w:id="5"/>
      <w:r w:rsidRPr="005A189A">
        <w:rPr>
          <w:rFonts w:ascii="Palatino Linotype" w:eastAsia="Palatino Linotype" w:hAnsi="Palatino Linotype" w:cs="Palatino Linotype"/>
          <w:b/>
        </w:rPr>
        <w:t>Razones o Motivos de inconformidad</w:t>
      </w:r>
      <w:r w:rsidRPr="005A189A">
        <w:rPr>
          <w:rFonts w:ascii="Palatino Linotype" w:eastAsia="Palatino Linotype" w:hAnsi="Palatino Linotype" w:cs="Palatino Linotype"/>
        </w:rPr>
        <w:t>:</w:t>
      </w:r>
      <w:r w:rsidRPr="005A189A">
        <w:rPr>
          <w:rFonts w:ascii="Palatino Linotype" w:eastAsia="Palatino Linotype" w:hAnsi="Palatino Linotype" w:cs="Palatino Linotype"/>
          <w:b/>
        </w:rPr>
        <w:t xml:space="preserve"> </w:t>
      </w:r>
    </w:p>
    <w:p w14:paraId="2EA0642A" w14:textId="507B747C" w:rsidR="00D93AD3" w:rsidRPr="005A189A" w:rsidRDefault="00405A8F" w:rsidP="008342C3">
      <w:pPr>
        <w:spacing w:line="360" w:lineRule="auto"/>
        <w:ind w:left="851" w:right="899"/>
        <w:jc w:val="both"/>
        <w:rPr>
          <w:rFonts w:ascii="Palatino Linotype" w:eastAsia="Palatino Linotype" w:hAnsi="Palatino Linotype" w:cs="Palatino Linotype"/>
          <w:i/>
        </w:rPr>
      </w:pPr>
      <w:r w:rsidRPr="005A189A">
        <w:rPr>
          <w:rFonts w:ascii="Palatino Linotype" w:eastAsia="Palatino Linotype" w:hAnsi="Palatino Linotype" w:cs="Palatino Linotype"/>
          <w:i/>
        </w:rPr>
        <w:lastRenderedPageBreak/>
        <w:t>“</w:t>
      </w:r>
      <w:r w:rsidR="00D9633E" w:rsidRPr="005A189A">
        <w:rPr>
          <w:rFonts w:ascii="Palatino Linotype" w:eastAsia="Palatino Linotype" w:hAnsi="Palatino Linotype" w:cs="Palatino Linotype"/>
          <w:i/>
        </w:rPr>
        <w:t xml:space="preserve">Sin embargo, en la mencionada liga no se puede consultar la información solicitada, aunado a ello, la forma en la que solicite dicha información, fue en copias certificadas con costo, y no se me hace entrega de ningún documento de lo solicitado, por lo que el Sujeto Obligado de la Secretaría de Educación, Ciencia, Tecnología e Innovación no está cumpliendo con la entrega de la información y </w:t>
      </w:r>
      <w:proofErr w:type="spellStart"/>
      <w:r w:rsidR="00D9633E" w:rsidRPr="005A189A">
        <w:rPr>
          <w:rFonts w:ascii="Palatino Linotype" w:eastAsia="Palatino Linotype" w:hAnsi="Palatino Linotype" w:cs="Palatino Linotype"/>
          <w:i/>
        </w:rPr>
        <w:t>esta</w:t>
      </w:r>
      <w:proofErr w:type="spellEnd"/>
      <w:r w:rsidR="00D9633E" w:rsidRPr="005A189A">
        <w:rPr>
          <w:rFonts w:ascii="Palatino Linotype" w:eastAsia="Palatino Linotype" w:hAnsi="Palatino Linotype" w:cs="Palatino Linotype"/>
          <w:i/>
        </w:rPr>
        <w:t xml:space="preserve"> queriendo sorprender con el supuesto cumplimiento, al dar una respuesta en donde no entrega nada, ni siquiera se puede consultar la información requerida. </w:t>
      </w:r>
      <w:proofErr w:type="gramStart"/>
      <w:r w:rsidR="00D9633E" w:rsidRPr="005A189A">
        <w:rPr>
          <w:rFonts w:ascii="Palatino Linotype" w:eastAsia="Palatino Linotype" w:hAnsi="Palatino Linotype" w:cs="Palatino Linotype"/>
          <w:i/>
        </w:rPr>
        <w:t>mi</w:t>
      </w:r>
      <w:proofErr w:type="gramEnd"/>
      <w:r w:rsidR="00D9633E" w:rsidRPr="005A189A">
        <w:rPr>
          <w:rFonts w:ascii="Palatino Linotype" w:eastAsia="Palatino Linotype" w:hAnsi="Palatino Linotype" w:cs="Palatino Linotype"/>
          <w:i/>
        </w:rPr>
        <w:t xml:space="preserve"> correo electrónico es </w:t>
      </w:r>
      <w:r w:rsidR="000369F3">
        <w:rPr>
          <w:rFonts w:ascii="Palatino Linotype" w:eastAsia="Palatino Linotype" w:hAnsi="Palatino Linotype" w:cs="Palatino Linotype"/>
          <w:i/>
        </w:rPr>
        <w:t>XXXXXXXXXXX</w:t>
      </w:r>
      <w:bookmarkStart w:id="6" w:name="_GoBack"/>
      <w:bookmarkEnd w:id="6"/>
      <w:r w:rsidR="005F4062" w:rsidRPr="005A189A">
        <w:rPr>
          <w:rFonts w:ascii="Palatino Linotype" w:eastAsia="Palatino Linotype" w:hAnsi="Palatino Linotype" w:cs="Palatino Linotype"/>
          <w:i/>
        </w:rPr>
        <w:t>”</w:t>
      </w:r>
    </w:p>
    <w:p w14:paraId="5A2F61B8" w14:textId="77777777" w:rsidR="00D93AD3" w:rsidRPr="005A189A" w:rsidRDefault="00405A8F" w:rsidP="008342C3">
      <w:pPr>
        <w:spacing w:line="360" w:lineRule="auto"/>
        <w:ind w:left="851" w:right="899"/>
        <w:jc w:val="both"/>
        <w:rPr>
          <w:rFonts w:ascii="Palatino Linotype" w:eastAsia="Palatino Linotype" w:hAnsi="Palatino Linotype" w:cs="Palatino Linotype"/>
          <w:b/>
        </w:rPr>
      </w:pPr>
      <w:r w:rsidRPr="005A189A">
        <w:rPr>
          <w:rFonts w:ascii="Palatino Linotype" w:eastAsia="Palatino Linotype" w:hAnsi="Palatino Linotype" w:cs="Palatino Linotype"/>
          <w:i/>
        </w:rPr>
        <w:t xml:space="preserve"> </w:t>
      </w:r>
    </w:p>
    <w:p w14:paraId="66C4AE1A"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 xml:space="preserve">Turno. </w:t>
      </w:r>
      <w:r w:rsidR="005F4062" w:rsidRPr="005A189A">
        <w:rPr>
          <w:rFonts w:ascii="Palatino Linotype" w:eastAsia="Palatino Linotype" w:hAnsi="Palatino Linotype" w:cs="Palatino Linotype"/>
        </w:rPr>
        <w:t xml:space="preserve">Se registró el </w:t>
      </w:r>
      <w:r w:rsidR="00A76F1C"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ecurso de revisión bajo el número de expediente al rubro indicado, asimismo con fundamento en lo dispuesto por los artículos 11 y 127 de la </w:t>
      </w:r>
      <w:r w:rsidRPr="005A189A">
        <w:rPr>
          <w:rFonts w:ascii="Palatino Linotype" w:eastAsia="Palatino Linotype" w:hAnsi="Palatino Linotype" w:cs="Palatino Linotype"/>
          <w:b/>
        </w:rPr>
        <w:t xml:space="preserve">Ley de Protección de Datos Personales en Posesión de Sujetos Obligados del Estado de México y Municipios, </w:t>
      </w:r>
      <w:r w:rsidRPr="005A189A">
        <w:rPr>
          <w:rFonts w:ascii="Palatino Linotype" w:eastAsia="Palatino Linotype" w:hAnsi="Palatino Linotype" w:cs="Palatino Linotype"/>
        </w:rPr>
        <w:t xml:space="preserve">en relación con el artículo 185 fracción I de la </w:t>
      </w:r>
      <w:r w:rsidRPr="005A189A">
        <w:rPr>
          <w:rFonts w:ascii="Palatino Linotype" w:eastAsia="Palatino Linotype" w:hAnsi="Palatino Linotype" w:cs="Palatino Linotype"/>
          <w:b/>
        </w:rPr>
        <w:t xml:space="preserve">Ley de Transparencia y Acceso a la Información Pública del Estado de México y Municipios </w:t>
      </w:r>
      <w:r w:rsidRPr="005A189A">
        <w:rPr>
          <w:rFonts w:ascii="Palatino Linotype" w:eastAsia="Palatino Linotype" w:hAnsi="Palatino Linotype" w:cs="Palatino Linotype"/>
        </w:rPr>
        <w:t xml:space="preserve">de aplicación supletoria, se turnó a la </w:t>
      </w:r>
      <w:r w:rsidRPr="005A189A">
        <w:rPr>
          <w:rFonts w:ascii="Palatino Linotype" w:eastAsia="Palatino Linotype" w:hAnsi="Palatino Linotype" w:cs="Palatino Linotype"/>
          <w:b/>
        </w:rPr>
        <w:t xml:space="preserve">Comisionada </w:t>
      </w:r>
      <w:r w:rsidR="005F4062" w:rsidRPr="005A189A">
        <w:rPr>
          <w:rFonts w:ascii="Palatino Linotype" w:eastAsia="Palatino Linotype" w:hAnsi="Palatino Linotype" w:cs="Palatino Linotype"/>
          <w:b/>
        </w:rPr>
        <w:t>María del Rosario Mejía Ayala</w:t>
      </w:r>
      <w:r w:rsidRPr="005A189A">
        <w:rPr>
          <w:rFonts w:ascii="Palatino Linotype" w:eastAsia="Palatino Linotype" w:hAnsi="Palatino Linotype" w:cs="Palatino Linotype"/>
          <w:b/>
        </w:rPr>
        <w:t xml:space="preserve"> </w:t>
      </w:r>
      <w:r w:rsidR="00D9633E" w:rsidRPr="005A189A">
        <w:rPr>
          <w:rFonts w:ascii="Palatino Linotype" w:eastAsia="Palatino Linotype" w:hAnsi="Palatino Linotype" w:cs="Palatino Linotype"/>
        </w:rPr>
        <w:t>con el objeto de su análisis.</w:t>
      </w:r>
    </w:p>
    <w:p w14:paraId="2258089E" w14:textId="77777777" w:rsidR="00D9633E" w:rsidRPr="005A189A" w:rsidRDefault="00D9633E" w:rsidP="008342C3">
      <w:pPr>
        <w:pStyle w:val="Prrafodelista"/>
        <w:spacing w:line="360" w:lineRule="auto"/>
        <w:ind w:left="0"/>
        <w:jc w:val="both"/>
        <w:rPr>
          <w:rFonts w:ascii="Palatino Linotype" w:eastAsia="Palatino Linotype" w:hAnsi="Palatino Linotype" w:cs="Palatino Linotype"/>
        </w:rPr>
      </w:pPr>
    </w:p>
    <w:p w14:paraId="264F61D4"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 xml:space="preserve">Admisión. </w:t>
      </w:r>
      <w:r w:rsidRPr="005A189A">
        <w:rPr>
          <w:rFonts w:ascii="Palatino Linotype" w:eastAsia="Palatino Linotype" w:hAnsi="Palatino Linotype" w:cs="Palatino Linotype"/>
        </w:rPr>
        <w:t xml:space="preserve">El </w:t>
      </w:r>
      <w:r w:rsidR="005C3660" w:rsidRPr="005A189A">
        <w:rPr>
          <w:rFonts w:ascii="Palatino Linotype" w:eastAsia="Palatino Linotype" w:hAnsi="Palatino Linotype" w:cs="Palatino Linotype"/>
          <w:b/>
        </w:rPr>
        <w:t>veintiuno de febrero</w:t>
      </w:r>
      <w:r w:rsidRPr="005A189A">
        <w:rPr>
          <w:rFonts w:ascii="Palatino Linotype" w:eastAsia="Palatino Linotype" w:hAnsi="Palatino Linotype" w:cs="Palatino Linotype"/>
          <w:b/>
        </w:rPr>
        <w:t xml:space="preserve"> de dos mil </w:t>
      </w:r>
      <w:r w:rsidR="005C3660" w:rsidRPr="005A189A">
        <w:rPr>
          <w:rFonts w:ascii="Palatino Linotype" w:eastAsia="Palatino Linotype" w:hAnsi="Palatino Linotype" w:cs="Palatino Linotype"/>
          <w:b/>
        </w:rPr>
        <w:t>veinticuatro</w:t>
      </w:r>
      <w:r w:rsidRPr="005A189A">
        <w:rPr>
          <w:rFonts w:ascii="Palatino Linotype" w:eastAsia="Palatino Linotype" w:hAnsi="Palatino Linotype" w:cs="Palatino Linotype"/>
          <w:b/>
        </w:rPr>
        <w:t>,</w:t>
      </w:r>
      <w:r w:rsidRPr="005A189A">
        <w:rPr>
          <w:rFonts w:ascii="Palatino Linotype" w:eastAsia="Palatino Linotype" w:hAnsi="Palatino Linotype" w:cs="Palatino Linotype"/>
        </w:rPr>
        <w:t xml:space="preserve"> con fundamento en los artículos 11, 127 y 131 de la </w:t>
      </w:r>
      <w:r w:rsidRPr="005A189A">
        <w:rPr>
          <w:rFonts w:ascii="Palatino Linotype" w:eastAsia="Palatino Linotype" w:hAnsi="Palatino Linotype" w:cs="Palatino Linotype"/>
          <w:b/>
        </w:rPr>
        <w:t>Ley de Protección de Datos Personales en Posesión de Sujetos Obligados del Estado de México y Municipios</w:t>
      </w:r>
      <w:r w:rsidRPr="005A189A">
        <w:rPr>
          <w:rFonts w:ascii="Palatino Linotype" w:eastAsia="Palatino Linotype" w:hAnsi="Palatino Linotype" w:cs="Palatino Linotype"/>
        </w:rPr>
        <w:t xml:space="preserve"> y 185 fracciones I, II y IV de la Ley de Transparencia y Acceso a la Información Pública del Estado de México y Municipios de aplicación sup</w:t>
      </w:r>
      <w:r w:rsidR="005C3660" w:rsidRPr="005A189A">
        <w:rPr>
          <w:rFonts w:ascii="Palatino Linotype" w:eastAsia="Palatino Linotype" w:hAnsi="Palatino Linotype" w:cs="Palatino Linotype"/>
        </w:rPr>
        <w:t>letoria, se acordó l</w:t>
      </w:r>
      <w:r w:rsidRPr="005A189A">
        <w:rPr>
          <w:rFonts w:ascii="Palatino Linotype" w:eastAsia="Palatino Linotype" w:hAnsi="Palatino Linotype" w:cs="Palatino Linotype"/>
        </w:rPr>
        <w:t>a admisión a trámite de</w:t>
      </w:r>
      <w:r w:rsidR="005C3660" w:rsidRPr="005A189A">
        <w:rPr>
          <w:rFonts w:ascii="Palatino Linotype" w:eastAsia="Palatino Linotype" w:hAnsi="Palatino Linotype" w:cs="Palatino Linotype"/>
        </w:rPr>
        <w:t>l referido recurso de revisión.</w:t>
      </w:r>
    </w:p>
    <w:p w14:paraId="4E68BFFB" w14:textId="77777777" w:rsidR="00D93AD3" w:rsidRPr="005A189A" w:rsidRDefault="00D93AD3" w:rsidP="008342C3">
      <w:pPr>
        <w:spacing w:line="360" w:lineRule="auto"/>
        <w:jc w:val="both"/>
        <w:rPr>
          <w:rFonts w:ascii="Palatino Linotype" w:eastAsia="Palatino Linotype" w:hAnsi="Palatino Linotype" w:cs="Palatino Linotype"/>
        </w:rPr>
      </w:pPr>
    </w:p>
    <w:p w14:paraId="2399E257" w14:textId="77777777" w:rsidR="000C1656" w:rsidRPr="005A189A" w:rsidRDefault="00BF0DED"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lastRenderedPageBreak/>
        <w:t>Conciliación</w:t>
      </w:r>
      <w:r w:rsidR="000C1656" w:rsidRPr="005A189A">
        <w:rPr>
          <w:rFonts w:ascii="Palatino Linotype" w:eastAsia="Palatino Linotype" w:hAnsi="Palatino Linotype" w:cs="Palatino Linotype"/>
          <w:b/>
        </w:rPr>
        <w:t xml:space="preserve">. </w:t>
      </w:r>
      <w:r w:rsidR="000C1656" w:rsidRPr="005A189A">
        <w:rPr>
          <w:rFonts w:ascii="Palatino Linotype" w:eastAsia="Palatino Linotype" w:hAnsi="Palatino Linotype" w:cs="Palatino Linotype"/>
        </w:rPr>
        <w:t xml:space="preserve">El </w:t>
      </w:r>
      <w:r w:rsidR="005C3660" w:rsidRPr="005A189A">
        <w:rPr>
          <w:rFonts w:ascii="Palatino Linotype" w:eastAsia="Palatino Linotype" w:hAnsi="Palatino Linotype" w:cs="Palatino Linotype"/>
          <w:b/>
        </w:rPr>
        <w:t xml:space="preserve">veintitrés de abril </w:t>
      </w:r>
      <w:r w:rsidR="000C1656" w:rsidRPr="005A189A">
        <w:rPr>
          <w:rFonts w:ascii="Palatino Linotype" w:eastAsia="Palatino Linotype" w:hAnsi="Palatino Linotype" w:cs="Palatino Linotype"/>
          <w:b/>
        </w:rPr>
        <w:t xml:space="preserve">dos mil veinticuatro </w:t>
      </w:r>
      <w:r w:rsidR="000C1656" w:rsidRPr="005A189A">
        <w:rPr>
          <w:rFonts w:ascii="Palatino Linotype" w:eastAsia="Palatino Linotype" w:hAnsi="Palatino Linotype" w:cs="Palatino Linotype"/>
        </w:rPr>
        <w:t xml:space="preserve">se </w:t>
      </w:r>
      <w:r w:rsidRPr="005A189A">
        <w:rPr>
          <w:rFonts w:ascii="Palatino Linotype" w:eastAsia="Palatino Linotype" w:hAnsi="Palatino Linotype" w:cs="Palatino Linotype"/>
        </w:rPr>
        <w:t xml:space="preserve">exhortó a las partes para que, en un término no mayor de siete días hábiles, contados a partir del día hábil siguiente a la fecha de la notificación del acuerdo, manifestaran su voluntad por cualquier medio para conciliar en el presente asunto. No obstante </w:t>
      </w:r>
      <w:r w:rsidR="00DE011D" w:rsidRPr="005A189A">
        <w:rPr>
          <w:rFonts w:ascii="Palatino Linotype" w:eastAsia="Palatino Linotype" w:hAnsi="Palatino Linotype" w:cs="Palatino Linotype"/>
        </w:rPr>
        <w:t>solo la parte Recurrente, manifestó su voluntad a conciliar</w:t>
      </w:r>
      <w:r w:rsidRPr="005A189A">
        <w:rPr>
          <w:rFonts w:ascii="Palatino Linotype" w:eastAsia="Palatino Linotype" w:hAnsi="Palatino Linotype" w:cs="Palatino Linotype"/>
        </w:rPr>
        <w:t>.</w:t>
      </w:r>
    </w:p>
    <w:p w14:paraId="618CFB7F" w14:textId="77777777" w:rsidR="000C1656" w:rsidRPr="005A189A" w:rsidRDefault="000C1656" w:rsidP="008342C3">
      <w:pPr>
        <w:pStyle w:val="Prrafodelista"/>
        <w:spacing w:line="360" w:lineRule="auto"/>
        <w:ind w:left="0"/>
        <w:jc w:val="both"/>
        <w:rPr>
          <w:rFonts w:ascii="Palatino Linotype" w:eastAsia="Palatino Linotype" w:hAnsi="Palatino Linotype" w:cs="Palatino Linotype"/>
        </w:rPr>
      </w:pPr>
    </w:p>
    <w:p w14:paraId="78991372" w14:textId="77777777" w:rsidR="00DE011D"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 xml:space="preserve">Manifestaciones. </w:t>
      </w:r>
      <w:r w:rsidRPr="005A189A">
        <w:rPr>
          <w:rFonts w:ascii="Palatino Linotype" w:eastAsia="Palatino Linotype" w:hAnsi="Palatino Linotype" w:cs="Palatino Linotype"/>
        </w:rPr>
        <w:t xml:space="preserve">El </w:t>
      </w:r>
      <w:r w:rsidR="00DE011D" w:rsidRPr="005A189A">
        <w:rPr>
          <w:rFonts w:ascii="Palatino Linotype" w:eastAsia="Palatino Linotype" w:hAnsi="Palatino Linotype" w:cs="Palatino Linotype"/>
          <w:b/>
        </w:rPr>
        <w:t>veintiocho de mayo</w:t>
      </w:r>
      <w:r w:rsidR="00BF0DED"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b/>
        </w:rPr>
        <w:t xml:space="preserve">dos mil </w:t>
      </w:r>
      <w:r w:rsidR="00BF0DED" w:rsidRPr="005A189A">
        <w:rPr>
          <w:rFonts w:ascii="Palatino Linotype" w:eastAsia="Palatino Linotype" w:hAnsi="Palatino Linotype" w:cs="Palatino Linotype"/>
          <w:b/>
        </w:rPr>
        <w:t>veinticuatro</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 xml:space="preserve">se </w:t>
      </w:r>
      <w:r w:rsidR="00BF0DED" w:rsidRPr="005A189A">
        <w:rPr>
          <w:rFonts w:ascii="Palatino Linotype" w:eastAsia="Palatino Linotype" w:hAnsi="Palatino Linotype" w:cs="Palatino Linotype"/>
        </w:rPr>
        <w:t xml:space="preserve">instruyó la apertura de la etapa de manifestaciones a efecto de que el </w:t>
      </w:r>
      <w:r w:rsidR="00BF0DED" w:rsidRPr="005A189A">
        <w:rPr>
          <w:rFonts w:ascii="Palatino Linotype" w:eastAsia="Palatino Linotype" w:hAnsi="Palatino Linotype" w:cs="Palatino Linotype"/>
          <w:b/>
        </w:rPr>
        <w:t>SUJETO OBLIGADO</w:t>
      </w:r>
      <w:r w:rsidR="00BF0DED" w:rsidRPr="005A189A">
        <w:rPr>
          <w:rFonts w:ascii="Palatino Linotype" w:eastAsia="Palatino Linotype" w:hAnsi="Palatino Linotype" w:cs="Palatino Linotype"/>
        </w:rPr>
        <w:t xml:space="preserve"> rindiera su informe justificado y</w:t>
      </w:r>
      <w:r w:rsidR="00DE011D" w:rsidRPr="005A189A">
        <w:rPr>
          <w:rFonts w:ascii="Palatino Linotype" w:eastAsia="Palatino Linotype" w:hAnsi="Palatino Linotype" w:cs="Palatino Linotype"/>
        </w:rPr>
        <w:t xml:space="preserve"> la particular</w:t>
      </w:r>
      <w:r w:rsidR="00BF0DED" w:rsidRPr="005A189A">
        <w:rPr>
          <w:rFonts w:ascii="Palatino Linotype" w:eastAsia="Palatino Linotype" w:hAnsi="Palatino Linotype" w:cs="Palatino Linotype"/>
        </w:rPr>
        <w:t xml:space="preserve"> realizara</w:t>
      </w:r>
      <w:r w:rsidR="00DE011D" w:rsidRPr="005A189A">
        <w:rPr>
          <w:rFonts w:ascii="Palatino Linotype" w:eastAsia="Palatino Linotype" w:hAnsi="Palatino Linotype" w:cs="Palatino Linotype"/>
        </w:rPr>
        <w:t>n</w:t>
      </w:r>
      <w:r w:rsidR="00BF0DED" w:rsidRPr="005A189A">
        <w:rPr>
          <w:rFonts w:ascii="Palatino Linotype" w:eastAsia="Palatino Linotype" w:hAnsi="Palatino Linotype" w:cs="Palatino Linotype"/>
        </w:rPr>
        <w:t xml:space="preserve"> manifestaciones que a su derecho conviniera y asistiera; no obstante </w:t>
      </w:r>
      <w:r w:rsidR="00DE011D" w:rsidRPr="005A189A">
        <w:rPr>
          <w:rFonts w:ascii="Palatino Linotype" w:eastAsia="Palatino Linotype" w:hAnsi="Palatino Linotype" w:cs="Palatino Linotype"/>
        </w:rPr>
        <w:t xml:space="preserve">la parte </w:t>
      </w:r>
      <w:r w:rsidR="00DE011D" w:rsidRPr="005A189A">
        <w:rPr>
          <w:rFonts w:ascii="Palatino Linotype" w:eastAsia="Palatino Linotype" w:hAnsi="Palatino Linotype" w:cs="Palatino Linotype"/>
          <w:b/>
        </w:rPr>
        <w:t>RECURRENTE</w:t>
      </w:r>
      <w:r w:rsidR="00DE011D" w:rsidRPr="005A189A">
        <w:rPr>
          <w:rFonts w:ascii="Palatino Linotype" w:eastAsia="Palatino Linotype" w:hAnsi="Palatino Linotype" w:cs="Palatino Linotype"/>
        </w:rPr>
        <w:t xml:space="preserve"> fue omisa en realizar manifestaciones que a su derecho conviniera y asistiera. </w:t>
      </w:r>
    </w:p>
    <w:p w14:paraId="238BF43A" w14:textId="77777777" w:rsidR="00DE011D" w:rsidRPr="005A189A" w:rsidRDefault="00DE011D" w:rsidP="008342C3">
      <w:pPr>
        <w:pStyle w:val="Prrafodelista"/>
        <w:spacing w:line="360" w:lineRule="auto"/>
        <w:rPr>
          <w:rFonts w:ascii="Palatino Linotype" w:eastAsia="Palatino Linotype" w:hAnsi="Palatino Linotype" w:cs="Palatino Linotype"/>
        </w:rPr>
      </w:pPr>
    </w:p>
    <w:p w14:paraId="4B2519A1" w14:textId="77777777" w:rsidR="00D93AD3" w:rsidRPr="005A189A" w:rsidRDefault="00DE011D"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Por su parte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rindió el informe justificado correspondiente, confirmando su respuesta inicial, no obstante agregó una serie de instrucciones a seguir a través de texto e imágenes, para que la persona solicitante pueda encontrar la información de su interés en el enlace previamente entregado; asimismo informó que la Subdirección de Control de Pagos perteneciente a la Oficialía Mayor es la encargada de Supervisar la entrega de información de las remuneraciones a los servidores públicos de las dependencias del Poder Ejecutivo Estatal, por la prestación de sus servicios, así como atender la orientación y tramite de diversos conceptos (constancias de no adeudo, validación de finiquitos, recibos de pago, percepciones anualizadas, históricos laborales, alta de pensiones alimenticias, alta de embargos judiciales, entre otros.)</w:t>
      </w:r>
    </w:p>
    <w:p w14:paraId="6955170B" w14:textId="77777777" w:rsidR="007E519B" w:rsidRPr="005A189A" w:rsidRDefault="007E519B" w:rsidP="008342C3">
      <w:pPr>
        <w:pStyle w:val="Prrafodelista"/>
        <w:spacing w:line="360" w:lineRule="auto"/>
        <w:ind w:left="0"/>
        <w:jc w:val="both"/>
        <w:rPr>
          <w:rFonts w:ascii="Palatino Linotype" w:eastAsia="Palatino Linotype" w:hAnsi="Palatino Linotype" w:cs="Palatino Linotype"/>
          <w:b/>
        </w:rPr>
      </w:pPr>
    </w:p>
    <w:p w14:paraId="0061EDDF"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lastRenderedPageBreak/>
        <w:t>Ampliación del término para resolver</w:t>
      </w:r>
      <w:r w:rsidRPr="005A189A">
        <w:rPr>
          <w:rFonts w:ascii="Palatino Linotype" w:eastAsia="Palatino Linotype" w:hAnsi="Palatino Linotype" w:cs="Palatino Linotype"/>
        </w:rPr>
        <w:t>. E</w:t>
      </w:r>
      <w:r w:rsidR="00B477B7" w:rsidRPr="005A189A">
        <w:rPr>
          <w:rFonts w:ascii="Palatino Linotype" w:eastAsia="Palatino Linotype" w:hAnsi="Palatino Linotype" w:cs="Palatino Linotype"/>
        </w:rPr>
        <w:t xml:space="preserve">l día </w:t>
      </w:r>
      <w:r w:rsidR="00F63221" w:rsidRPr="005A189A">
        <w:rPr>
          <w:rFonts w:ascii="Palatino Linotype" w:eastAsia="Palatino Linotype" w:hAnsi="Palatino Linotype" w:cs="Palatino Linotype"/>
          <w:b/>
        </w:rPr>
        <w:t>onc</w:t>
      </w:r>
      <w:r w:rsidR="00B477B7" w:rsidRPr="005A189A">
        <w:rPr>
          <w:rFonts w:ascii="Palatino Linotype" w:eastAsia="Palatino Linotype" w:hAnsi="Palatino Linotype" w:cs="Palatino Linotype"/>
          <w:b/>
        </w:rPr>
        <w:t xml:space="preserve">e de </w:t>
      </w:r>
      <w:r w:rsidR="00F63221" w:rsidRPr="005A189A">
        <w:rPr>
          <w:rFonts w:ascii="Palatino Linotype" w:eastAsia="Palatino Linotype" w:hAnsi="Palatino Linotype" w:cs="Palatino Linotype"/>
          <w:b/>
        </w:rPr>
        <w:t>febrero</w:t>
      </w:r>
      <w:r w:rsidR="007E519B" w:rsidRPr="005A189A">
        <w:rPr>
          <w:rFonts w:ascii="Palatino Linotype" w:eastAsia="Palatino Linotype" w:hAnsi="Palatino Linotype" w:cs="Palatino Linotype"/>
          <w:b/>
        </w:rPr>
        <w:t xml:space="preserve"> del año en curso</w:t>
      </w:r>
      <w:r w:rsidRPr="005A189A">
        <w:rPr>
          <w:rFonts w:ascii="Palatino Linotype" w:eastAsia="Palatino Linotype" w:hAnsi="Palatino Linotype" w:cs="Palatino Linotype"/>
        </w:rPr>
        <w:t>, se ampl</w:t>
      </w:r>
      <w:r w:rsidR="007E519B" w:rsidRPr="005A189A">
        <w:rPr>
          <w:rFonts w:ascii="Palatino Linotype" w:eastAsia="Palatino Linotype" w:hAnsi="Palatino Linotype" w:cs="Palatino Linotype"/>
        </w:rPr>
        <w:t>ió el término para resolver el R</w:t>
      </w:r>
      <w:r w:rsidRPr="005A189A">
        <w:rPr>
          <w:rFonts w:ascii="Palatino Linotype" w:eastAsia="Palatino Linotype" w:hAnsi="Palatino Linotype" w:cs="Palatino Linotype"/>
        </w:rPr>
        <w:t xml:space="preserve">ecurso de </w:t>
      </w:r>
      <w:r w:rsidR="007E519B"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evisión en términos del artículo 133 de la Ley de Protección de Datos Personales en Posesión de Sujetos Obligados del Estado de México y Municipios. </w:t>
      </w:r>
    </w:p>
    <w:p w14:paraId="47EF3491" w14:textId="77777777" w:rsidR="00D93AD3" w:rsidRPr="005A189A" w:rsidRDefault="00D93AD3" w:rsidP="008342C3">
      <w:pPr>
        <w:spacing w:line="360" w:lineRule="auto"/>
        <w:jc w:val="both"/>
        <w:rPr>
          <w:rFonts w:ascii="Palatino Linotype" w:eastAsia="Palatino Linotype" w:hAnsi="Palatino Linotype" w:cs="Palatino Linotype"/>
        </w:rPr>
      </w:pPr>
    </w:p>
    <w:p w14:paraId="3EC06D21"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772753AA" w14:textId="77777777" w:rsidR="008342C3" w:rsidRPr="005A189A" w:rsidRDefault="008342C3" w:rsidP="008342C3">
      <w:pPr>
        <w:pStyle w:val="Prrafodelista"/>
        <w:rPr>
          <w:rFonts w:ascii="Palatino Linotype" w:eastAsia="Palatino Linotype" w:hAnsi="Palatino Linotype" w:cs="Palatino Linotype"/>
        </w:rPr>
      </w:pPr>
    </w:p>
    <w:p w14:paraId="3AC1A84E"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w:t>
      </w:r>
      <w:r w:rsidRPr="005A189A">
        <w:rPr>
          <w:rFonts w:ascii="Palatino Linotype" w:hAnsi="Palatino Linotype"/>
        </w:rPr>
        <w:t xml:space="preserve"> </w:t>
      </w:r>
      <w:r w:rsidRPr="005A189A">
        <w:rPr>
          <w:rFonts w:ascii="Palatino Linotype" w:eastAsia="Palatino Linotype" w:hAnsi="Palatino Linotype" w:cs="Palatino Linotype"/>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32628271" w14:textId="77777777" w:rsidR="00F65397" w:rsidRPr="005A189A" w:rsidRDefault="00F65397" w:rsidP="008342C3">
      <w:pPr>
        <w:pStyle w:val="Prrafodelista"/>
        <w:spacing w:line="360" w:lineRule="auto"/>
        <w:rPr>
          <w:rFonts w:ascii="Palatino Linotype" w:eastAsia="Palatino Linotype" w:hAnsi="Palatino Linotype" w:cs="Palatino Linotype"/>
        </w:rPr>
      </w:pPr>
    </w:p>
    <w:p w14:paraId="0832F52F"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25F4AE2B" w14:textId="77777777" w:rsidR="002B517D" w:rsidRPr="005A189A" w:rsidRDefault="002B517D" w:rsidP="008342C3">
      <w:pPr>
        <w:pStyle w:val="Prrafodelista"/>
        <w:spacing w:line="360" w:lineRule="auto"/>
        <w:rPr>
          <w:rFonts w:ascii="Palatino Linotype" w:eastAsia="Palatino Linotype" w:hAnsi="Palatino Linotype" w:cs="Palatino Linotype"/>
        </w:rPr>
      </w:pPr>
    </w:p>
    <w:p w14:paraId="36CA73E6"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5A189A">
        <w:rPr>
          <w:rFonts w:ascii="Palatino Linotype" w:eastAsia="Palatino Linotype" w:hAnsi="Palatino Linotype" w:cs="Palatino Linotype"/>
        </w:rPr>
        <w:lastRenderedPageBreak/>
        <w:t xml:space="preserve">órganos jurisdiccionales o cuasi jurisdiccionales, tanto por la complejidad de los hechos, como por </w:t>
      </w:r>
      <w:r w:rsidR="00B477B7" w:rsidRPr="005A189A">
        <w:rPr>
          <w:rFonts w:ascii="Palatino Linotype" w:eastAsia="Palatino Linotype" w:hAnsi="Palatino Linotype" w:cs="Palatino Linotype"/>
        </w:rPr>
        <w:t>el número de casos que conocen.</w:t>
      </w:r>
    </w:p>
    <w:p w14:paraId="0FCD14F3" w14:textId="77777777" w:rsidR="00B477B7" w:rsidRPr="005A189A" w:rsidRDefault="00B477B7" w:rsidP="008342C3">
      <w:pPr>
        <w:pStyle w:val="Prrafodelista"/>
        <w:spacing w:line="360" w:lineRule="auto"/>
        <w:rPr>
          <w:rFonts w:ascii="Palatino Linotype" w:eastAsia="Palatino Linotype" w:hAnsi="Palatino Linotype" w:cs="Palatino Linotype"/>
        </w:rPr>
      </w:pPr>
    </w:p>
    <w:p w14:paraId="49A97250"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04933E35" w14:textId="77777777" w:rsidR="00B477B7" w:rsidRPr="005A189A" w:rsidRDefault="00B477B7" w:rsidP="008342C3">
      <w:pPr>
        <w:spacing w:line="360" w:lineRule="auto"/>
        <w:ind w:left="720"/>
        <w:jc w:val="both"/>
        <w:rPr>
          <w:rFonts w:ascii="Palatino Linotype" w:eastAsia="Palatino Linotype" w:hAnsi="Palatino Linotype" w:cs="Palatino Linotype"/>
        </w:rPr>
      </w:pPr>
    </w:p>
    <w:p w14:paraId="1FC6343F" w14:textId="77777777" w:rsidR="00D93AD3" w:rsidRPr="005A189A" w:rsidRDefault="00405A8F" w:rsidP="008342C3">
      <w:pPr>
        <w:spacing w:line="360" w:lineRule="auto"/>
        <w:ind w:left="72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11CF292F" w14:textId="77777777" w:rsidR="00D93AD3" w:rsidRPr="005A189A" w:rsidRDefault="00D93AD3" w:rsidP="008342C3">
      <w:pPr>
        <w:spacing w:line="360" w:lineRule="auto"/>
        <w:ind w:left="720"/>
        <w:jc w:val="both"/>
        <w:rPr>
          <w:rFonts w:ascii="Palatino Linotype" w:eastAsia="Palatino Linotype" w:hAnsi="Palatino Linotype" w:cs="Palatino Linotype"/>
        </w:rPr>
      </w:pPr>
    </w:p>
    <w:p w14:paraId="536BB0D0" w14:textId="77777777" w:rsidR="00D93AD3" w:rsidRPr="005A189A" w:rsidRDefault="00405A8F" w:rsidP="008342C3">
      <w:pPr>
        <w:spacing w:line="360" w:lineRule="auto"/>
        <w:ind w:left="720"/>
        <w:jc w:val="both"/>
        <w:rPr>
          <w:rFonts w:ascii="Palatino Linotype" w:eastAsia="Palatino Linotype" w:hAnsi="Palatino Linotype" w:cs="Palatino Linotype"/>
        </w:rPr>
      </w:pPr>
      <w:r w:rsidRPr="005A189A">
        <w:rPr>
          <w:rFonts w:ascii="Palatino Linotype" w:eastAsia="Palatino Linotype" w:hAnsi="Palatino Linotype" w:cs="Palatino Linotype"/>
        </w:rPr>
        <w:t>b) Actividad Procesal del interesado. Acciones u omisiones del interesado.</w:t>
      </w:r>
    </w:p>
    <w:p w14:paraId="656AF300" w14:textId="77777777" w:rsidR="00D93AD3" w:rsidRPr="005A189A" w:rsidRDefault="00D93AD3" w:rsidP="008342C3">
      <w:pPr>
        <w:spacing w:line="360" w:lineRule="auto"/>
        <w:ind w:left="720"/>
        <w:jc w:val="both"/>
        <w:rPr>
          <w:rFonts w:ascii="Palatino Linotype" w:eastAsia="Palatino Linotype" w:hAnsi="Palatino Linotype" w:cs="Palatino Linotype"/>
        </w:rPr>
      </w:pPr>
    </w:p>
    <w:p w14:paraId="52F9463A" w14:textId="77777777" w:rsidR="00D93AD3" w:rsidRPr="005A189A" w:rsidRDefault="00405A8F" w:rsidP="008342C3">
      <w:pPr>
        <w:spacing w:line="360" w:lineRule="auto"/>
        <w:ind w:left="72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14:paraId="4008093E" w14:textId="77777777" w:rsidR="002B517D" w:rsidRPr="005A189A" w:rsidRDefault="002B517D" w:rsidP="008342C3">
      <w:pPr>
        <w:spacing w:line="360" w:lineRule="auto"/>
        <w:ind w:left="720"/>
        <w:jc w:val="both"/>
        <w:rPr>
          <w:rFonts w:ascii="Palatino Linotype" w:eastAsia="Palatino Linotype" w:hAnsi="Palatino Linotype" w:cs="Palatino Linotype"/>
        </w:rPr>
      </w:pPr>
    </w:p>
    <w:p w14:paraId="0F577820" w14:textId="77777777" w:rsidR="00D93AD3" w:rsidRPr="005A189A" w:rsidRDefault="00405A8F" w:rsidP="008342C3">
      <w:pPr>
        <w:spacing w:line="360" w:lineRule="auto"/>
        <w:ind w:left="72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29A82CFB" w14:textId="77777777" w:rsidR="00F65397" w:rsidRPr="005A189A" w:rsidRDefault="00F65397" w:rsidP="008342C3">
      <w:pPr>
        <w:spacing w:line="360" w:lineRule="auto"/>
        <w:ind w:left="720"/>
        <w:jc w:val="both"/>
        <w:rPr>
          <w:rFonts w:ascii="Palatino Linotype" w:eastAsia="Palatino Linotype" w:hAnsi="Palatino Linotype" w:cs="Palatino Linotype"/>
        </w:rPr>
      </w:pPr>
    </w:p>
    <w:p w14:paraId="33D26C5B"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2A93AA5D"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lastRenderedPageBreak/>
        <w:t>Argumento que encuentra sustento en la jurisprudencia P</w:t>
      </w:r>
      <w:proofErr w:type="gramStart"/>
      <w:r w:rsidRPr="005A189A">
        <w:rPr>
          <w:rFonts w:ascii="Palatino Linotype" w:eastAsia="Palatino Linotype" w:hAnsi="Palatino Linotype" w:cs="Palatino Linotype"/>
        </w:rPr>
        <w:t>./</w:t>
      </w:r>
      <w:proofErr w:type="gramEnd"/>
      <w:r w:rsidRPr="005A189A">
        <w:rPr>
          <w:rFonts w:ascii="Palatino Linotype" w:eastAsia="Palatino Linotype" w:hAnsi="Palatino Linotype" w:cs="Palatino Linotype"/>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7DFB7A50" w14:textId="77777777" w:rsidR="00D93AD3" w:rsidRPr="005A189A" w:rsidRDefault="00D93AD3" w:rsidP="008342C3">
      <w:pPr>
        <w:spacing w:line="360" w:lineRule="auto"/>
        <w:jc w:val="both"/>
        <w:rPr>
          <w:rFonts w:ascii="Palatino Linotype" w:eastAsia="Palatino Linotype" w:hAnsi="Palatino Linotype" w:cs="Palatino Linotype"/>
        </w:rPr>
      </w:pPr>
    </w:p>
    <w:p w14:paraId="339048AC"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5A189A">
        <w:rPr>
          <w:rFonts w:ascii="Palatino Linotype" w:hAnsi="Palatino Linotype"/>
        </w:rPr>
        <w:t xml:space="preserve"> </w:t>
      </w:r>
      <w:r w:rsidRPr="005A189A">
        <w:rPr>
          <w:rFonts w:ascii="Palatino Linotype" w:eastAsia="Palatino Linotype" w:hAnsi="Palatino Linotype" w:cs="Palatino Linotype"/>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4140C0D5" w14:textId="77777777" w:rsidR="003973CD" w:rsidRPr="005A189A" w:rsidRDefault="003973CD" w:rsidP="008342C3">
      <w:pPr>
        <w:pStyle w:val="Prrafodelista"/>
        <w:spacing w:line="360" w:lineRule="auto"/>
        <w:rPr>
          <w:rFonts w:ascii="Palatino Linotype" w:eastAsia="Palatino Linotype" w:hAnsi="Palatino Linotype" w:cs="Palatino Linotype"/>
        </w:rPr>
      </w:pPr>
    </w:p>
    <w:p w14:paraId="6C3276C1"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p>
    <w:p w14:paraId="6702BFF9" w14:textId="77777777" w:rsidR="00D93AD3" w:rsidRPr="005A189A" w:rsidRDefault="00405A8F" w:rsidP="008342C3">
      <w:pPr>
        <w:spacing w:line="360" w:lineRule="auto"/>
        <w:ind w:left="567" w:right="616"/>
        <w:jc w:val="both"/>
        <w:rPr>
          <w:rFonts w:ascii="Palatino Linotype" w:eastAsia="Palatino Linotype" w:hAnsi="Palatino Linotype" w:cs="Palatino Linotype"/>
          <w:i/>
        </w:rPr>
      </w:pPr>
      <w:r w:rsidRPr="005A189A">
        <w:rPr>
          <w:rFonts w:ascii="Palatino Linotype" w:eastAsia="Palatino Linotype" w:hAnsi="Palatino Linotype" w:cs="Palatino Linotype"/>
          <w:i/>
        </w:rPr>
        <w:t xml:space="preserve">“PLAZO RAZONABLE PARA RESOLVER. DIMENSIÓN Y EFECTOS DE ESTE CONCEPTO CUANDO SE ADUCE EXCESIVA CARGA DE </w:t>
      </w:r>
      <w:r w:rsidRPr="005A189A">
        <w:rPr>
          <w:rFonts w:ascii="Palatino Linotype" w:eastAsia="Palatino Linotype" w:hAnsi="Palatino Linotype" w:cs="Palatino Linotype"/>
          <w:i/>
        </w:rPr>
        <w:lastRenderedPageBreak/>
        <w:t xml:space="preserve">TRABAJO.” consultable en el Seminario Judicial de la Federación y su gaceta, con el registro digital 2002351. </w:t>
      </w:r>
    </w:p>
    <w:p w14:paraId="6F8BA904" w14:textId="77777777" w:rsidR="00D93AD3" w:rsidRPr="005A189A" w:rsidRDefault="00D93AD3" w:rsidP="008342C3">
      <w:pPr>
        <w:spacing w:line="360" w:lineRule="auto"/>
        <w:ind w:left="567" w:right="616"/>
        <w:jc w:val="both"/>
        <w:rPr>
          <w:rFonts w:ascii="Palatino Linotype" w:eastAsia="Palatino Linotype" w:hAnsi="Palatino Linotype" w:cs="Palatino Linotype"/>
          <w:i/>
        </w:rPr>
      </w:pPr>
    </w:p>
    <w:p w14:paraId="5BDFFE6E" w14:textId="77777777" w:rsidR="00D93AD3" w:rsidRPr="005A189A" w:rsidRDefault="00405A8F" w:rsidP="008342C3">
      <w:pPr>
        <w:spacing w:line="360" w:lineRule="auto"/>
        <w:ind w:left="567" w:right="616"/>
        <w:jc w:val="both"/>
        <w:rPr>
          <w:rFonts w:ascii="Palatino Linotype" w:eastAsia="Palatino Linotype" w:hAnsi="Palatino Linotype" w:cs="Palatino Linotype"/>
          <w:i/>
        </w:rPr>
      </w:pPr>
      <w:r w:rsidRPr="005A189A">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3B30A517" w14:textId="77777777" w:rsidR="00D93AD3" w:rsidRPr="005A189A" w:rsidRDefault="00D93AD3" w:rsidP="008342C3">
      <w:pPr>
        <w:spacing w:line="360" w:lineRule="auto"/>
        <w:jc w:val="both"/>
        <w:rPr>
          <w:rFonts w:ascii="Palatino Linotype" w:eastAsia="Palatino Linotype" w:hAnsi="Palatino Linotype" w:cs="Palatino Linotype"/>
        </w:rPr>
      </w:pPr>
    </w:p>
    <w:p w14:paraId="543A491B"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Por ello, este Organismo Garante comprometido con la tutela de los derechos humanos confiados, señala que este exceso del plazo legal para resolver el presente asunto, resulta de carácter excepcional. </w:t>
      </w:r>
    </w:p>
    <w:p w14:paraId="5B138446" w14:textId="77777777" w:rsidR="00D93AD3" w:rsidRPr="005A189A" w:rsidRDefault="00D93AD3" w:rsidP="008342C3">
      <w:pPr>
        <w:spacing w:line="360" w:lineRule="auto"/>
        <w:jc w:val="both"/>
        <w:rPr>
          <w:rFonts w:ascii="Palatino Linotype" w:eastAsia="Palatino Linotype" w:hAnsi="Palatino Linotype" w:cs="Palatino Linotype"/>
        </w:rPr>
      </w:pPr>
    </w:p>
    <w:p w14:paraId="16C647C0"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4FBB4DD1" w14:textId="77777777" w:rsidR="002B517D" w:rsidRPr="005A189A" w:rsidRDefault="002B517D" w:rsidP="008342C3">
      <w:pPr>
        <w:pStyle w:val="Prrafodelista"/>
        <w:rPr>
          <w:rFonts w:ascii="Palatino Linotype" w:eastAsia="Palatino Linotype" w:hAnsi="Palatino Linotype" w:cs="Palatino Linotype"/>
        </w:rPr>
      </w:pPr>
    </w:p>
    <w:p w14:paraId="5FA52630" w14:textId="77777777" w:rsidR="00D93AD3" w:rsidRPr="005A189A" w:rsidRDefault="00405A8F" w:rsidP="008342C3">
      <w:pPr>
        <w:jc w:val="center"/>
        <w:rPr>
          <w:rFonts w:ascii="Palatino Linotype" w:eastAsia="Palatino Linotype" w:hAnsi="Palatino Linotype" w:cs="Palatino Linotype"/>
          <w:b/>
        </w:rPr>
      </w:pPr>
      <w:r w:rsidRPr="005A189A">
        <w:rPr>
          <w:rFonts w:ascii="Palatino Linotype" w:eastAsia="Palatino Linotype" w:hAnsi="Palatino Linotype" w:cs="Palatino Linotype"/>
          <w:b/>
        </w:rPr>
        <w:t>C O N S I D E R A N D O S</w:t>
      </w:r>
    </w:p>
    <w:p w14:paraId="5DB6E26B" w14:textId="77777777" w:rsidR="00D93AD3" w:rsidRPr="005A189A" w:rsidRDefault="00D93AD3" w:rsidP="008342C3">
      <w:pPr>
        <w:widowControl w:val="0"/>
        <w:pBdr>
          <w:top w:val="nil"/>
          <w:left w:val="nil"/>
          <w:bottom w:val="nil"/>
          <w:right w:val="nil"/>
          <w:between w:val="nil"/>
        </w:pBdr>
        <w:jc w:val="both"/>
        <w:rPr>
          <w:rFonts w:ascii="Palatino Linotype" w:eastAsia="Palatino Linotype" w:hAnsi="Palatino Linotype" w:cs="Palatino Linotype"/>
        </w:rPr>
      </w:pPr>
    </w:p>
    <w:p w14:paraId="4C18FAB0"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Primero. Competencia.</w:t>
      </w:r>
      <w:r w:rsidRPr="005A189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w:t>
      </w:r>
      <w:r w:rsidRPr="005A189A">
        <w:rPr>
          <w:rFonts w:ascii="Palatino Linotype" w:eastAsia="Palatino Linotype" w:hAnsi="Palatino Linotype" w:cs="Palatino Linotype"/>
        </w:rPr>
        <w:lastRenderedPageBreak/>
        <w:t>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75560747" w14:textId="77777777" w:rsidR="007E519B" w:rsidRPr="005A189A" w:rsidRDefault="007E519B" w:rsidP="008342C3">
      <w:pPr>
        <w:pStyle w:val="Prrafodelista"/>
        <w:spacing w:line="360" w:lineRule="auto"/>
        <w:ind w:left="0"/>
        <w:jc w:val="both"/>
        <w:rPr>
          <w:rFonts w:ascii="Palatino Linotype" w:eastAsia="Palatino Linotype" w:hAnsi="Palatino Linotype" w:cs="Palatino Linotype"/>
        </w:rPr>
      </w:pPr>
    </w:p>
    <w:p w14:paraId="00622ABB"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b/>
        </w:rPr>
        <w:t xml:space="preserve">Segundo. Oportunidad y </w:t>
      </w:r>
      <w:r w:rsidR="002B517D" w:rsidRPr="005A189A">
        <w:rPr>
          <w:rFonts w:ascii="Palatino Linotype" w:eastAsia="Palatino Linotype" w:hAnsi="Palatino Linotype" w:cs="Palatino Linotype"/>
          <w:b/>
        </w:rPr>
        <w:t>p</w:t>
      </w:r>
      <w:r w:rsidRPr="005A189A">
        <w:rPr>
          <w:rFonts w:ascii="Palatino Linotype" w:eastAsia="Palatino Linotype" w:hAnsi="Palatino Linotype" w:cs="Palatino Linotype"/>
          <w:b/>
        </w:rPr>
        <w:t>roced</w:t>
      </w:r>
      <w:r w:rsidR="002B517D" w:rsidRPr="005A189A">
        <w:rPr>
          <w:rFonts w:ascii="Palatino Linotype" w:eastAsia="Palatino Linotype" w:hAnsi="Palatino Linotype" w:cs="Palatino Linotype"/>
          <w:b/>
        </w:rPr>
        <w:t>encia</w:t>
      </w:r>
      <w:r w:rsidRPr="005A189A">
        <w:rPr>
          <w:rFonts w:ascii="Palatino Linotype" w:eastAsia="Palatino Linotype" w:hAnsi="Palatino Linotype" w:cs="Palatino Linotype"/>
          <w:b/>
        </w:rPr>
        <w:t>.</w:t>
      </w:r>
      <w:r w:rsidR="007E519B" w:rsidRPr="005A189A">
        <w:rPr>
          <w:rFonts w:ascii="Palatino Linotype" w:eastAsia="Palatino Linotype" w:hAnsi="Palatino Linotype" w:cs="Palatino Linotype"/>
        </w:rPr>
        <w:t xml:space="preserve"> El R</w:t>
      </w:r>
      <w:r w:rsidRPr="005A189A">
        <w:rPr>
          <w:rFonts w:ascii="Palatino Linotype" w:eastAsia="Palatino Linotype" w:hAnsi="Palatino Linotype" w:cs="Palatino Linotype"/>
        </w:rPr>
        <w:t xml:space="preserve">ecurso de </w:t>
      </w:r>
      <w:r w:rsidR="007E519B"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510DE5D4" w14:textId="77777777" w:rsidR="00D93AD3" w:rsidRPr="005A189A" w:rsidRDefault="00D93AD3" w:rsidP="008342C3">
      <w:pPr>
        <w:spacing w:line="360" w:lineRule="auto"/>
        <w:jc w:val="both"/>
        <w:rPr>
          <w:rFonts w:ascii="Palatino Linotype" w:eastAsia="Palatino Linotype" w:hAnsi="Palatino Linotype" w:cs="Palatino Linotype"/>
        </w:rPr>
      </w:pPr>
    </w:p>
    <w:p w14:paraId="1D36E211" w14:textId="77777777" w:rsidR="00D93AD3" w:rsidRPr="005A189A" w:rsidRDefault="00405A8F" w:rsidP="008342C3">
      <w:pPr>
        <w:spacing w:line="360" w:lineRule="auto"/>
        <w:ind w:left="567" w:right="616"/>
        <w:jc w:val="both"/>
        <w:rPr>
          <w:rFonts w:ascii="Palatino Linotype" w:eastAsia="Palatino Linotype" w:hAnsi="Palatino Linotype" w:cs="Palatino Linotype"/>
          <w:i/>
        </w:rPr>
      </w:pPr>
      <w:r w:rsidRPr="005A189A">
        <w:rPr>
          <w:rFonts w:ascii="Palatino Linotype" w:eastAsia="Palatino Linotype" w:hAnsi="Palatino Linotype" w:cs="Palatino Linotype"/>
          <w:i/>
        </w:rPr>
        <w:t>“</w:t>
      </w:r>
      <w:r w:rsidRPr="005A189A">
        <w:rPr>
          <w:rFonts w:ascii="Palatino Linotype" w:eastAsia="Palatino Linotype" w:hAnsi="Palatino Linotype" w:cs="Palatino Linotype"/>
          <w:b/>
          <w:i/>
        </w:rPr>
        <w:t>Artículo 128.</w:t>
      </w:r>
      <w:r w:rsidRPr="005A189A">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5D8B6530" w14:textId="77777777" w:rsidR="00D93AD3" w:rsidRPr="005A189A" w:rsidRDefault="00D93AD3" w:rsidP="008342C3">
      <w:pPr>
        <w:spacing w:line="360" w:lineRule="auto"/>
        <w:ind w:left="567" w:right="616"/>
        <w:jc w:val="both"/>
        <w:rPr>
          <w:rFonts w:ascii="Palatino Linotype" w:eastAsia="Palatino Linotype" w:hAnsi="Palatino Linotype" w:cs="Palatino Linotype"/>
          <w:i/>
        </w:rPr>
      </w:pPr>
    </w:p>
    <w:p w14:paraId="47B5D96C" w14:textId="77777777" w:rsidR="00D93AD3" w:rsidRPr="005A189A" w:rsidRDefault="00405A8F" w:rsidP="008342C3">
      <w:pPr>
        <w:spacing w:line="360" w:lineRule="auto"/>
        <w:ind w:left="567" w:right="616"/>
        <w:jc w:val="both"/>
        <w:rPr>
          <w:rFonts w:ascii="Palatino Linotype" w:eastAsia="Palatino Linotype" w:hAnsi="Palatino Linotype" w:cs="Palatino Linotype"/>
          <w:i/>
        </w:rPr>
      </w:pPr>
      <w:r w:rsidRPr="005A189A">
        <w:rPr>
          <w:rFonts w:ascii="Palatino Linotype" w:eastAsia="Palatino Linotype" w:hAnsi="Palatino Linotype" w:cs="Palatino Linotype"/>
          <w:i/>
        </w:rPr>
        <w:lastRenderedPageBreak/>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2662EF29" w14:textId="77777777" w:rsidR="00E75B51" w:rsidRPr="005A189A" w:rsidRDefault="00E75B51" w:rsidP="008342C3">
      <w:pPr>
        <w:spacing w:line="360" w:lineRule="auto"/>
        <w:ind w:left="567" w:right="616"/>
        <w:jc w:val="both"/>
        <w:rPr>
          <w:rFonts w:ascii="Palatino Linotype" w:eastAsia="Palatino Linotype" w:hAnsi="Palatino Linotype" w:cs="Palatino Linotype"/>
          <w:i/>
        </w:rPr>
      </w:pPr>
    </w:p>
    <w:p w14:paraId="3C7DB317"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En esa tesitura, atendiendo a que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notificó la respuesta a la solicitud de acceso a datos personales el </w:t>
      </w:r>
      <w:r w:rsidR="00E75B51" w:rsidRPr="005A189A">
        <w:rPr>
          <w:rFonts w:ascii="Palatino Linotype" w:eastAsia="Palatino Linotype" w:hAnsi="Palatino Linotype" w:cs="Palatino Linotype"/>
          <w:b/>
        </w:rPr>
        <w:t>trece de febrero</w:t>
      </w:r>
      <w:r w:rsidRPr="005A189A">
        <w:rPr>
          <w:rFonts w:ascii="Palatino Linotype" w:eastAsia="Palatino Linotype" w:hAnsi="Palatino Linotype" w:cs="Palatino Linotype"/>
          <w:b/>
        </w:rPr>
        <w:t xml:space="preserve"> de dos mil </w:t>
      </w:r>
      <w:r w:rsidR="003475BC" w:rsidRPr="005A189A">
        <w:rPr>
          <w:rFonts w:ascii="Palatino Linotype" w:eastAsia="Palatino Linotype" w:hAnsi="Palatino Linotype" w:cs="Palatino Linotype"/>
          <w:b/>
        </w:rPr>
        <w:t>veintitrés</w:t>
      </w:r>
      <w:r w:rsidRPr="005A189A">
        <w:rPr>
          <w:rFonts w:ascii="Palatino Linotype" w:eastAsia="Palatino Linotype" w:hAnsi="Palatino Linotype" w:cs="Palatino Linotype"/>
        </w:rPr>
        <w:t xml:space="preserve">, el plazo de quince días hábiles que contempla el artículo 128 de la Ley de Protección de Datos Personales en Posesión de Sujetos Obligados del Estado de México y Municipios, transcurrió </w:t>
      </w:r>
      <w:r w:rsidR="003465BD" w:rsidRPr="005A189A">
        <w:rPr>
          <w:rFonts w:ascii="Palatino Linotype" w:eastAsia="Palatino Linotype" w:hAnsi="Palatino Linotype" w:cs="Palatino Linotype"/>
          <w:b/>
        </w:rPr>
        <w:t xml:space="preserve">del </w:t>
      </w:r>
      <w:r w:rsidR="00E75B51" w:rsidRPr="005A189A">
        <w:rPr>
          <w:rFonts w:ascii="Palatino Linotype" w:eastAsia="Palatino Linotype" w:hAnsi="Palatino Linotype" w:cs="Palatino Linotype"/>
          <w:b/>
        </w:rPr>
        <w:t xml:space="preserve">catorce febrero </w:t>
      </w:r>
      <w:r w:rsidR="00B477B7" w:rsidRPr="005A189A">
        <w:rPr>
          <w:rFonts w:ascii="Palatino Linotype" w:eastAsia="Palatino Linotype" w:hAnsi="Palatino Linotype" w:cs="Palatino Linotype"/>
          <w:b/>
        </w:rPr>
        <w:t xml:space="preserve">al </w:t>
      </w:r>
      <w:r w:rsidR="00E75B51" w:rsidRPr="005A189A">
        <w:rPr>
          <w:rFonts w:ascii="Palatino Linotype" w:eastAsia="Palatino Linotype" w:hAnsi="Palatino Linotype" w:cs="Palatino Linotype"/>
          <w:b/>
        </w:rPr>
        <w:t>seis de marzo</w:t>
      </w:r>
      <w:r w:rsidR="00B477B7" w:rsidRPr="005A189A">
        <w:rPr>
          <w:rFonts w:ascii="Palatino Linotype" w:eastAsia="Palatino Linotype" w:hAnsi="Palatino Linotype" w:cs="Palatino Linotype"/>
          <w:b/>
        </w:rPr>
        <w:t xml:space="preserve"> de dos mil veintitrés</w:t>
      </w:r>
      <w:r w:rsidRPr="005A189A">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3D4C3FDD" w14:textId="77777777" w:rsidR="00D93AD3" w:rsidRPr="005A189A" w:rsidRDefault="00D93AD3" w:rsidP="008342C3">
      <w:pPr>
        <w:spacing w:line="360" w:lineRule="auto"/>
        <w:jc w:val="both"/>
        <w:rPr>
          <w:rFonts w:ascii="Palatino Linotype" w:eastAsia="Palatino Linotype" w:hAnsi="Palatino Linotype" w:cs="Palatino Linotype"/>
        </w:rPr>
      </w:pPr>
    </w:p>
    <w:p w14:paraId="313AD834"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Con base a esta cronología, si el </w:t>
      </w:r>
      <w:r w:rsidR="003465BD"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ecurso de </w:t>
      </w:r>
      <w:r w:rsidR="003465BD" w:rsidRPr="005A189A">
        <w:rPr>
          <w:rFonts w:ascii="Palatino Linotype" w:eastAsia="Palatino Linotype" w:hAnsi="Palatino Linotype" w:cs="Palatino Linotype"/>
        </w:rPr>
        <w:t>R</w:t>
      </w:r>
      <w:r w:rsidRPr="005A189A">
        <w:rPr>
          <w:rFonts w:ascii="Palatino Linotype" w:eastAsia="Palatino Linotype" w:hAnsi="Palatino Linotype" w:cs="Palatino Linotype"/>
        </w:rPr>
        <w:t xml:space="preserve">evisión que nos ocupa se interpuso el </w:t>
      </w:r>
      <w:r w:rsidR="00E75B51" w:rsidRPr="005A189A">
        <w:rPr>
          <w:rFonts w:ascii="Palatino Linotype" w:eastAsia="Palatino Linotype" w:hAnsi="Palatino Linotype" w:cs="Palatino Linotype"/>
          <w:b/>
        </w:rPr>
        <w:t xml:space="preserve">diecinueve </w:t>
      </w:r>
      <w:r w:rsidR="00B477B7" w:rsidRPr="005A189A">
        <w:rPr>
          <w:rFonts w:ascii="Palatino Linotype" w:eastAsia="Palatino Linotype" w:hAnsi="Palatino Linotype" w:cs="Palatino Linotype"/>
          <w:b/>
        </w:rPr>
        <w:t xml:space="preserve">de </w:t>
      </w:r>
      <w:r w:rsidR="00E75B51" w:rsidRPr="005A189A">
        <w:rPr>
          <w:rFonts w:ascii="Palatino Linotype" w:eastAsia="Palatino Linotype" w:hAnsi="Palatino Linotype" w:cs="Palatino Linotype"/>
          <w:b/>
        </w:rPr>
        <w:t>febrer</w:t>
      </w:r>
      <w:r w:rsidR="00B477B7" w:rsidRPr="005A189A">
        <w:rPr>
          <w:rFonts w:ascii="Palatino Linotype" w:eastAsia="Palatino Linotype" w:hAnsi="Palatino Linotype" w:cs="Palatino Linotype"/>
          <w:b/>
        </w:rPr>
        <w:t>o</w:t>
      </w:r>
      <w:r w:rsidRPr="005A189A">
        <w:rPr>
          <w:rFonts w:ascii="Palatino Linotype" w:eastAsia="Palatino Linotype" w:hAnsi="Palatino Linotype" w:cs="Palatino Linotype"/>
          <w:b/>
        </w:rPr>
        <w:t xml:space="preserve"> de dos mil </w:t>
      </w:r>
      <w:r w:rsidR="00E75B51" w:rsidRPr="005A189A">
        <w:rPr>
          <w:rFonts w:ascii="Palatino Linotype" w:eastAsia="Palatino Linotype" w:hAnsi="Palatino Linotype" w:cs="Palatino Linotype"/>
          <w:b/>
        </w:rPr>
        <w:t>veinticuatro</w:t>
      </w:r>
      <w:r w:rsidR="003465BD" w:rsidRPr="005A189A">
        <w:rPr>
          <w:rFonts w:ascii="Palatino Linotype" w:eastAsia="Palatino Linotype" w:hAnsi="Palatino Linotype" w:cs="Palatino Linotype"/>
        </w:rPr>
        <w:t xml:space="preserve">; es decir, al </w:t>
      </w:r>
      <w:r w:rsidR="00E75B51" w:rsidRPr="005A189A">
        <w:rPr>
          <w:rFonts w:ascii="Palatino Linotype" w:eastAsia="Palatino Linotype" w:hAnsi="Palatino Linotype" w:cs="Palatino Linotype"/>
        </w:rPr>
        <w:t>cuarto</w:t>
      </w:r>
      <w:r w:rsidR="003465BD" w:rsidRPr="005A189A">
        <w:rPr>
          <w:rFonts w:ascii="Palatino Linotype" w:eastAsia="Palatino Linotype" w:hAnsi="Palatino Linotype" w:cs="Palatino Linotype"/>
        </w:rPr>
        <w:t xml:space="preserve"> día hábil </w:t>
      </w:r>
      <w:r w:rsidRPr="005A189A">
        <w:rPr>
          <w:rFonts w:ascii="Palatino Linotype" w:eastAsia="Palatino Linotype" w:hAnsi="Palatino Linotype" w:cs="Palatino Linotype"/>
        </w:rPr>
        <w:t xml:space="preserve">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14:paraId="39851157" w14:textId="77777777" w:rsidR="00D93AD3" w:rsidRPr="005A189A" w:rsidRDefault="00D93AD3" w:rsidP="008342C3">
      <w:pPr>
        <w:spacing w:line="360" w:lineRule="auto"/>
        <w:jc w:val="both"/>
        <w:rPr>
          <w:rFonts w:ascii="Palatino Linotype" w:eastAsia="Palatino Linotype" w:hAnsi="Palatino Linotype" w:cs="Palatino Linotype"/>
        </w:rPr>
      </w:pPr>
    </w:p>
    <w:p w14:paraId="40F71743" w14:textId="77777777" w:rsidR="00A364A7" w:rsidRPr="005A189A" w:rsidRDefault="00405A8F" w:rsidP="008342C3">
      <w:pPr>
        <w:pStyle w:val="Prrafodelista"/>
        <w:numPr>
          <w:ilvl w:val="0"/>
          <w:numId w:val="5"/>
        </w:numPr>
        <w:spacing w:line="360" w:lineRule="auto"/>
        <w:ind w:left="0" w:firstLine="0"/>
        <w:jc w:val="both"/>
        <w:rPr>
          <w:rFonts w:ascii="Palatino Linotype" w:eastAsia="Calibri" w:hAnsi="Palatino Linotype" w:cs="Arial"/>
        </w:rPr>
      </w:pPr>
      <w:r w:rsidRPr="005A189A">
        <w:rPr>
          <w:rFonts w:ascii="Palatino Linotype" w:eastAsia="Palatino Linotype" w:hAnsi="Palatino Linotype" w:cs="Palatino Linotype"/>
          <w:b/>
        </w:rPr>
        <w:t xml:space="preserve">Tercero. </w:t>
      </w:r>
      <w:r w:rsidR="00934419" w:rsidRPr="005A189A">
        <w:rPr>
          <w:rFonts w:ascii="Palatino Linotype" w:eastAsia="Palatino Linotype" w:hAnsi="Palatino Linotype" w:cs="Palatino Linotype"/>
          <w:b/>
        </w:rPr>
        <w:t>De las causales de sobreseimiento</w:t>
      </w:r>
      <w:r w:rsidRPr="005A189A">
        <w:rPr>
          <w:rFonts w:ascii="Palatino Linotype" w:eastAsia="Palatino Linotype" w:hAnsi="Palatino Linotype" w:cs="Palatino Linotype"/>
          <w:b/>
        </w:rPr>
        <w:t xml:space="preserve">. </w:t>
      </w:r>
      <w:r w:rsidR="00A364A7" w:rsidRPr="005A189A">
        <w:rPr>
          <w:rFonts w:ascii="Palatino Linotype" w:eastAsiaTheme="minorHAnsi" w:hAnsi="Palatino Linotype" w:cs="Arial"/>
          <w:lang w:eastAsia="en-US"/>
        </w:rPr>
        <w:t xml:space="preserve">El recurso revisión tiene como finalidad reparar cualquier posible afectación al derecho de acceso a la información </w:t>
      </w:r>
      <w:r w:rsidR="00A364A7" w:rsidRPr="005A189A">
        <w:rPr>
          <w:rFonts w:ascii="Palatino Linotype" w:eastAsiaTheme="minorHAnsi" w:hAnsi="Palatino Linotype" w:cs="Arial"/>
          <w:lang w:eastAsia="en-US"/>
        </w:rPr>
        <w:lastRenderedPageBreak/>
        <w:t xml:space="preserve">pública en términos del Título Octavo de la Ley de </w:t>
      </w:r>
      <w:r w:rsidR="00A364A7" w:rsidRPr="005A189A">
        <w:rPr>
          <w:rFonts w:ascii="Palatino Linotype" w:eastAsia="Palatino Linotype" w:hAnsi="Palatino Linotype" w:cs="Palatino Linotype"/>
        </w:rPr>
        <w:t>Transparencia</w:t>
      </w:r>
      <w:r w:rsidR="00A364A7" w:rsidRPr="005A189A">
        <w:rPr>
          <w:rFonts w:ascii="Palatino Linotype" w:eastAsiaTheme="minorHAnsi" w:hAnsi="Palatino Linotype" w:cs="Arial"/>
          <w:lang w:eastAsia="en-US"/>
        </w:rPr>
        <w:t xml:space="preserve">, Acceso a la Información Pública del Estado de México y Municipios, y determinar la confirmación; revocación o modificación; desechamiento o sobreseimiento; y en su caso ordenar la entrega de la información con respecto a la respuesta emitida por el </w:t>
      </w:r>
      <w:r w:rsidR="00A364A7" w:rsidRPr="005A189A">
        <w:rPr>
          <w:rFonts w:ascii="Palatino Linotype" w:eastAsiaTheme="minorHAnsi" w:hAnsi="Palatino Linotype" w:cs="Arial"/>
          <w:b/>
          <w:lang w:eastAsia="en-US"/>
        </w:rPr>
        <w:t>Sujeto Obligado</w:t>
      </w:r>
      <w:r w:rsidR="00A364A7" w:rsidRPr="005A189A">
        <w:rPr>
          <w:rFonts w:ascii="Palatino Linotype" w:eastAsiaTheme="minorHAnsi" w:hAnsi="Palatino Linotype" w:cs="Arial"/>
          <w:lang w:eastAsia="en-US"/>
        </w:rPr>
        <w:t>.</w:t>
      </w:r>
    </w:p>
    <w:p w14:paraId="62444B51" w14:textId="77777777" w:rsidR="00E75B51" w:rsidRPr="005A189A" w:rsidRDefault="00E75B51" w:rsidP="008342C3">
      <w:pPr>
        <w:pStyle w:val="Prrafodelista"/>
        <w:spacing w:line="360" w:lineRule="auto"/>
        <w:rPr>
          <w:rFonts w:ascii="Palatino Linotype" w:eastAsia="Calibri" w:hAnsi="Palatino Linotype" w:cs="Arial"/>
        </w:rPr>
      </w:pPr>
    </w:p>
    <w:p w14:paraId="710A446E" w14:textId="77777777" w:rsidR="00A364A7" w:rsidRPr="005A189A" w:rsidRDefault="00A364A7" w:rsidP="008342C3">
      <w:pPr>
        <w:pStyle w:val="Prrafodelista"/>
        <w:numPr>
          <w:ilvl w:val="0"/>
          <w:numId w:val="5"/>
        </w:numPr>
        <w:spacing w:line="360" w:lineRule="auto"/>
        <w:ind w:left="0" w:firstLine="0"/>
        <w:jc w:val="both"/>
        <w:rPr>
          <w:rFonts w:ascii="Palatino Linotype" w:eastAsia="Calibri" w:hAnsi="Palatino Linotype" w:cs="Arial"/>
        </w:rPr>
      </w:pPr>
      <w:r w:rsidRPr="005A189A">
        <w:rPr>
          <w:rFonts w:ascii="Palatino Linotype" w:eastAsia="Calibri" w:hAnsi="Palatino Linotype" w:cs="Arial"/>
        </w:rPr>
        <w:t xml:space="preserve">En una aproximación inicial, vale la pena mencionar que el ejercicio de los derechos </w:t>
      </w:r>
      <w:r w:rsidRPr="005A189A">
        <w:rPr>
          <w:rFonts w:ascii="Palatino Linotype" w:eastAsia="Calibri" w:hAnsi="Palatino Linotype" w:cs="Arial"/>
          <w:b/>
        </w:rPr>
        <w:t xml:space="preserve">ARCO </w:t>
      </w:r>
      <w:r w:rsidRPr="005A189A">
        <w:rPr>
          <w:rFonts w:ascii="Palatino Linotype" w:eastAsia="Calibri" w:hAnsi="Palatino Linotype" w:cs="Arial"/>
        </w:rPr>
        <w:t xml:space="preserve">se </w:t>
      </w:r>
      <w:r w:rsidRPr="005A189A">
        <w:rPr>
          <w:rFonts w:ascii="Palatino Linotype" w:eastAsiaTheme="minorHAnsi" w:hAnsi="Palatino Linotype" w:cs="Arial"/>
          <w:lang w:eastAsia="en-US"/>
        </w:rPr>
        <w:t>encuentra</w:t>
      </w:r>
      <w:r w:rsidRPr="005A189A">
        <w:rPr>
          <w:rFonts w:ascii="Palatino Linotype" w:eastAsia="Calibri" w:hAnsi="Palatino Linotype" w:cs="Arial"/>
        </w:rPr>
        <w:t xml:space="preserve"> regulado por el artículo 6 apartado A, y 16, segundo párrafo, de la Constitución de los Estados Unidos Mexicanos, el cual establece que: </w:t>
      </w:r>
    </w:p>
    <w:p w14:paraId="31F02048" w14:textId="77777777" w:rsidR="00A364A7" w:rsidRPr="005A189A" w:rsidRDefault="00A364A7" w:rsidP="008342C3">
      <w:pPr>
        <w:widowControl w:val="0"/>
        <w:autoSpaceDE w:val="0"/>
        <w:autoSpaceDN w:val="0"/>
        <w:adjustRightInd w:val="0"/>
        <w:spacing w:line="360" w:lineRule="auto"/>
        <w:ind w:left="567" w:right="902"/>
        <w:jc w:val="both"/>
        <w:rPr>
          <w:rFonts w:ascii="Palatino Linotype" w:eastAsia="Calibri" w:hAnsi="Palatino Linotype" w:cs="Arial"/>
        </w:rPr>
      </w:pPr>
      <w:r w:rsidRPr="005A189A">
        <w:rPr>
          <w:rFonts w:ascii="Palatino Linotype" w:eastAsia="Calibri" w:hAnsi="Palatino Linotype" w:cs="Arial"/>
          <w:i/>
        </w:rPr>
        <w:t>“…Toda persona tiene derecho a la protección de sus datos personales</w:t>
      </w:r>
      <w:r w:rsidRPr="005A189A">
        <w:rPr>
          <w:rFonts w:ascii="Palatino Linotype" w:eastAsia="Calibri" w:hAnsi="Palatino Linotype" w:cs="Arial"/>
          <w:b/>
          <w:i/>
        </w:rPr>
        <w:t xml:space="preserve">, </w:t>
      </w:r>
      <w:r w:rsidRPr="005A189A">
        <w:rPr>
          <w:rFonts w:ascii="Palatino Linotype" w:eastAsia="Calibri" w:hAnsi="Palatino Linotype" w:cs="Arial"/>
          <w:b/>
          <w:i/>
          <w:u w:val="single"/>
        </w:rPr>
        <w:t>al acceso,</w:t>
      </w:r>
      <w:r w:rsidRPr="005A189A">
        <w:rPr>
          <w:rFonts w:ascii="Palatino Linotype" w:eastAsia="Calibri" w:hAnsi="Palatino Linotype" w:cs="Arial"/>
          <w:i/>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w:t>
      </w:r>
      <w:r w:rsidR="008342C3" w:rsidRPr="005A189A">
        <w:rPr>
          <w:rFonts w:ascii="Palatino Linotype" w:eastAsia="Calibri" w:hAnsi="Palatino Linotype" w:cs="Arial"/>
          <w:i/>
        </w:rPr>
        <w:t>eger los derechos de terceros.”</w:t>
      </w:r>
    </w:p>
    <w:p w14:paraId="6413286B" w14:textId="77777777" w:rsidR="00A364A7" w:rsidRPr="005A189A" w:rsidRDefault="00A364A7" w:rsidP="008342C3">
      <w:pPr>
        <w:widowControl w:val="0"/>
        <w:autoSpaceDE w:val="0"/>
        <w:autoSpaceDN w:val="0"/>
        <w:adjustRightInd w:val="0"/>
        <w:spacing w:line="360" w:lineRule="auto"/>
        <w:ind w:right="51"/>
        <w:jc w:val="both"/>
        <w:rPr>
          <w:rFonts w:ascii="Palatino Linotype" w:eastAsia="Calibri" w:hAnsi="Palatino Linotype" w:cs="Arial"/>
        </w:rPr>
      </w:pPr>
    </w:p>
    <w:p w14:paraId="4E028EE6" w14:textId="77777777" w:rsidR="00A364A7" w:rsidRPr="005A189A" w:rsidRDefault="00A364A7" w:rsidP="008342C3">
      <w:pPr>
        <w:pStyle w:val="Prrafodelista"/>
        <w:numPr>
          <w:ilvl w:val="0"/>
          <w:numId w:val="5"/>
        </w:numPr>
        <w:spacing w:line="360" w:lineRule="auto"/>
        <w:ind w:left="0" w:firstLine="0"/>
        <w:jc w:val="both"/>
        <w:rPr>
          <w:rFonts w:ascii="Palatino Linotype" w:eastAsia="Calibri" w:hAnsi="Palatino Linotype" w:cs="Arial"/>
        </w:rPr>
      </w:pPr>
      <w:r w:rsidRPr="005A189A">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5330FB53" w14:textId="77777777" w:rsidR="008342C3" w:rsidRPr="005A189A" w:rsidRDefault="008342C3" w:rsidP="008342C3">
      <w:pPr>
        <w:pStyle w:val="Prrafodelista"/>
        <w:spacing w:line="360" w:lineRule="auto"/>
        <w:ind w:left="0"/>
        <w:jc w:val="both"/>
        <w:rPr>
          <w:rFonts w:ascii="Palatino Linotype" w:eastAsia="Calibri" w:hAnsi="Palatino Linotype" w:cs="Arial"/>
        </w:rPr>
      </w:pPr>
    </w:p>
    <w:p w14:paraId="19267CF7" w14:textId="77777777" w:rsidR="00A364A7" w:rsidRPr="005A189A" w:rsidRDefault="00A364A7" w:rsidP="008342C3">
      <w:pPr>
        <w:pStyle w:val="Prrafodelista"/>
        <w:numPr>
          <w:ilvl w:val="0"/>
          <w:numId w:val="5"/>
        </w:numPr>
        <w:spacing w:line="360" w:lineRule="auto"/>
        <w:ind w:left="0" w:firstLine="0"/>
        <w:jc w:val="both"/>
        <w:rPr>
          <w:rFonts w:ascii="Palatino Linotype" w:eastAsia="Calibri" w:hAnsi="Palatino Linotype" w:cs="Arial"/>
        </w:rPr>
      </w:pPr>
      <w:r w:rsidRPr="005A189A">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7494D317"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i/>
        </w:rPr>
        <w:t>“</w:t>
      </w:r>
      <w:r w:rsidRPr="005A189A">
        <w:rPr>
          <w:rFonts w:ascii="Palatino Linotype" w:eastAsia="Calibri" w:hAnsi="Palatino Linotype" w:cs="Arial"/>
          <w:b/>
          <w:i/>
        </w:rPr>
        <w:t xml:space="preserve">Artículo 138. </w:t>
      </w:r>
      <w:r w:rsidRPr="005A189A">
        <w:rPr>
          <w:rFonts w:ascii="Palatino Linotype" w:eastAsia="Calibri" w:hAnsi="Palatino Linotype" w:cs="Arial"/>
          <w:i/>
        </w:rPr>
        <w:t xml:space="preserve">El recurso de revisión podrá ser desechado por improcedente cuando: </w:t>
      </w:r>
    </w:p>
    <w:p w14:paraId="0C72FE83"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i/>
        </w:rPr>
        <w:lastRenderedPageBreak/>
        <w:t xml:space="preserve"> </w:t>
      </w:r>
      <w:r w:rsidRPr="005A189A">
        <w:rPr>
          <w:rFonts w:ascii="Palatino Linotype" w:eastAsia="Calibri" w:hAnsi="Palatino Linotype" w:cs="Arial"/>
          <w:b/>
          <w:i/>
        </w:rPr>
        <w:t>I.</w:t>
      </w:r>
      <w:r w:rsidRPr="005A189A">
        <w:rPr>
          <w:rFonts w:ascii="Palatino Linotype" w:eastAsia="Calibri" w:hAnsi="Palatino Linotype" w:cs="Arial"/>
          <w:i/>
        </w:rPr>
        <w:t xml:space="preserve"> Sea extemporáneo por haber transcurrido el plazo establecido en el artículo 128 de la presente Ley. </w:t>
      </w:r>
    </w:p>
    <w:p w14:paraId="329AA375"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b/>
          <w:i/>
        </w:rPr>
        <w:t xml:space="preserve"> II.</w:t>
      </w:r>
      <w:r w:rsidRPr="005A189A">
        <w:rPr>
          <w:rFonts w:ascii="Palatino Linotype" w:eastAsia="Calibri" w:hAnsi="Palatino Linotype" w:cs="Arial"/>
          <w:i/>
        </w:rPr>
        <w:t xml:space="preserve"> El titular o su representante no acrediten debidamente su identidad y personalidad de este último. </w:t>
      </w:r>
    </w:p>
    <w:p w14:paraId="717D9E5C"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b/>
          <w:i/>
        </w:rPr>
        <w:t xml:space="preserve"> III.</w:t>
      </w:r>
      <w:r w:rsidRPr="005A189A">
        <w:rPr>
          <w:rFonts w:ascii="Palatino Linotype" w:eastAsia="Calibri" w:hAnsi="Palatino Linotype" w:cs="Arial"/>
          <w:i/>
        </w:rPr>
        <w:t xml:space="preserve"> El Instituto haya resuelto anteriormente en definitiva sobre la materia del mismo. </w:t>
      </w:r>
    </w:p>
    <w:p w14:paraId="7B312DF9"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b/>
          <w:i/>
        </w:rPr>
        <w:t xml:space="preserve"> IV.</w:t>
      </w:r>
      <w:r w:rsidRPr="005A189A">
        <w:rPr>
          <w:rFonts w:ascii="Palatino Linotype" w:eastAsia="Calibri" w:hAnsi="Palatino Linotype" w:cs="Arial"/>
          <w:i/>
        </w:rPr>
        <w:t xml:space="preserve"> No se actualice alguna de las causales del recurso de revisión previstas en el artículo 129 de la presente Ley. </w:t>
      </w:r>
    </w:p>
    <w:p w14:paraId="28BDA1B8"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b/>
          <w:i/>
        </w:rPr>
        <w:t>V.</w:t>
      </w:r>
      <w:r w:rsidRPr="005A189A">
        <w:rPr>
          <w:rFonts w:ascii="Palatino Linotype" w:eastAsia="Calibri" w:hAnsi="Palatino Linotype" w:cs="Arial"/>
          <w:i/>
        </w:rPr>
        <w:t xml:space="preserve"> Se esté tramitando ante los tribunales competentes algún recurso o medio de defensa interpuesto por el recurrente, o en su caso, por el tercero interesado, en contra del acto recurrido ante el Instituto. </w:t>
      </w:r>
    </w:p>
    <w:p w14:paraId="0DF1D7DA"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i/>
        </w:rPr>
        <w:t xml:space="preserve"> </w:t>
      </w:r>
      <w:r w:rsidRPr="005A189A">
        <w:rPr>
          <w:rFonts w:ascii="Palatino Linotype" w:eastAsia="Calibri" w:hAnsi="Palatino Linotype" w:cs="Arial"/>
          <w:b/>
          <w:i/>
        </w:rPr>
        <w:t>VI.</w:t>
      </w:r>
      <w:r w:rsidRPr="005A189A">
        <w:rPr>
          <w:rFonts w:ascii="Palatino Linotype" w:eastAsia="Calibri" w:hAnsi="Palatino Linotype" w:cs="Arial"/>
          <w:i/>
        </w:rPr>
        <w:t xml:space="preserve"> El recurrente modifique o amplíe su petición en el recurso de revisión, únicamente respecto de los nuevos contenidos.  </w:t>
      </w:r>
    </w:p>
    <w:p w14:paraId="11F28F07"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b/>
          <w:i/>
        </w:rPr>
        <w:t>VII.</w:t>
      </w:r>
      <w:r w:rsidRPr="005A189A">
        <w:rPr>
          <w:rFonts w:ascii="Palatino Linotype" w:eastAsia="Calibri" w:hAnsi="Palatino Linotype" w:cs="Arial"/>
          <w:i/>
        </w:rPr>
        <w:t xml:space="preserve"> El recurrente no acredite interés jurídico. </w:t>
      </w:r>
    </w:p>
    <w:p w14:paraId="2165C84D" w14:textId="77777777" w:rsidR="00A364A7" w:rsidRPr="005A189A" w:rsidRDefault="00A364A7" w:rsidP="008342C3">
      <w:pPr>
        <w:widowControl w:val="0"/>
        <w:autoSpaceDE w:val="0"/>
        <w:autoSpaceDN w:val="0"/>
        <w:adjustRightInd w:val="0"/>
        <w:spacing w:line="360" w:lineRule="auto"/>
        <w:ind w:left="567" w:right="851"/>
        <w:jc w:val="both"/>
        <w:rPr>
          <w:rFonts w:ascii="Palatino Linotype" w:eastAsia="Calibri" w:hAnsi="Palatino Linotype" w:cs="Arial"/>
          <w:i/>
        </w:rPr>
      </w:pPr>
      <w:r w:rsidRPr="005A189A">
        <w:rPr>
          <w:rFonts w:ascii="Palatino Linotype" w:eastAsia="Calibri" w:hAnsi="Palatino Linotype" w:cs="Arial"/>
          <w:i/>
        </w:rPr>
        <w:t>El desechamiento no implica la preclusión del derecho del titular para interponer ante el Instituto un nuevo recurso de revisión.”</w:t>
      </w:r>
    </w:p>
    <w:p w14:paraId="58C1F3C2" w14:textId="77777777" w:rsidR="008342C3" w:rsidRPr="005A189A" w:rsidRDefault="008342C3" w:rsidP="008342C3">
      <w:pPr>
        <w:widowControl w:val="0"/>
        <w:autoSpaceDE w:val="0"/>
        <w:autoSpaceDN w:val="0"/>
        <w:adjustRightInd w:val="0"/>
        <w:spacing w:line="360" w:lineRule="auto"/>
        <w:ind w:left="567" w:right="851"/>
        <w:jc w:val="both"/>
        <w:rPr>
          <w:rFonts w:ascii="Palatino Linotype" w:eastAsia="Calibri" w:hAnsi="Palatino Linotype" w:cs="Arial"/>
          <w:b/>
          <w:i/>
        </w:rPr>
      </w:pPr>
    </w:p>
    <w:p w14:paraId="23B145C0" w14:textId="77777777" w:rsidR="00934419" w:rsidRPr="005A189A" w:rsidRDefault="00934419"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Por otro lado, la parte </w:t>
      </w:r>
      <w:r w:rsidRPr="005A189A">
        <w:rPr>
          <w:rFonts w:ascii="Palatino Linotype" w:eastAsia="Palatino Linotype" w:hAnsi="Palatino Linotype" w:cs="Palatino Linotype"/>
          <w:b/>
        </w:rPr>
        <w:t xml:space="preserve">Recurrente </w:t>
      </w:r>
      <w:r w:rsidRPr="005A189A">
        <w:rPr>
          <w:rFonts w:ascii="Palatino Linotype" w:eastAsia="Palatino Linotype" w:hAnsi="Palatino Linotype" w:cs="Palatino Linotype"/>
        </w:rPr>
        <w:t>fue omisa en hacer valer manifestaciones que conforme a derecho considerara procedentes con relación a las respuestas así como a conciliar, por lo que se carece de elementos novedosos a los que ya obran en el expediente electrónico en que se actúa.</w:t>
      </w:r>
    </w:p>
    <w:p w14:paraId="62CD9C48" w14:textId="77777777" w:rsidR="00934419" w:rsidRPr="005A189A" w:rsidRDefault="00934419" w:rsidP="008342C3">
      <w:pPr>
        <w:pStyle w:val="Prrafodelista"/>
        <w:spacing w:line="360" w:lineRule="auto"/>
        <w:rPr>
          <w:rFonts w:ascii="Palatino Linotype" w:eastAsia="Palatino Linotype" w:hAnsi="Palatino Linotype" w:cs="Palatino Linotype"/>
        </w:rPr>
      </w:pPr>
    </w:p>
    <w:p w14:paraId="04F16594" w14:textId="77777777" w:rsidR="00934419" w:rsidRPr="005A189A" w:rsidRDefault="00934419"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Dicho lo anterior, es necesario resolver el asunto de mérito con las documentales con que se cuentan en el expediente electrónico, resultando conveniente primeramente </w:t>
      </w:r>
      <w:r w:rsidRPr="005A189A">
        <w:rPr>
          <w:rFonts w:ascii="Palatino Linotype" w:eastAsia="Palatino Linotype" w:hAnsi="Palatino Linotype" w:cs="Palatino Linotype"/>
        </w:rPr>
        <w:lastRenderedPageBreak/>
        <w:t xml:space="preserve">analizar el motivo de inconformidad, del que inicialmente se advierte que el hoy </w:t>
      </w:r>
      <w:r w:rsidRPr="005A189A">
        <w:rPr>
          <w:rFonts w:ascii="Palatino Linotype" w:eastAsia="Palatino Linotype" w:hAnsi="Palatino Linotype" w:cs="Palatino Linotype"/>
          <w:b/>
        </w:rPr>
        <w:t>Recurrente</w:t>
      </w:r>
      <w:r w:rsidRPr="005A189A">
        <w:rPr>
          <w:rFonts w:ascii="Palatino Linotype" w:eastAsia="Palatino Linotype" w:hAnsi="Palatino Linotype"/>
        </w:rPr>
        <w:t xml:space="preserve"> en estricto sentido no se duele por las respuestas emitidas a su solicitud de acceso a datos; sino que impugna el hecho que a su decir el </w:t>
      </w:r>
      <w:r w:rsidRPr="005A189A">
        <w:rPr>
          <w:rFonts w:ascii="Palatino Linotype" w:eastAsia="Palatino Linotype" w:hAnsi="Palatino Linotype"/>
          <w:b/>
        </w:rPr>
        <w:t>Sujeto Obligado,</w:t>
      </w:r>
      <w:r w:rsidRPr="005A189A">
        <w:rPr>
          <w:rFonts w:ascii="Palatino Linotype" w:eastAsia="Palatino Linotype" w:hAnsi="Palatino Linotype"/>
        </w:rPr>
        <w:t xml:space="preserve"> se dejó de cumplir requisitos legales para declarar una inexistencia.</w:t>
      </w:r>
    </w:p>
    <w:p w14:paraId="3BD29610" w14:textId="77777777" w:rsidR="00934419" w:rsidRPr="005A189A" w:rsidRDefault="00934419" w:rsidP="008342C3">
      <w:pPr>
        <w:pStyle w:val="Prrafodelista"/>
        <w:spacing w:line="360" w:lineRule="auto"/>
        <w:rPr>
          <w:rFonts w:ascii="Palatino Linotype" w:eastAsia="Palatino Linotype" w:hAnsi="Palatino Linotype" w:cs="Palatino Linotype"/>
        </w:rPr>
      </w:pPr>
    </w:p>
    <w:p w14:paraId="18D3BF9A" w14:textId="77777777" w:rsidR="00A364A7" w:rsidRPr="005A189A" w:rsidRDefault="0078304E" w:rsidP="008342C3">
      <w:pPr>
        <w:pStyle w:val="Prrafodelista"/>
        <w:numPr>
          <w:ilvl w:val="0"/>
          <w:numId w:val="5"/>
        </w:numPr>
        <w:spacing w:line="360" w:lineRule="auto"/>
        <w:ind w:left="0" w:firstLine="0"/>
        <w:jc w:val="both"/>
        <w:rPr>
          <w:rFonts w:ascii="Palatino Linotype" w:eastAsia="Calibri" w:hAnsi="Palatino Linotype"/>
        </w:rPr>
      </w:pPr>
      <w:r w:rsidRPr="005A189A">
        <w:rPr>
          <w:rFonts w:ascii="Palatino Linotype" w:eastAsia="Calibri" w:hAnsi="Palatino Linotype"/>
        </w:rPr>
        <w:t>Seguidamente</w:t>
      </w:r>
      <w:r w:rsidR="00A364A7" w:rsidRPr="005A189A">
        <w:rPr>
          <w:rFonts w:ascii="Palatino Linotype" w:eastAsia="Calibri" w:hAnsi="Palatino Linotype"/>
        </w:rPr>
        <w:t xml:space="preserve">, resulta oportuno señalar que a la fecha que se resuelve no se actualiza ninguna  de las causales de improcedencia; ya que, </w:t>
      </w:r>
      <w:r w:rsidR="00A364A7" w:rsidRPr="005A189A">
        <w:rPr>
          <w:rFonts w:ascii="Palatino Linotype" w:eastAsia="Calibri" w:hAnsi="Palatino Linotype"/>
          <w:b/>
        </w:rPr>
        <w:t xml:space="preserve">EL RECURRENTE </w:t>
      </w:r>
      <w:r w:rsidR="00A364A7" w:rsidRPr="005A189A">
        <w:rPr>
          <w:rFonts w:ascii="Palatino Linotype" w:eastAsia="Calibri" w:hAnsi="Palatino Linotype"/>
        </w:rPr>
        <w:t xml:space="preserve">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w:t>
      </w:r>
      <w:r w:rsidR="00A364A7" w:rsidRPr="005A189A">
        <w:rPr>
          <w:rFonts w:ascii="Palatino Linotype" w:eastAsia="Calibri" w:hAnsi="Palatino Linotype"/>
          <w:b/>
        </w:rPr>
        <w:t>EL RECURRENTE,</w:t>
      </w:r>
      <w:r w:rsidR="00A364A7" w:rsidRPr="005A189A">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0E6A3DFB" w14:textId="77777777" w:rsidR="00A364A7" w:rsidRPr="005A189A" w:rsidRDefault="00A364A7" w:rsidP="008342C3">
      <w:pPr>
        <w:widowControl w:val="0"/>
        <w:autoSpaceDE w:val="0"/>
        <w:autoSpaceDN w:val="0"/>
        <w:adjustRightInd w:val="0"/>
        <w:spacing w:line="360" w:lineRule="auto"/>
        <w:ind w:right="49"/>
        <w:jc w:val="both"/>
        <w:rPr>
          <w:rFonts w:ascii="Palatino Linotype" w:eastAsia="Calibri" w:hAnsi="Palatino Linotype" w:cs="Arial"/>
        </w:rPr>
      </w:pPr>
    </w:p>
    <w:p w14:paraId="1CD88128" w14:textId="77777777" w:rsidR="00A364A7" w:rsidRPr="005A189A" w:rsidRDefault="00A364A7" w:rsidP="008342C3">
      <w:pPr>
        <w:pStyle w:val="Prrafodelista"/>
        <w:numPr>
          <w:ilvl w:val="0"/>
          <w:numId w:val="5"/>
        </w:numPr>
        <w:spacing w:line="360" w:lineRule="auto"/>
        <w:ind w:left="0" w:firstLine="0"/>
        <w:jc w:val="both"/>
        <w:rPr>
          <w:rFonts w:ascii="Palatino Linotype" w:eastAsia="Calibri" w:hAnsi="Palatino Linotype" w:cs="Arial"/>
          <w:i/>
        </w:rPr>
      </w:pPr>
      <w:r w:rsidRPr="005A189A">
        <w:rPr>
          <w:rFonts w:ascii="Palatino Linotype" w:eastAsia="Calibri" w:hAnsi="Palatino Linotype" w:cs="Arial"/>
        </w:rPr>
        <w:t xml:space="preserve">Precisado lo anterior, se advierte que </w:t>
      </w:r>
      <w:r w:rsidR="005F46BE" w:rsidRPr="005A189A">
        <w:rPr>
          <w:rFonts w:ascii="Palatino Linotype" w:eastAsia="Calibri" w:hAnsi="Palatino Linotype" w:cs="Arial"/>
          <w:b/>
        </w:rPr>
        <w:t>La</w:t>
      </w:r>
      <w:r w:rsidRPr="005A189A">
        <w:rPr>
          <w:rFonts w:ascii="Palatino Linotype" w:eastAsia="Calibri" w:hAnsi="Palatino Linotype" w:cs="Arial"/>
          <w:b/>
        </w:rPr>
        <w:t xml:space="preserve"> Recurrente</w:t>
      </w:r>
      <w:r w:rsidRPr="005A189A">
        <w:rPr>
          <w:rFonts w:ascii="Palatino Linotype" w:eastAsia="Calibri" w:hAnsi="Palatino Linotype" w:cs="Arial"/>
        </w:rPr>
        <w:t xml:space="preserve"> al realizar su solicitud de acceso a datos personales, exhibió ante el </w:t>
      </w:r>
      <w:r w:rsidRPr="005A189A">
        <w:rPr>
          <w:rFonts w:ascii="Palatino Linotype" w:eastAsia="Calibri" w:hAnsi="Palatino Linotype" w:cs="Arial"/>
          <w:b/>
        </w:rPr>
        <w:t>Sujeto Obligado</w:t>
      </w:r>
      <w:r w:rsidRPr="005A189A">
        <w:rPr>
          <w:rFonts w:ascii="Palatino Linotype" w:eastAsia="Calibri" w:hAnsi="Palatino Linotype" w:cs="Arial"/>
        </w:rPr>
        <w:t xml:space="preserve"> documentos que pudieran permitieran reconocerle legitimo para ejercer los derechos ARCO a nombre y representación, como la identificación oficial.</w:t>
      </w:r>
    </w:p>
    <w:p w14:paraId="38DF8D22" w14:textId="77777777" w:rsidR="0078304E" w:rsidRPr="005A189A" w:rsidRDefault="0078304E" w:rsidP="008342C3">
      <w:pPr>
        <w:pStyle w:val="Prrafodelista"/>
        <w:spacing w:line="360" w:lineRule="auto"/>
        <w:rPr>
          <w:rFonts w:ascii="Palatino Linotype" w:eastAsia="Calibri" w:hAnsi="Palatino Linotype" w:cs="Arial"/>
          <w:i/>
        </w:rPr>
      </w:pPr>
    </w:p>
    <w:p w14:paraId="733634A1" w14:textId="77777777" w:rsidR="00A364A7" w:rsidRPr="005A189A" w:rsidRDefault="0078304E" w:rsidP="008342C3">
      <w:pPr>
        <w:pStyle w:val="Prrafodelista"/>
        <w:numPr>
          <w:ilvl w:val="0"/>
          <w:numId w:val="5"/>
        </w:numPr>
        <w:spacing w:line="360" w:lineRule="auto"/>
        <w:ind w:left="0" w:firstLine="0"/>
        <w:jc w:val="both"/>
        <w:rPr>
          <w:rFonts w:ascii="Palatino Linotype" w:eastAsia="Calibri" w:hAnsi="Palatino Linotype" w:cs="Arial"/>
          <w:i/>
        </w:rPr>
      </w:pPr>
      <w:r w:rsidRPr="005A189A">
        <w:rPr>
          <w:rFonts w:ascii="Palatino Linotype" w:eastAsia="Calibri" w:hAnsi="Palatino Linotype" w:cs="Arial"/>
        </w:rPr>
        <w:t>Luego entonces</w:t>
      </w:r>
      <w:r w:rsidR="00A364A7" w:rsidRPr="005A189A">
        <w:rPr>
          <w:rFonts w:ascii="Palatino Linotype" w:eastAsia="Calibri" w:hAnsi="Palatino Linotype" w:cs="Arial"/>
        </w:rPr>
        <w:t xml:space="preserve">, se advierte que </w:t>
      </w:r>
      <w:r w:rsidR="00A364A7" w:rsidRPr="005A189A">
        <w:rPr>
          <w:rFonts w:ascii="Palatino Linotype" w:eastAsia="Calibri" w:hAnsi="Palatino Linotype" w:cs="Arial"/>
          <w:b/>
        </w:rPr>
        <w:t>EL RECURRENTE</w:t>
      </w:r>
      <w:r w:rsidR="00A364A7" w:rsidRPr="005A189A">
        <w:rPr>
          <w:rFonts w:ascii="Palatino Linotype" w:eastAsia="Calibri" w:hAnsi="Palatino Linotype" w:cs="Arial"/>
        </w:rPr>
        <w:t xml:space="preserve"> acredita su </w:t>
      </w:r>
      <w:r w:rsidR="005F46BE" w:rsidRPr="005A189A">
        <w:rPr>
          <w:rFonts w:ascii="Palatino Linotype" w:eastAsia="Calibri" w:hAnsi="Palatino Linotype" w:cs="Arial"/>
        </w:rPr>
        <w:t>personalidad para el</w:t>
      </w:r>
      <w:r w:rsidR="00A364A7" w:rsidRPr="005A189A">
        <w:rPr>
          <w:rFonts w:ascii="Palatino Linotype" w:eastAsia="Calibri" w:hAnsi="Palatino Linotype" w:cs="Arial"/>
        </w:rPr>
        <w:t xml:space="preserve"> acceso a datos personales al dar cumplimiento a</w:t>
      </w:r>
      <w:r w:rsidR="00A364A7" w:rsidRPr="005A189A">
        <w:rPr>
          <w:rFonts w:ascii="Palatino Linotype" w:eastAsia="Calibri" w:hAnsi="Palatino Linotype" w:cs="Arial"/>
          <w:lang w:val="es-ES_tradnl"/>
        </w:rPr>
        <w:t xml:space="preserve"> las formalidades previstas por la </w:t>
      </w:r>
      <w:r w:rsidR="00A364A7" w:rsidRPr="005A189A">
        <w:rPr>
          <w:rFonts w:ascii="Palatino Linotype" w:eastAsia="Calibri" w:hAnsi="Palatino Linotype" w:cs="Arial"/>
        </w:rPr>
        <w:t xml:space="preserve">Ley de Protección de Datos Personales en Posesión de Sujetos Obligados del Estado </w:t>
      </w:r>
      <w:r w:rsidR="00A364A7" w:rsidRPr="005A189A">
        <w:rPr>
          <w:rFonts w:ascii="Palatino Linotype" w:eastAsia="Calibri" w:hAnsi="Palatino Linotype" w:cs="Arial"/>
        </w:rPr>
        <w:lastRenderedPageBreak/>
        <w:t>de México y Municipios</w:t>
      </w:r>
      <w:r w:rsidR="00A364A7" w:rsidRPr="005A189A">
        <w:rPr>
          <w:rFonts w:ascii="Palatino Linotype" w:eastAsia="Calibri" w:hAnsi="Palatino Linotype" w:cs="Arial"/>
          <w:lang w:val="es-ES_tradnl"/>
        </w:rPr>
        <w:t>; por lo que u</w:t>
      </w:r>
      <w:r w:rsidR="00A364A7" w:rsidRPr="005A189A">
        <w:rPr>
          <w:rFonts w:ascii="Palatino Linotype" w:eastAsia="Calibri" w:hAnsi="Palatino Linotype" w:cs="Arial"/>
        </w:rPr>
        <w:t>na vez sentado lo anterior, se precisan las siguientes consideraciones.</w:t>
      </w:r>
    </w:p>
    <w:p w14:paraId="018DF82F" w14:textId="77777777" w:rsidR="003465BD" w:rsidRPr="005A189A" w:rsidRDefault="003465BD" w:rsidP="008342C3">
      <w:pPr>
        <w:pStyle w:val="Prrafodelista"/>
        <w:spacing w:line="360" w:lineRule="auto"/>
        <w:rPr>
          <w:rFonts w:ascii="Palatino Linotype" w:eastAsia="Palatino Linotype" w:hAnsi="Palatino Linotype" w:cs="Palatino Linotype"/>
        </w:rPr>
      </w:pPr>
    </w:p>
    <w:p w14:paraId="3E76C192" w14:textId="77777777" w:rsidR="003A23B5" w:rsidRPr="005A189A" w:rsidRDefault="003A23B5" w:rsidP="008342C3">
      <w:pPr>
        <w:pStyle w:val="Prrafodelista"/>
        <w:numPr>
          <w:ilvl w:val="0"/>
          <w:numId w:val="9"/>
        </w:numPr>
        <w:spacing w:line="360" w:lineRule="auto"/>
        <w:ind w:left="1134"/>
        <w:rPr>
          <w:rFonts w:ascii="Palatino Linotype" w:eastAsia="Palatino Linotype" w:hAnsi="Palatino Linotype" w:cs="Palatino Linotype"/>
          <w:b/>
        </w:rPr>
      </w:pPr>
      <w:r w:rsidRPr="005A189A">
        <w:rPr>
          <w:rFonts w:ascii="Palatino Linotype" w:eastAsia="Palatino Linotype" w:hAnsi="Palatino Linotype" w:cs="Palatino Linotype"/>
          <w:b/>
        </w:rPr>
        <w:t>De la solicitud de acceso a datos</w:t>
      </w:r>
    </w:p>
    <w:p w14:paraId="6CECD51B" w14:textId="77777777" w:rsidR="00D93AD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D</w:t>
      </w:r>
      <w:r w:rsidR="00405A8F" w:rsidRPr="005A189A">
        <w:rPr>
          <w:rFonts w:ascii="Palatino Linotype" w:eastAsia="Palatino Linotype" w:hAnsi="Palatino Linotype" w:cs="Palatino Linotype"/>
        </w:rPr>
        <w:t xml:space="preserve">el análisis a la solicitud se advierte que la parte </w:t>
      </w:r>
      <w:r w:rsidR="00405A8F" w:rsidRPr="005A189A">
        <w:rPr>
          <w:rFonts w:ascii="Palatino Linotype" w:eastAsia="Palatino Linotype" w:hAnsi="Palatino Linotype" w:cs="Palatino Linotype"/>
          <w:b/>
        </w:rPr>
        <w:t>Recurrente</w:t>
      </w:r>
      <w:r w:rsidR="00405A8F" w:rsidRPr="005A189A">
        <w:rPr>
          <w:rFonts w:ascii="Palatino Linotype" w:eastAsia="Palatino Linotype" w:hAnsi="Palatino Linotype" w:cs="Palatino Linotype"/>
        </w:rPr>
        <w:t xml:space="preserve"> requiere acceder los siguientes datos: </w:t>
      </w:r>
    </w:p>
    <w:p w14:paraId="54B854A9" w14:textId="77777777" w:rsidR="00D93AD3" w:rsidRPr="005A189A" w:rsidRDefault="00D93AD3" w:rsidP="008342C3">
      <w:pPr>
        <w:spacing w:line="360" w:lineRule="auto"/>
        <w:jc w:val="both"/>
        <w:rPr>
          <w:rFonts w:ascii="Palatino Linotype" w:eastAsia="Palatino Linotype" w:hAnsi="Palatino Linotype" w:cs="Palatino Linotype"/>
        </w:rPr>
      </w:pPr>
    </w:p>
    <w:p w14:paraId="3E94A7F1" w14:textId="77777777" w:rsidR="00DC59DC" w:rsidRPr="005A189A" w:rsidRDefault="00DC59DC" w:rsidP="008342C3">
      <w:pPr>
        <w:numPr>
          <w:ilvl w:val="1"/>
          <w:numId w:val="1"/>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rPr>
      </w:pPr>
      <w:r w:rsidRPr="005A189A">
        <w:rPr>
          <w:rFonts w:ascii="Palatino Linotype" w:eastAsia="Palatino Linotype" w:hAnsi="Palatino Linotype" w:cs="Palatino Linotype"/>
          <w:b/>
          <w:color w:val="000000"/>
        </w:rPr>
        <w:t>Constancia Anualizada de Percepciones y Deducciones de los años 2004, 2005 y, 2006, laborados en la entonces Secretaría de Educación, Cultura y Bienestar Social, y de los años 2006, 2007, 2008 y 2009, laborados en el Subsistema de Educación Media Superior; o</w:t>
      </w:r>
    </w:p>
    <w:p w14:paraId="67FBAC81" w14:textId="77777777" w:rsidR="00DC59DC" w:rsidRPr="005A189A" w:rsidRDefault="00DC59DC" w:rsidP="008342C3">
      <w:pPr>
        <w:numPr>
          <w:ilvl w:val="1"/>
          <w:numId w:val="1"/>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rPr>
      </w:pPr>
      <w:r w:rsidRPr="005A189A">
        <w:rPr>
          <w:rFonts w:ascii="Palatino Linotype" w:eastAsia="Palatino Linotype" w:hAnsi="Palatino Linotype" w:cs="Palatino Linotype"/>
          <w:b/>
          <w:color w:val="000000"/>
        </w:rPr>
        <w:t>En su caso los recibos de percepciones por quincena de los mismos años.</w:t>
      </w:r>
    </w:p>
    <w:p w14:paraId="3D15B68B" w14:textId="77777777" w:rsidR="00D93AD3" w:rsidRPr="005A189A" w:rsidRDefault="00D93AD3" w:rsidP="008342C3">
      <w:pPr>
        <w:spacing w:line="360" w:lineRule="auto"/>
        <w:jc w:val="both"/>
        <w:rPr>
          <w:rFonts w:ascii="Palatino Linotype" w:eastAsia="Palatino Linotype" w:hAnsi="Palatino Linotype" w:cs="Palatino Linotype"/>
        </w:rPr>
      </w:pPr>
    </w:p>
    <w:p w14:paraId="0508B8A2" w14:textId="77777777" w:rsidR="00D93AD3" w:rsidRPr="005A189A" w:rsidRDefault="00405A8F"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En respuesta, el </w:t>
      </w:r>
      <w:r w:rsidRPr="005A189A">
        <w:rPr>
          <w:rFonts w:ascii="Palatino Linotype" w:eastAsia="Palatino Linotype" w:hAnsi="Palatino Linotype" w:cs="Palatino Linotype"/>
          <w:b/>
        </w:rPr>
        <w:t xml:space="preserve">Sujeto Obligado </w:t>
      </w:r>
      <w:r w:rsidRPr="005A189A">
        <w:rPr>
          <w:rFonts w:ascii="Palatino Linotype" w:eastAsia="Palatino Linotype" w:hAnsi="Palatino Linotype" w:cs="Palatino Linotype"/>
        </w:rPr>
        <w:t xml:space="preserve">por conducto del </w:t>
      </w:r>
      <w:r w:rsidR="003465BD" w:rsidRPr="005A189A">
        <w:rPr>
          <w:rFonts w:ascii="Palatino Linotype" w:eastAsia="Palatino Linotype" w:hAnsi="Palatino Linotype" w:cs="Palatino Linotype"/>
        </w:rPr>
        <w:t>Titular de la Unidad de Transparencia</w:t>
      </w:r>
      <w:r w:rsidRPr="005A189A">
        <w:rPr>
          <w:rFonts w:ascii="Palatino Linotype" w:eastAsia="Palatino Linotype" w:hAnsi="Palatino Linotype" w:cs="Palatino Linotype"/>
        </w:rPr>
        <w:t xml:space="preserve"> hizo del conocimiento </w:t>
      </w:r>
      <w:r w:rsidR="003973CD" w:rsidRPr="005A189A">
        <w:rPr>
          <w:rFonts w:ascii="Palatino Linotype" w:eastAsia="Palatino Linotype" w:hAnsi="Palatino Linotype" w:cs="Palatino Linotype"/>
        </w:rPr>
        <w:t>a</w:t>
      </w:r>
      <w:r w:rsidR="00DC59DC" w:rsidRPr="005A189A">
        <w:rPr>
          <w:rFonts w:ascii="Palatino Linotype" w:eastAsia="Palatino Linotype" w:hAnsi="Palatino Linotype" w:cs="Palatino Linotype"/>
        </w:rPr>
        <w:t xml:space="preserve"> la entonces</w:t>
      </w:r>
      <w:r w:rsidR="003973CD" w:rsidRPr="005A189A">
        <w:rPr>
          <w:rFonts w:ascii="Palatino Linotype" w:eastAsia="Palatino Linotype" w:hAnsi="Palatino Linotype" w:cs="Palatino Linotype"/>
        </w:rPr>
        <w:t xml:space="preserve"> </w:t>
      </w:r>
      <w:r w:rsidR="00062DC5" w:rsidRPr="005A189A">
        <w:rPr>
          <w:rFonts w:ascii="Palatino Linotype" w:eastAsia="Palatino Linotype" w:hAnsi="Palatino Linotype" w:cs="Palatino Linotype"/>
        </w:rPr>
        <w:t xml:space="preserve">de un hipervínculo en donde a su decir </w:t>
      </w:r>
      <w:r w:rsidR="00015B19" w:rsidRPr="005A189A">
        <w:rPr>
          <w:rFonts w:ascii="Palatino Linotype" w:eastAsia="Palatino Linotype" w:hAnsi="Palatino Linotype" w:cs="Palatino Linotype"/>
        </w:rPr>
        <w:t>obra la información; situación que el particular contradice, estableciendo que en dicho enlace no obra lo solicitado, sumado a que se solicitó en copia certificada.</w:t>
      </w:r>
    </w:p>
    <w:p w14:paraId="3A9FD2ED" w14:textId="77777777" w:rsidR="008342C3" w:rsidRPr="005A189A" w:rsidRDefault="008342C3" w:rsidP="008342C3">
      <w:pPr>
        <w:pStyle w:val="Prrafodelista"/>
        <w:spacing w:line="360" w:lineRule="auto"/>
        <w:ind w:left="0"/>
        <w:jc w:val="both"/>
        <w:rPr>
          <w:rFonts w:ascii="Palatino Linotype" w:eastAsia="Palatino Linotype" w:hAnsi="Palatino Linotype" w:cs="Palatino Linotype"/>
        </w:rPr>
      </w:pPr>
    </w:p>
    <w:p w14:paraId="206BB128" w14:textId="77777777" w:rsidR="0078304E" w:rsidRPr="005A189A" w:rsidRDefault="00326928"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Contexto que fue impugnado; sin embargo también lo es que</w:t>
      </w:r>
      <w:r w:rsidR="0078304E" w:rsidRPr="005A189A">
        <w:rPr>
          <w:rFonts w:ascii="Palatino Linotype" w:eastAsia="Palatino Linotype" w:hAnsi="Palatino Linotype" w:cs="Palatino Linotype"/>
        </w:rPr>
        <w:t xml:space="preserve"> de los motivos de inconformidad se desprende que la solicitante impugna únicamente lo relativo al enlace entregado; es decir lo relativo a la Constancia Anualizada de Percepciones y Deducciones, dejando de impugnar lo relativo a los recibos de percepciones. Por lo que se deduce que al no impugnar lo que se le informa, está consintiendo la sustancia de la </w:t>
      </w:r>
      <w:r w:rsidR="0078304E" w:rsidRPr="005A189A">
        <w:rPr>
          <w:rFonts w:ascii="Palatino Linotype" w:eastAsia="Palatino Linotype" w:hAnsi="Palatino Linotype" w:cs="Palatino Linotype"/>
        </w:rPr>
        <w:lastRenderedPageBreak/>
        <w:t xml:space="preserve">respuesta emitida; de tal forma que, la parte de la solicitud y de la respuesta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5E7803F3" w14:textId="77777777" w:rsidR="0078304E" w:rsidRPr="005A189A" w:rsidRDefault="0078304E" w:rsidP="008342C3">
      <w:pPr>
        <w:pStyle w:val="Prrafodelista"/>
        <w:spacing w:line="360" w:lineRule="auto"/>
        <w:rPr>
          <w:rFonts w:ascii="Palatino Linotype" w:eastAsia="Palatino Linotype" w:hAnsi="Palatino Linotype" w:cs="Palatino Linotype"/>
        </w:rPr>
      </w:pPr>
    </w:p>
    <w:p w14:paraId="3D3C78DD" w14:textId="77777777" w:rsidR="0078304E" w:rsidRPr="005A189A" w:rsidRDefault="0078304E"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3F58C3A" w14:textId="77777777" w:rsidR="0078304E" w:rsidRPr="005A189A" w:rsidRDefault="0078304E" w:rsidP="008342C3">
      <w:pPr>
        <w:tabs>
          <w:tab w:val="left" w:pos="851"/>
        </w:tabs>
        <w:spacing w:line="360" w:lineRule="auto"/>
        <w:ind w:left="851" w:right="616"/>
        <w:jc w:val="both"/>
        <w:rPr>
          <w:rFonts w:ascii="Palatino Linotype" w:eastAsia="Palatino Linotype" w:hAnsi="Palatino Linotype" w:cs="Palatino Linotype"/>
          <w:i/>
        </w:rPr>
      </w:pPr>
      <w:r w:rsidRPr="005A189A">
        <w:rPr>
          <w:rFonts w:ascii="Palatino Linotype" w:eastAsia="Palatino Linotype" w:hAnsi="Palatino Linotype" w:cs="Palatino Linotype"/>
          <w:b/>
          <w:i/>
        </w:rPr>
        <w:t xml:space="preserve">“ACTOS CONSENTIDOS. SON LOS QUE NO SE IMPUGNAN MEDIANTE EL RECURSO IDÓNEO. </w:t>
      </w:r>
      <w:r w:rsidRPr="005A189A">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E117406" w14:textId="77777777" w:rsidR="0078304E" w:rsidRPr="005A189A" w:rsidRDefault="0078304E" w:rsidP="008342C3">
      <w:pPr>
        <w:tabs>
          <w:tab w:val="left" w:pos="851"/>
        </w:tabs>
        <w:spacing w:line="360" w:lineRule="auto"/>
        <w:ind w:left="851" w:right="616"/>
        <w:jc w:val="both"/>
        <w:rPr>
          <w:rFonts w:ascii="Palatino Linotype" w:eastAsia="Palatino Linotype" w:hAnsi="Palatino Linotype" w:cs="Palatino Linotype"/>
          <w:i/>
        </w:rPr>
      </w:pPr>
    </w:p>
    <w:p w14:paraId="4E9CD3AF" w14:textId="77777777" w:rsidR="0078304E" w:rsidRPr="005A189A" w:rsidRDefault="0078304E"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De la interpretación del criterio antes citado, se advierte que cuando el particular impugnó la respuesta del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5A189A">
        <w:rPr>
          <w:rFonts w:ascii="Palatino Linotype" w:eastAsia="Palatino Linotype" w:hAnsi="Palatino Linotype" w:cs="Palatino Linotype"/>
          <w:b/>
        </w:rPr>
        <w:t>EL RECURRENTE</w:t>
      </w:r>
      <w:r w:rsidRPr="005A189A">
        <w:rPr>
          <w:rFonts w:ascii="Palatino Linotype" w:eastAsia="Palatino Linotype" w:hAnsi="Palatino Linotype" w:cs="Palatino Linotype"/>
        </w:rPr>
        <w:t xml:space="preserve"> está conforme con la respuesta proporcionada por </w:t>
      </w:r>
      <w:r w:rsidRPr="005A189A">
        <w:rPr>
          <w:rFonts w:ascii="Palatino Linotype" w:eastAsia="Palatino Linotype" w:hAnsi="Palatino Linotype" w:cs="Palatino Linotype"/>
          <w:b/>
        </w:rPr>
        <w:t>EL SUJETO OBLIGADO,</w:t>
      </w:r>
      <w:r w:rsidRPr="005A189A">
        <w:rPr>
          <w:rFonts w:ascii="Palatino Linotype" w:eastAsia="Palatino Linotype" w:hAnsi="Palatino Linotype" w:cs="Palatino Linotype"/>
        </w:rPr>
        <w:t xml:space="preserve"> al no contravenir la misma. </w:t>
      </w:r>
    </w:p>
    <w:p w14:paraId="7171C1AE" w14:textId="77777777" w:rsidR="0078304E" w:rsidRPr="005A189A" w:rsidRDefault="0078304E" w:rsidP="008342C3">
      <w:pPr>
        <w:pStyle w:val="Prrafodelista"/>
        <w:spacing w:line="360" w:lineRule="auto"/>
        <w:ind w:left="0"/>
        <w:jc w:val="both"/>
        <w:rPr>
          <w:rFonts w:ascii="Palatino Linotype" w:eastAsia="Palatino Linotype" w:hAnsi="Palatino Linotype" w:cs="Palatino Linotype"/>
        </w:rPr>
      </w:pPr>
    </w:p>
    <w:p w14:paraId="342019A3" w14:textId="77777777" w:rsidR="0078304E" w:rsidRPr="005A189A" w:rsidRDefault="0078304E"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lastRenderedPageBreak/>
        <w:t>Atento a ello, es importante traer a contexto la Tesis Jurisprudencial Número 3ª./J.7/91, Publicada en el Semanario Judicial de la Federación y su Gaceta bajo el número de registro 174,177, que establece lo siguiente:</w:t>
      </w:r>
    </w:p>
    <w:p w14:paraId="4E844B92" w14:textId="77777777" w:rsidR="0078304E" w:rsidRPr="005A189A" w:rsidRDefault="0078304E" w:rsidP="008342C3">
      <w:pPr>
        <w:tabs>
          <w:tab w:val="left" w:pos="7937"/>
          <w:tab w:val="left" w:pos="8222"/>
        </w:tabs>
        <w:spacing w:line="360" w:lineRule="auto"/>
        <w:ind w:left="851" w:right="902"/>
        <w:jc w:val="both"/>
        <w:rPr>
          <w:rFonts w:ascii="Palatino Linotype" w:eastAsia="Palatino Linotype" w:hAnsi="Palatino Linotype" w:cs="Palatino Linotype"/>
          <w:i/>
        </w:rPr>
      </w:pPr>
      <w:r w:rsidRPr="005A189A">
        <w:rPr>
          <w:rFonts w:ascii="Palatino Linotype" w:eastAsia="Palatino Linotype" w:hAnsi="Palatino Linotype" w:cs="Palatino Linotype"/>
          <w:b/>
          <w:i/>
        </w:rPr>
        <w:t xml:space="preserve">“REVISIÓN EN AMPARO. LOS RESOLUTIVOS NO COMBATIDOS DEBEN DECLARARSE FIRMES. </w:t>
      </w:r>
      <w:r w:rsidRPr="005A189A">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453F336" w14:textId="77777777" w:rsidR="0078304E" w:rsidRPr="005A189A" w:rsidRDefault="0078304E" w:rsidP="008342C3">
      <w:pPr>
        <w:tabs>
          <w:tab w:val="left" w:pos="7937"/>
          <w:tab w:val="left" w:pos="8222"/>
        </w:tabs>
        <w:spacing w:line="360" w:lineRule="auto"/>
        <w:ind w:left="851" w:right="901"/>
        <w:jc w:val="both"/>
        <w:rPr>
          <w:rFonts w:ascii="Palatino Linotype" w:eastAsia="Palatino Linotype" w:hAnsi="Palatino Linotype" w:cs="Palatino Linotype"/>
          <w:i/>
        </w:rPr>
      </w:pPr>
    </w:p>
    <w:p w14:paraId="63A629EB" w14:textId="77777777" w:rsidR="0078304E" w:rsidRPr="005A189A" w:rsidRDefault="0078304E" w:rsidP="008342C3">
      <w:pPr>
        <w:pStyle w:val="Prrafodelista"/>
        <w:numPr>
          <w:ilvl w:val="0"/>
          <w:numId w:val="5"/>
        </w:numPr>
        <w:spacing w:line="360" w:lineRule="auto"/>
        <w:ind w:left="0" w:firstLine="0"/>
        <w:jc w:val="both"/>
        <w:rPr>
          <w:rFonts w:ascii="Palatino Linotype" w:eastAsia="Calibri" w:hAnsi="Palatino Linotype"/>
        </w:rPr>
      </w:pPr>
      <w:r w:rsidRPr="005A189A">
        <w:rPr>
          <w:rFonts w:ascii="Palatino Linotype" w:eastAsia="Palatino Linotype" w:hAnsi="Palatino Linotype" w:cs="Palatino Linotype"/>
        </w:rPr>
        <w:t xml:space="preserve">En consecuencia, este Órgano </w:t>
      </w:r>
      <w:proofErr w:type="spellStart"/>
      <w:r w:rsidRPr="005A189A">
        <w:rPr>
          <w:rFonts w:ascii="Palatino Linotype" w:eastAsia="Palatino Linotype" w:hAnsi="Palatino Linotype" w:cs="Palatino Linotype"/>
        </w:rPr>
        <w:t>Resolutor</w:t>
      </w:r>
      <w:proofErr w:type="spellEnd"/>
      <w:r w:rsidRPr="005A189A">
        <w:rPr>
          <w:rFonts w:ascii="Palatino Linotype" w:eastAsia="Palatino Linotype" w:hAnsi="Palatino Linotype" w:cs="Palatino Linotype"/>
        </w:rPr>
        <w:t xml:space="preserve"> no entrará al estudio del mismo por las razones hasta aquí expuestas.</w:t>
      </w:r>
    </w:p>
    <w:p w14:paraId="78A30B43" w14:textId="77777777" w:rsidR="0078304E" w:rsidRPr="005A189A" w:rsidRDefault="0078304E" w:rsidP="008342C3">
      <w:pPr>
        <w:pStyle w:val="Prrafodelista"/>
        <w:spacing w:line="360" w:lineRule="auto"/>
        <w:rPr>
          <w:rFonts w:ascii="Palatino Linotype" w:eastAsia="Palatino Linotype" w:hAnsi="Palatino Linotype" w:cs="Palatino Linotype"/>
        </w:rPr>
      </w:pPr>
    </w:p>
    <w:p w14:paraId="21F402F3" w14:textId="77777777" w:rsidR="008240E2" w:rsidRPr="005A189A" w:rsidRDefault="00326928"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Dicho lo anterior y expuesta la respuesta, es necesario traer a colación el informe justificado que corresponde a</w:t>
      </w:r>
      <w:r w:rsidR="00DC1A78" w:rsidRPr="005A189A">
        <w:rPr>
          <w:rFonts w:ascii="Palatino Linotype" w:eastAsia="Palatino Linotype" w:hAnsi="Palatino Linotype" w:cs="Palatino Linotype"/>
        </w:rPr>
        <w:t xml:space="preserve"> un hecho posterior a la interposición del Recurso de Revisión como lo es la etapa de manifestaciones,</w:t>
      </w:r>
      <w:r w:rsidRPr="005A189A">
        <w:rPr>
          <w:rFonts w:ascii="Palatino Linotype" w:eastAsia="Palatino Linotype" w:hAnsi="Palatino Linotype" w:cs="Palatino Linotype"/>
        </w:rPr>
        <w:t xml:space="preserve"> en donde</w:t>
      </w:r>
      <w:r w:rsidR="00DC1A78" w:rsidRPr="005A189A">
        <w:rPr>
          <w:rFonts w:ascii="Palatino Linotype" w:eastAsia="Palatino Linotype" w:hAnsi="Palatino Linotype" w:cs="Palatino Linotype"/>
        </w:rPr>
        <w:t xml:space="preserve"> el Sujeto Obligado</w:t>
      </w:r>
      <w:r w:rsidR="008240E2" w:rsidRPr="005A189A">
        <w:rPr>
          <w:rFonts w:ascii="Palatino Linotype" w:eastAsia="Palatino Linotype" w:hAnsi="Palatino Linotype" w:cs="Palatino Linotype"/>
        </w:rPr>
        <w:t xml:space="preserve"> </w:t>
      </w:r>
      <w:r w:rsidRPr="005A189A">
        <w:rPr>
          <w:rFonts w:ascii="Palatino Linotype" w:eastAsia="Palatino Linotype" w:hAnsi="Palatino Linotype" w:cs="Palatino Linotype"/>
        </w:rPr>
        <w:t xml:space="preserve">señala </w:t>
      </w:r>
      <w:r w:rsidR="008240E2" w:rsidRPr="005A189A">
        <w:rPr>
          <w:rFonts w:ascii="Palatino Linotype" w:eastAsia="Palatino Linotype" w:hAnsi="Palatino Linotype" w:cs="Palatino Linotype"/>
        </w:rPr>
        <w:t>que lo solicitado corresponde a un trámite especifico, motivo por el cual le informo de dicho trámite en afán de privilegiar y garantizar el acceso oportuno y claro de la información pública.</w:t>
      </w:r>
    </w:p>
    <w:p w14:paraId="2921F6A0" w14:textId="77777777" w:rsidR="008240E2" w:rsidRPr="005A189A" w:rsidRDefault="008240E2" w:rsidP="008342C3">
      <w:pPr>
        <w:pStyle w:val="Prrafodelista"/>
        <w:spacing w:line="360" w:lineRule="auto"/>
        <w:ind w:left="360"/>
        <w:jc w:val="both"/>
        <w:rPr>
          <w:rFonts w:ascii="Palatino Linotype" w:eastAsia="Palatino Linotype" w:hAnsi="Palatino Linotype" w:cs="Palatino Linotype"/>
        </w:rPr>
      </w:pPr>
    </w:p>
    <w:p w14:paraId="16FF2381" w14:textId="77777777" w:rsidR="00D93AD3" w:rsidRPr="005A189A" w:rsidRDefault="0097687B"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lastRenderedPageBreak/>
        <w:t>Sin embargo, también</w:t>
      </w:r>
      <w:r w:rsidR="008240E2" w:rsidRPr="005A189A">
        <w:rPr>
          <w:rFonts w:ascii="Palatino Linotype" w:eastAsia="Palatino Linotype" w:hAnsi="Palatino Linotype" w:cs="Palatino Linotype"/>
        </w:rPr>
        <w:t xml:space="preserve"> informa que corresponde a la Subdirección de Control de Pagos perteneciente a la </w:t>
      </w:r>
      <w:r w:rsidR="00E40B35" w:rsidRPr="005A189A">
        <w:rPr>
          <w:rFonts w:ascii="Palatino Linotype" w:eastAsia="Palatino Linotype" w:hAnsi="Palatino Linotype" w:cs="Palatino Linotype"/>
        </w:rPr>
        <w:t>Oficialía</w:t>
      </w:r>
      <w:r w:rsidR="008240E2" w:rsidRPr="005A189A">
        <w:rPr>
          <w:rFonts w:ascii="Palatino Linotype" w:eastAsia="Palatino Linotype" w:hAnsi="Palatino Linotype" w:cs="Palatino Linotype"/>
        </w:rPr>
        <w:t xml:space="preserve"> Mayor la </w:t>
      </w:r>
      <w:r w:rsidR="00E40B35" w:rsidRPr="005A189A">
        <w:rPr>
          <w:rFonts w:ascii="Palatino Linotype" w:eastAsia="Palatino Linotype" w:hAnsi="Palatino Linotype" w:cs="Palatino Linotype"/>
        </w:rPr>
        <w:t xml:space="preserve">atribución </w:t>
      </w:r>
      <w:r w:rsidR="008240E2" w:rsidRPr="005A189A">
        <w:rPr>
          <w:rFonts w:ascii="Palatino Linotype" w:eastAsia="Palatino Linotype" w:hAnsi="Palatino Linotype" w:cs="Palatino Linotype"/>
        </w:rPr>
        <w:t>de supervisar y entregar información relativa</w:t>
      </w:r>
      <w:r w:rsidR="00E40B35" w:rsidRPr="005A189A">
        <w:rPr>
          <w:rFonts w:ascii="Palatino Linotype" w:eastAsia="Palatino Linotype" w:hAnsi="Palatino Linotype" w:cs="Palatino Linotype"/>
        </w:rPr>
        <w:t xml:space="preserve"> a constancias de no adeudo, validación de finiquitos, recibos de pago, percepciones anualizadas, históricos laborales, alta de pensiones alimenticias, alta de embargos judiciales, entre otros.</w:t>
      </w:r>
      <w:r w:rsidRPr="005A189A">
        <w:rPr>
          <w:rFonts w:ascii="Palatino Linotype" w:eastAsia="Palatino Linotype" w:hAnsi="Palatino Linotype" w:cs="Palatino Linotype"/>
        </w:rPr>
        <w:t xml:space="preserve"> Dicho de otra forma declina su competencia.</w:t>
      </w:r>
    </w:p>
    <w:p w14:paraId="5501DB5C" w14:textId="77777777" w:rsidR="003973CD" w:rsidRPr="005A189A" w:rsidRDefault="003973CD" w:rsidP="008342C3">
      <w:pPr>
        <w:pStyle w:val="Prrafodelista"/>
        <w:spacing w:line="360" w:lineRule="auto"/>
        <w:rPr>
          <w:rFonts w:ascii="Palatino Linotype" w:eastAsia="Palatino Linotype" w:hAnsi="Palatino Linotype" w:cs="Palatino Linotype"/>
        </w:rPr>
      </w:pPr>
    </w:p>
    <w:p w14:paraId="43494DE9" w14:textId="77777777" w:rsidR="0097687B" w:rsidRPr="005A189A" w:rsidRDefault="002F136B"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Luego entonces, tenemos que la Constancia de Percepciones y Deducciones de un servidor público es un documento que detalla los ingresos brutos, las deducciones aplicadas y el salario neto recibido por un trabajador del gobierno o del sector público </w:t>
      </w:r>
      <w:r w:rsidR="00B65813" w:rsidRPr="005A189A">
        <w:rPr>
          <w:rFonts w:ascii="Palatino Linotype" w:eastAsia="Palatino Linotype" w:hAnsi="Palatino Linotype" w:cs="Palatino Linotype"/>
        </w:rPr>
        <w:t xml:space="preserve">quincenalmente o </w:t>
      </w:r>
      <w:r w:rsidRPr="005A189A">
        <w:rPr>
          <w:rFonts w:ascii="Palatino Linotype" w:eastAsia="Palatino Linotype" w:hAnsi="Palatino Linotype" w:cs="Palatino Linotype"/>
        </w:rPr>
        <w:t>durante un año fiscal.</w:t>
      </w:r>
    </w:p>
    <w:p w14:paraId="6E3EB64A" w14:textId="77777777" w:rsidR="0097687B" w:rsidRPr="005A189A" w:rsidRDefault="0097687B" w:rsidP="008342C3">
      <w:pPr>
        <w:pStyle w:val="Prrafodelista"/>
        <w:spacing w:line="360" w:lineRule="auto"/>
        <w:rPr>
          <w:rFonts w:ascii="Palatino Linotype" w:eastAsia="Palatino Linotype" w:hAnsi="Palatino Linotype" w:cs="Palatino Linotype"/>
        </w:rPr>
      </w:pPr>
    </w:p>
    <w:p w14:paraId="76E41C22" w14:textId="77777777" w:rsidR="0097687B" w:rsidRPr="005A189A" w:rsidRDefault="002F136B"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En ese sentido, del Reglamento Interior de la Oficialía Mayor, se desprende de su artículo 10 fracción IX, lo siguiente:</w:t>
      </w:r>
    </w:p>
    <w:p w14:paraId="281829E2" w14:textId="77777777" w:rsidR="002F136B" w:rsidRPr="005A189A" w:rsidRDefault="002F136B" w:rsidP="008342C3">
      <w:pPr>
        <w:pStyle w:val="Prrafodelista"/>
        <w:spacing w:line="360" w:lineRule="auto"/>
        <w:rPr>
          <w:rFonts w:ascii="Palatino Linotype" w:eastAsia="Palatino Linotype" w:hAnsi="Palatino Linotype" w:cs="Palatino Linotype"/>
        </w:rPr>
      </w:pPr>
    </w:p>
    <w:p w14:paraId="420B7B5F" w14:textId="77777777" w:rsidR="002F136B" w:rsidRPr="005A189A" w:rsidRDefault="002F136B" w:rsidP="008342C3">
      <w:pPr>
        <w:spacing w:line="360" w:lineRule="auto"/>
        <w:ind w:left="426" w:right="474"/>
        <w:jc w:val="center"/>
        <w:rPr>
          <w:rFonts w:ascii="Palatino Linotype" w:eastAsia="Palatino Linotype" w:hAnsi="Palatino Linotype" w:cs="Palatino Linotype"/>
          <w:i/>
        </w:rPr>
      </w:pPr>
      <w:r w:rsidRPr="005A189A">
        <w:rPr>
          <w:rFonts w:ascii="Palatino Linotype" w:eastAsia="Palatino Linotype" w:hAnsi="Palatino Linotype" w:cs="Palatino Linotype"/>
          <w:i/>
        </w:rPr>
        <w:t>Capítulo III</w:t>
      </w:r>
    </w:p>
    <w:p w14:paraId="4D88D529" w14:textId="77777777" w:rsidR="002F136B" w:rsidRPr="005A189A" w:rsidRDefault="002F136B" w:rsidP="008342C3">
      <w:pPr>
        <w:spacing w:line="360" w:lineRule="auto"/>
        <w:ind w:left="426" w:right="474"/>
        <w:jc w:val="center"/>
        <w:rPr>
          <w:rFonts w:ascii="Palatino Linotype" w:eastAsia="Palatino Linotype" w:hAnsi="Palatino Linotype" w:cs="Palatino Linotype"/>
          <w:i/>
        </w:rPr>
      </w:pPr>
      <w:r w:rsidRPr="005A189A">
        <w:rPr>
          <w:rFonts w:ascii="Palatino Linotype" w:eastAsia="Palatino Linotype" w:hAnsi="Palatino Linotype" w:cs="Palatino Linotype"/>
          <w:i/>
        </w:rPr>
        <w:t>De las Atribuciones Específicas de las Unidades Administrativas adscritas a la Oficialía Mayor</w:t>
      </w:r>
    </w:p>
    <w:p w14:paraId="15666415" w14:textId="77777777" w:rsidR="002F136B" w:rsidRPr="005A189A" w:rsidRDefault="002F136B" w:rsidP="008342C3">
      <w:pPr>
        <w:spacing w:line="360" w:lineRule="auto"/>
        <w:ind w:left="426" w:right="474"/>
        <w:jc w:val="both"/>
        <w:rPr>
          <w:rFonts w:ascii="Palatino Linotype" w:eastAsia="Palatino Linotype" w:hAnsi="Palatino Linotype" w:cs="Palatino Linotype"/>
          <w:i/>
        </w:rPr>
      </w:pPr>
      <w:r w:rsidRPr="005A189A">
        <w:rPr>
          <w:rFonts w:ascii="Palatino Linotype" w:eastAsia="Palatino Linotype" w:hAnsi="Palatino Linotype" w:cs="Palatino Linotype"/>
          <w:i/>
        </w:rPr>
        <w:t>Artículo 10. Corresponden a la Dirección General de Personal las atribuciones siguientes:</w:t>
      </w:r>
    </w:p>
    <w:p w14:paraId="141A3979" w14:textId="77777777" w:rsidR="002F136B" w:rsidRPr="005A189A" w:rsidRDefault="002F136B" w:rsidP="008342C3">
      <w:pPr>
        <w:spacing w:line="360" w:lineRule="auto"/>
        <w:ind w:left="426" w:right="474"/>
        <w:jc w:val="both"/>
        <w:rPr>
          <w:rFonts w:ascii="Palatino Linotype" w:eastAsia="Palatino Linotype" w:hAnsi="Palatino Linotype" w:cs="Palatino Linotype"/>
          <w:i/>
        </w:rPr>
      </w:pPr>
      <w:r w:rsidRPr="005A189A">
        <w:rPr>
          <w:rFonts w:ascii="Palatino Linotype" w:eastAsia="Palatino Linotype" w:hAnsi="Palatino Linotype" w:cs="Palatino Linotype"/>
          <w:i/>
        </w:rPr>
        <w:t>…</w:t>
      </w:r>
    </w:p>
    <w:p w14:paraId="4D1B8124" w14:textId="77777777" w:rsidR="002F136B" w:rsidRPr="005A189A" w:rsidRDefault="002F136B" w:rsidP="008342C3">
      <w:pPr>
        <w:spacing w:line="360" w:lineRule="auto"/>
        <w:ind w:left="426" w:right="474"/>
        <w:jc w:val="both"/>
        <w:rPr>
          <w:rFonts w:ascii="Palatino Linotype" w:eastAsia="Palatino Linotype" w:hAnsi="Palatino Linotype" w:cs="Palatino Linotype"/>
          <w:i/>
        </w:rPr>
      </w:pPr>
      <w:r w:rsidRPr="005A189A">
        <w:rPr>
          <w:rFonts w:ascii="Palatino Linotype" w:eastAsia="Palatino Linotype" w:hAnsi="Palatino Linotype" w:cs="Palatino Linotype"/>
          <w:i/>
        </w:rPr>
        <w:t>IX. Proporcionar a las personas servidoras públicas del sector central de la administración pública estatal, constancias y documentos para su identificación;</w:t>
      </w:r>
    </w:p>
    <w:p w14:paraId="33362609" w14:textId="77777777" w:rsidR="002F136B" w:rsidRPr="005A189A" w:rsidRDefault="002F136B" w:rsidP="008342C3">
      <w:pPr>
        <w:spacing w:line="360" w:lineRule="auto"/>
        <w:ind w:left="426" w:right="474"/>
        <w:jc w:val="both"/>
        <w:rPr>
          <w:rFonts w:ascii="Palatino Linotype" w:eastAsia="Palatino Linotype" w:hAnsi="Palatino Linotype" w:cs="Palatino Linotype"/>
          <w:i/>
        </w:rPr>
      </w:pPr>
      <w:r w:rsidRPr="005A189A">
        <w:rPr>
          <w:rFonts w:ascii="Palatino Linotype" w:eastAsia="Palatino Linotype" w:hAnsi="Palatino Linotype" w:cs="Palatino Linotype"/>
          <w:i/>
        </w:rPr>
        <w:t>…</w:t>
      </w:r>
    </w:p>
    <w:p w14:paraId="3F5DE696" w14:textId="77777777" w:rsidR="002F136B" w:rsidRPr="005A189A" w:rsidRDefault="002F136B" w:rsidP="008342C3">
      <w:pPr>
        <w:pStyle w:val="Prrafodelista"/>
        <w:spacing w:line="360" w:lineRule="auto"/>
        <w:ind w:left="0"/>
        <w:jc w:val="both"/>
        <w:rPr>
          <w:rFonts w:ascii="Palatino Linotype" w:eastAsia="Palatino Linotype" w:hAnsi="Palatino Linotype" w:cs="Palatino Linotype"/>
        </w:rPr>
      </w:pPr>
    </w:p>
    <w:p w14:paraId="1063CEA1" w14:textId="77777777" w:rsidR="002F136B" w:rsidRPr="005A189A" w:rsidRDefault="002F136B"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lastRenderedPageBreak/>
        <w:t>En esa tesitura, por su parte el Manual General de Organización de la Oficialía Mayor, Apartado 23400004040300L, determina lo siguiente:</w:t>
      </w:r>
    </w:p>
    <w:p w14:paraId="5FFAAA90" w14:textId="77777777" w:rsidR="002F136B" w:rsidRPr="005A189A" w:rsidRDefault="002F136B" w:rsidP="008342C3">
      <w:pPr>
        <w:pStyle w:val="Prrafodelista"/>
        <w:spacing w:line="360" w:lineRule="auto"/>
        <w:ind w:left="0"/>
        <w:jc w:val="both"/>
        <w:rPr>
          <w:rFonts w:ascii="Palatino Linotype" w:eastAsia="Palatino Linotype" w:hAnsi="Palatino Linotype" w:cs="Palatino Linotype"/>
        </w:rPr>
      </w:pPr>
    </w:p>
    <w:p w14:paraId="2E6E395E"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23400004040300L SUBDIRECCIÓN DE CONTROL DE PAGOS</w:t>
      </w:r>
    </w:p>
    <w:p w14:paraId="559BA9EF"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OBJETIVO:</w:t>
      </w:r>
    </w:p>
    <w:p w14:paraId="4FD3070C"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Supervisar y entregar información de las remuneraciones a las personas servidoras públicas de las dependencias del Poder Ejecutivo Estatal, por la prestación de sus servicios, así como dirigir los servicios de orientación y trámite de diversos conceptos (constancias de no adeudo, validación de finiquitos y laudos, constancias anuales y comprobantes quincenales de percepciones y deducciones, constancias de históricos laborales, alta de pensiones alimenticias, alta de embargos judiciales, entre otros).</w:t>
      </w:r>
    </w:p>
    <w:p w14:paraId="6DC22D4D"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FUNCIONES:</w:t>
      </w:r>
    </w:p>
    <w:p w14:paraId="4D50C9EC"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1. Concentrar los cheques de nómina definitiva emitidas por la Dirección General del Sistema Estatal de Informática para su posterior envió a la Contaduría General Gubernamental.</w:t>
      </w:r>
    </w:p>
    <w:p w14:paraId="2F5F52C1"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2. Proporcionar asesoría así como generación de usuarios y contraseñas a las coordinaciones administrativas o equivalentes de las dependencias y órganos administrativos desconcentrados del Poder Ejecutivo Estatal para ingresar al Sistema de Emisión de Comprobantes de Percepciones y Deducciones, a través de la red Internet en la página del Gobierno (g2g), para consultar los comprobantes de percepciones y deducciones correspondientes al pago de nómina anual y quincenal de las personas servidoras públicas adscritas a sus dependencias, así como para detectar posibles inconsistencias para su eventual regularización.</w:t>
      </w:r>
    </w:p>
    <w:p w14:paraId="76F67ECA"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lastRenderedPageBreak/>
        <w:t>3. Validar y dar trámite para su autorización a los recibos de pago enviados por las Coordinaciones Administrativas o equivalentes por concepto de finiquito y laudo, para su posterior devolución a la dependencia y continuar con el trámite correspondiente.</w:t>
      </w:r>
    </w:p>
    <w:p w14:paraId="696B12ED"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4. Recibir, clasificar y seleccionar de la Subdirección de Control de Calidad de Procesos, la documentación referente a los movimientos de las personas servidoras públicas para la integración de expedientes, a través de los medios técnicos pertinentes, para complementar su constancia de histórico laboral.</w:t>
      </w:r>
    </w:p>
    <w:p w14:paraId="4BC1FE91"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5. Coordinar el área de atención al público en la Dirección de Remuneraciones al Personal y en las oficinas desconcentradas, para informar y orientar al personal al servicio público, respecto de sus percepciones y deducciones, con el objeto de que las coordinaciones administrativas o equivalentes de las dependencias y órganos administrativos desconcentrados del Poder Ejecutivo Estatal, tramiten los conceptos de pago a que tienen derecho.</w:t>
      </w:r>
    </w:p>
    <w:p w14:paraId="6C4FCCCD"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b/>
          <w:i/>
        </w:rPr>
      </w:pPr>
      <w:r w:rsidRPr="005A189A">
        <w:rPr>
          <w:rFonts w:ascii="Palatino Linotype" w:eastAsia="Palatino Linotype" w:hAnsi="Palatino Linotype" w:cs="Palatino Linotype"/>
          <w:b/>
          <w:i/>
        </w:rPr>
        <w:t>6. Emitir las constancias que soliciten las personas servidoras públicas generales y de confianza sobre su historia laboral, percepciones o deducciones correspondientes, así como las que requieran las autoridades competentes.</w:t>
      </w:r>
    </w:p>
    <w:p w14:paraId="4C70C34B"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7. Emitir con base en el sistema de nómina las Constancias de No Adeudo que soliciten las personas servidoras públicas de las dependencias del Poder Ejecutivo Estatal, así como las que requieran las autoridades competentes.</w:t>
      </w:r>
    </w:p>
    <w:p w14:paraId="1D00E09A"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8. Aplicar y controlar en el Sistema de Nómina del Sector Central del Poder Ejecutivo los descuentos ordenados por las autoridades competentes referente a pensión alimenticia de las personas servidoras públicas de las dependencias del Poder Ejecutivo Estatal.</w:t>
      </w:r>
    </w:p>
    <w:p w14:paraId="45B52AF1"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lastRenderedPageBreak/>
        <w:t>9. Retener, liberar, cancelar y reexpedir el pago por cheque o depósito bancario de las personas servidoras públicas en relación de la quincena actual a petición de la dependencia, en el Sistema de Nómina, así como actualizar sus comprobantes en el Sistema de Emisión de Comprobantes de Percepciones y Deducciones, a través de la red Internet en la página del Gobierno (g2g).</w:t>
      </w:r>
    </w:p>
    <w:p w14:paraId="523D45D4" w14:textId="77777777" w:rsidR="00F478D8" w:rsidRPr="005A189A" w:rsidRDefault="00F478D8" w:rsidP="008342C3">
      <w:pPr>
        <w:pStyle w:val="Prrafodelista"/>
        <w:spacing w:line="360" w:lineRule="auto"/>
        <w:ind w:left="426" w:right="332"/>
        <w:jc w:val="both"/>
        <w:rPr>
          <w:rFonts w:ascii="Palatino Linotype" w:eastAsia="Palatino Linotype" w:hAnsi="Palatino Linotype" w:cs="Palatino Linotype"/>
          <w:i/>
        </w:rPr>
      </w:pPr>
      <w:r w:rsidRPr="005A189A">
        <w:rPr>
          <w:rFonts w:ascii="Palatino Linotype" w:eastAsia="Palatino Linotype" w:hAnsi="Palatino Linotype" w:cs="Palatino Linotype"/>
          <w:i/>
        </w:rPr>
        <w:t>10. Desarrollar las demás funciones inherentes al área de su competencia.</w:t>
      </w:r>
    </w:p>
    <w:p w14:paraId="13ACAD89" w14:textId="77777777" w:rsidR="00F478D8" w:rsidRPr="005A189A" w:rsidRDefault="00F478D8" w:rsidP="008342C3">
      <w:pPr>
        <w:pStyle w:val="Prrafodelista"/>
        <w:spacing w:line="360" w:lineRule="auto"/>
        <w:ind w:left="0"/>
        <w:jc w:val="both"/>
        <w:rPr>
          <w:rFonts w:ascii="Palatino Linotype" w:eastAsia="Palatino Linotype" w:hAnsi="Palatino Linotype" w:cs="Palatino Linotype"/>
        </w:rPr>
      </w:pPr>
    </w:p>
    <w:p w14:paraId="628A1A3D" w14:textId="77777777" w:rsidR="00F478D8" w:rsidRPr="005A189A" w:rsidRDefault="00F478D8"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En razón de lo anterior el Gobierno Estatal en su Registro Estatal de Trámites y Servicios [</w:t>
      </w:r>
      <w:proofErr w:type="spellStart"/>
      <w:r w:rsidRPr="005A189A">
        <w:rPr>
          <w:rFonts w:ascii="Palatino Linotype" w:eastAsia="Palatino Linotype" w:hAnsi="Palatino Linotype" w:cs="Palatino Linotype"/>
        </w:rPr>
        <w:t>RETyS</w:t>
      </w:r>
      <w:proofErr w:type="spellEnd"/>
      <w:r w:rsidRPr="005A189A">
        <w:rPr>
          <w:rFonts w:ascii="Palatino Linotype" w:eastAsia="Palatino Linotype" w:hAnsi="Palatino Linotype" w:cs="Palatino Linotype"/>
        </w:rPr>
        <w:t>], tiene publicado el siguiente tramite:</w:t>
      </w:r>
    </w:p>
    <w:p w14:paraId="671D7C36" w14:textId="77777777" w:rsidR="00F478D8" w:rsidRPr="005A189A" w:rsidRDefault="00F478D8" w:rsidP="008342C3">
      <w:pPr>
        <w:spacing w:line="360" w:lineRule="auto"/>
        <w:jc w:val="both"/>
        <w:rPr>
          <w:rFonts w:ascii="Palatino Linotype" w:eastAsia="Palatino Linotype" w:hAnsi="Palatino Linotype" w:cs="Palatino Linotype"/>
        </w:rPr>
      </w:pPr>
    </w:p>
    <w:p w14:paraId="71330C97" w14:textId="77777777" w:rsidR="00F478D8" w:rsidRPr="005A189A" w:rsidRDefault="00F478D8" w:rsidP="008342C3">
      <w:pPr>
        <w:spacing w:line="360" w:lineRule="auto"/>
        <w:jc w:val="both"/>
        <w:rPr>
          <w:rFonts w:ascii="Palatino Linotype" w:eastAsia="Palatino Linotype" w:hAnsi="Palatino Linotype" w:cs="Palatino Linotype"/>
        </w:rPr>
      </w:pPr>
      <w:r w:rsidRPr="005A189A">
        <w:rPr>
          <w:rFonts w:ascii="Palatino Linotype" w:eastAsia="Palatino Linotype" w:hAnsi="Palatino Linotype" w:cs="Palatino Linotype"/>
          <w:noProof/>
        </w:rPr>
        <w:drawing>
          <wp:inline distT="0" distB="0" distL="0" distR="0" wp14:anchorId="30DEC593" wp14:editId="6D4E546B">
            <wp:extent cx="5791835" cy="36010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3601085"/>
                    </a:xfrm>
                    <a:prstGeom prst="rect">
                      <a:avLst/>
                    </a:prstGeom>
                  </pic:spPr>
                </pic:pic>
              </a:graphicData>
            </a:graphic>
          </wp:inline>
        </w:drawing>
      </w:r>
    </w:p>
    <w:p w14:paraId="4E76E90D" w14:textId="77777777" w:rsidR="00B65813" w:rsidRPr="005A189A" w:rsidRDefault="00B65813" w:rsidP="008342C3">
      <w:pPr>
        <w:spacing w:line="360" w:lineRule="auto"/>
        <w:jc w:val="both"/>
        <w:rPr>
          <w:rFonts w:ascii="Palatino Linotype" w:eastAsia="Palatino Linotype" w:hAnsi="Palatino Linotype" w:cs="Palatino Linotype"/>
        </w:rPr>
      </w:pPr>
      <w:r w:rsidRPr="005A189A">
        <w:rPr>
          <w:rFonts w:ascii="Palatino Linotype" w:eastAsia="Palatino Linotype" w:hAnsi="Palatino Linotype" w:cs="Palatino Linotype"/>
          <w:noProof/>
        </w:rPr>
        <w:lastRenderedPageBreak/>
        <w:drawing>
          <wp:inline distT="0" distB="0" distL="0" distR="0" wp14:anchorId="710979AA" wp14:editId="138D6513">
            <wp:extent cx="5791835" cy="3493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3493135"/>
                    </a:xfrm>
                    <a:prstGeom prst="rect">
                      <a:avLst/>
                    </a:prstGeom>
                  </pic:spPr>
                </pic:pic>
              </a:graphicData>
            </a:graphic>
          </wp:inline>
        </w:drawing>
      </w:r>
    </w:p>
    <w:p w14:paraId="42D77CA7" w14:textId="77777777" w:rsidR="00326928" w:rsidRPr="005A189A" w:rsidRDefault="00326928" w:rsidP="008342C3">
      <w:pPr>
        <w:spacing w:line="360" w:lineRule="auto"/>
        <w:jc w:val="both"/>
        <w:rPr>
          <w:rFonts w:ascii="Palatino Linotype" w:eastAsia="Palatino Linotype" w:hAnsi="Palatino Linotype" w:cs="Palatino Linotype"/>
        </w:rPr>
      </w:pPr>
    </w:p>
    <w:p w14:paraId="5FD5DFD8" w14:textId="77777777" w:rsidR="00B65813" w:rsidRPr="005A189A" w:rsidRDefault="00B65813" w:rsidP="008342C3">
      <w:pPr>
        <w:spacing w:line="360" w:lineRule="auto"/>
        <w:jc w:val="both"/>
        <w:rPr>
          <w:rFonts w:ascii="Palatino Linotype" w:eastAsia="Palatino Linotype" w:hAnsi="Palatino Linotype" w:cs="Palatino Linotype"/>
        </w:rPr>
      </w:pPr>
      <w:r w:rsidRPr="005A189A">
        <w:rPr>
          <w:rFonts w:ascii="Palatino Linotype" w:eastAsia="Palatino Linotype" w:hAnsi="Palatino Linotype" w:cs="Palatino Linotype"/>
          <w:noProof/>
        </w:rPr>
        <w:drawing>
          <wp:inline distT="0" distB="0" distL="0" distR="0" wp14:anchorId="326B3630" wp14:editId="560A9053">
            <wp:extent cx="5791835" cy="23469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346960"/>
                    </a:xfrm>
                    <a:prstGeom prst="rect">
                      <a:avLst/>
                    </a:prstGeom>
                  </pic:spPr>
                </pic:pic>
              </a:graphicData>
            </a:graphic>
          </wp:inline>
        </w:drawing>
      </w:r>
    </w:p>
    <w:p w14:paraId="2AF93EC2" w14:textId="77777777" w:rsidR="00F478D8" w:rsidRPr="005A189A" w:rsidRDefault="00F478D8" w:rsidP="008342C3">
      <w:pPr>
        <w:pStyle w:val="Prrafodelista"/>
        <w:spacing w:line="360" w:lineRule="auto"/>
        <w:ind w:left="0"/>
        <w:jc w:val="both"/>
        <w:rPr>
          <w:rFonts w:ascii="Palatino Linotype" w:eastAsia="Palatino Linotype" w:hAnsi="Palatino Linotype" w:cs="Palatino Linotype"/>
        </w:rPr>
      </w:pPr>
    </w:p>
    <w:p w14:paraId="16DD7264" w14:textId="3F653421" w:rsidR="0012495F" w:rsidRPr="005A189A" w:rsidRDefault="0012495F" w:rsidP="00721360">
      <w:pPr>
        <w:pStyle w:val="Prrafodelista"/>
        <w:numPr>
          <w:ilvl w:val="0"/>
          <w:numId w:val="5"/>
        </w:numPr>
        <w:spacing w:line="360" w:lineRule="auto"/>
        <w:ind w:left="0" w:firstLine="0"/>
        <w:jc w:val="both"/>
        <w:rPr>
          <w:rFonts w:ascii="Palatino Linotype" w:hAnsi="Palatino Linotype"/>
        </w:rPr>
      </w:pPr>
      <w:r w:rsidRPr="005A189A">
        <w:rPr>
          <w:rFonts w:ascii="Palatino Linotype" w:hAnsi="Palatino Linotype"/>
        </w:rPr>
        <w:t>No pasa desapercibido</w:t>
      </w:r>
      <w:r w:rsidR="00721360" w:rsidRPr="005A189A">
        <w:t xml:space="preserve"> </w:t>
      </w:r>
      <w:r w:rsidR="00721360" w:rsidRPr="005A189A">
        <w:rPr>
          <w:rFonts w:ascii="Palatino Linotype" w:hAnsi="Palatino Linotype"/>
        </w:rPr>
        <w:t xml:space="preserve">que de </w:t>
      </w:r>
      <w:r w:rsidR="00721360" w:rsidRPr="005A189A">
        <w:rPr>
          <w:rFonts w:ascii="Palatino Linotype" w:eastAsia="Palatino Linotype" w:hAnsi="Palatino Linotype" w:cs="Palatino Linotype"/>
        </w:rPr>
        <w:t>conformidad</w:t>
      </w:r>
      <w:r w:rsidR="00721360" w:rsidRPr="005A189A">
        <w:rPr>
          <w:rFonts w:ascii="Palatino Linotype" w:hAnsi="Palatino Linotype"/>
        </w:rPr>
        <w:t xml:space="preserve"> al Reglamento Interior de la Secretaría de Educación, Ciencia, Tecnología e Innovación, se advierte la </w:t>
      </w:r>
      <w:r w:rsidR="00721360" w:rsidRPr="005A189A">
        <w:rPr>
          <w:rFonts w:ascii="Palatino Linotype" w:eastAsia="Palatino Linotype" w:hAnsi="Palatino Linotype" w:cs="Palatino Linotype"/>
        </w:rPr>
        <w:t>denominada</w:t>
      </w:r>
      <w:r w:rsidR="00721360" w:rsidRPr="005A189A">
        <w:rPr>
          <w:rFonts w:ascii="Palatino Linotype" w:hAnsi="Palatino Linotype"/>
        </w:rPr>
        <w:t xml:space="preserve"> Coordinación de Delegaciones Administrativas, cuyas facultades son las siguientes:</w:t>
      </w:r>
    </w:p>
    <w:p w14:paraId="628FEEF9" w14:textId="77777777" w:rsidR="005773D8" w:rsidRPr="005A189A" w:rsidRDefault="005773D8" w:rsidP="005773D8">
      <w:pPr>
        <w:spacing w:line="360" w:lineRule="auto"/>
        <w:ind w:left="709" w:right="474" w:hanging="425"/>
        <w:jc w:val="both"/>
        <w:rPr>
          <w:rFonts w:ascii="Palatino Linotype" w:eastAsia="Calibri" w:hAnsi="Palatino Linotype" w:cs="Arial"/>
          <w:i/>
        </w:rPr>
      </w:pPr>
      <w:r w:rsidRPr="005A189A">
        <w:rPr>
          <w:rFonts w:ascii="Palatino Linotype" w:eastAsia="Calibri" w:hAnsi="Palatino Linotype" w:cs="Arial"/>
          <w:b/>
          <w:bCs/>
          <w:i/>
        </w:rPr>
        <w:lastRenderedPageBreak/>
        <w:t xml:space="preserve">Artículo 27. </w:t>
      </w:r>
      <w:r w:rsidRPr="005A189A">
        <w:rPr>
          <w:rFonts w:ascii="Palatino Linotype" w:eastAsia="Calibri" w:hAnsi="Palatino Linotype" w:cs="Arial"/>
          <w:i/>
        </w:rPr>
        <w:t>Corresponden a la Coordinación de Delegaciones Administrativas las atribuciones siguientes:</w:t>
      </w:r>
    </w:p>
    <w:p w14:paraId="46CFC04A" w14:textId="77777777" w:rsidR="005773D8" w:rsidRPr="005A189A" w:rsidRDefault="005773D8" w:rsidP="005773D8">
      <w:pPr>
        <w:spacing w:line="360" w:lineRule="auto"/>
        <w:ind w:left="709" w:right="474" w:hanging="425"/>
        <w:jc w:val="both"/>
        <w:rPr>
          <w:rFonts w:ascii="Palatino Linotype" w:eastAsia="Calibri" w:hAnsi="Palatino Linotype" w:cs="Arial"/>
          <w:i/>
        </w:rPr>
      </w:pPr>
    </w:p>
    <w:p w14:paraId="2B10BE10"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Coordinar y vigilar el suministro de los recursos humanos, financieros, materiales, técnicos y servicios generales, que requieren las Delegaciones Administrativas adscritas a la Secretaría para apoyar el cumplimiento de sus objetivos, conforme a la normatividad vigente y las directrices de la Oficialía Mayor del Gobierno del Estado;</w:t>
      </w:r>
    </w:p>
    <w:p w14:paraId="3C5823DC"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Coordinar la integración del anteproyecto de Presupuesto Anual de Egresos de las Subsecretarías de Educación Básica, Educación Media Superior y Educación Superior y Normal y su presentación ante la Secretaría de Finanzas Estatal;</w:t>
      </w:r>
    </w:p>
    <w:p w14:paraId="1C6483AB"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Coordinar la integración del Programa Anual de Adquisición de Bienes y Contratación de Servicios de las Subsecretarías de Educación Básica, Educación Media Superior y Educación Superior y Normal y su presentación ante la Oficial Mayor del Gobierno Estatal;</w:t>
      </w:r>
    </w:p>
    <w:p w14:paraId="571BFB4E"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b/>
          <w:i/>
          <w:lang w:val="es-ES_tradnl"/>
        </w:rPr>
      </w:pPr>
      <w:r w:rsidRPr="005A189A">
        <w:rPr>
          <w:rFonts w:ascii="Palatino Linotype" w:eastAsiaTheme="minorEastAsia" w:hAnsi="Palatino Linotype" w:cs="Arial"/>
          <w:b/>
          <w:i/>
          <w:lang w:val="es-ES_tradnl"/>
        </w:rPr>
        <w:t>Supervisar, coordinar y vigilar el ejercicio presupuestal de las unidades administrativas que conforman las Subsecretarías de Educación Básica, Educación Media Superior y Educación Superior y Normal;</w:t>
      </w:r>
    </w:p>
    <w:p w14:paraId="6784C46A"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Vigilar que el manejo de los recursos humanos, financieros, materiales, técnicos y de servicios generales de las unidades administrativas de las Subsecretarías de Educación Básica, de Educación Media Superior y de Educación Superior y Normal, se lleve a cabo en cumplimiento a las normas, políticas y procedimientos establecidos por la Secretaría de Finanzas, la Oficialía Mayor del Gobierno del Estado y la propia Secretaría;</w:t>
      </w:r>
    </w:p>
    <w:p w14:paraId="6B6FF19E"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lastRenderedPageBreak/>
        <w:t>Coordinar la administración en la asignación de plazas y horas clase que se autorizan y la incorporación a las unidades administrativas en las Subsecretarías de Educación Básica, de Educación Media Superior y de Educación Superior y Normal, así como la ejecución de incidencias y movimientos en la base de datos del Sistema Integral de Información de Personal;</w:t>
      </w:r>
    </w:p>
    <w:p w14:paraId="409535CE"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b/>
          <w:i/>
          <w:lang w:val="es-ES_tradnl"/>
        </w:rPr>
      </w:pPr>
      <w:r w:rsidRPr="005A189A">
        <w:rPr>
          <w:rFonts w:ascii="Palatino Linotype" w:eastAsiaTheme="minorEastAsia" w:hAnsi="Palatino Linotype" w:cs="Arial"/>
          <w:b/>
          <w:i/>
          <w:lang w:val="es-ES_tradnl"/>
        </w:rPr>
        <w:t>Supervisar la aplicación de percepciones salariales y las diversas prestaciones económicas y sociales las personas servidoras públicas docentes, derivadas del Convenio de Sueldos y Prestaciones vigente, firmado por el Gobierno del Estado y el Sindicato de Maestros al Servicio del Estado;</w:t>
      </w:r>
    </w:p>
    <w:p w14:paraId="373DFFF8"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Vigilar la gestión del pago de finiquito a las personas ex servidoras públicas docentes de base o interinos, que causaron baja por jubilación, renuncia, fallecimiento, término de contrato o por licencia sin goce de sueldo, adscritos a las Subsecretarías de Educación Básica, de Educación Media Superior y de Educación Superior y Normal;</w:t>
      </w:r>
    </w:p>
    <w:p w14:paraId="6091A8A8"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Supervisar la ejecución de la indemnización dictaminada por el Instituto de Seguridad Social del Estado de México y Municipios, así como las resoluciones que emita el Tribunal Estatal de Conciliación y Arbitraje, y el Órgano Interno de Control de la Secretaría, de las personas servidoras públicas docentes adscritas a las Subsecretarías de Educación Básica, de Educación Media Superior y de Educación Superior y Normal;</w:t>
      </w:r>
    </w:p>
    <w:p w14:paraId="4F000D85"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 xml:space="preserve">Supervisar la ejecución de los avisos de movimiento para la afiliación y vigencia de derechos de las personas servidoras públicas docentes ante el Instituto de Seguridad Social del Estado de México y Municipios, adscritas a las Subsecretarías de </w:t>
      </w:r>
      <w:r w:rsidRPr="005A189A">
        <w:rPr>
          <w:rFonts w:ascii="Palatino Linotype" w:eastAsiaTheme="minorEastAsia" w:hAnsi="Palatino Linotype" w:cs="Arial"/>
          <w:i/>
          <w:lang w:val="es-ES_tradnl"/>
        </w:rPr>
        <w:lastRenderedPageBreak/>
        <w:t>Educación Básica, de Educación Media Superior y de Educación Superior y Normal;</w:t>
      </w:r>
    </w:p>
    <w:p w14:paraId="50139503"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Coordinar el apoyo a los organismos descentralizados sectorizados a la Secretaría, en trámites presupuestales, financieros, programáticos, de cuenta pública y autorizaciones de recursos ante la Secretaría de Finanzas, la Oficialía Mayor del Gobierno del Estado y demás instancias financieras;</w:t>
      </w:r>
    </w:p>
    <w:p w14:paraId="1A486AEF"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Dar seguimiento a la gestión de firmas de las autoridades estatales, de los convenios anuales del subsidio ordinario o extraordinario, programas de Fondos Concursables, Expansión de la Oferta Educativa, Infraestructura y Autonomía de Gestión, de las Subsecretarías de Educación Básica, Educación Media Superior y de Educación Superior y Normal, y</w:t>
      </w:r>
    </w:p>
    <w:p w14:paraId="673B1A4E" w14:textId="77777777" w:rsidR="005773D8" w:rsidRPr="005A189A" w:rsidRDefault="005773D8" w:rsidP="005773D8">
      <w:pPr>
        <w:numPr>
          <w:ilvl w:val="0"/>
          <w:numId w:val="13"/>
        </w:numPr>
        <w:spacing w:line="360" w:lineRule="auto"/>
        <w:ind w:left="709" w:right="474" w:hanging="425"/>
        <w:jc w:val="both"/>
        <w:rPr>
          <w:rFonts w:ascii="Palatino Linotype" w:eastAsiaTheme="minorEastAsia" w:hAnsi="Palatino Linotype" w:cs="Arial"/>
          <w:i/>
          <w:lang w:val="es-ES_tradnl"/>
        </w:rPr>
      </w:pPr>
      <w:r w:rsidRPr="005A189A">
        <w:rPr>
          <w:rFonts w:ascii="Palatino Linotype" w:eastAsiaTheme="minorEastAsia" w:hAnsi="Palatino Linotype" w:cs="Arial"/>
          <w:i/>
          <w:lang w:val="es-ES_tradnl"/>
        </w:rPr>
        <w:t>Las demás que le confieran otras disposiciones jurídicas y aquéllas que le encomiende la persona titular de la Subsecretaría.</w:t>
      </w:r>
    </w:p>
    <w:p w14:paraId="04D54D9E" w14:textId="77777777" w:rsidR="005773D8" w:rsidRPr="005A189A" w:rsidRDefault="005773D8" w:rsidP="005773D8">
      <w:pPr>
        <w:spacing w:line="360" w:lineRule="auto"/>
        <w:jc w:val="both"/>
        <w:rPr>
          <w:rFonts w:ascii="Palatino Linotype" w:hAnsi="Palatino Linotype"/>
        </w:rPr>
      </w:pPr>
    </w:p>
    <w:p w14:paraId="602EC4B4" w14:textId="331CBCDA" w:rsidR="005773D8" w:rsidRPr="005A189A" w:rsidRDefault="005773D8" w:rsidP="005773D8">
      <w:pPr>
        <w:pStyle w:val="Prrafodelista"/>
        <w:numPr>
          <w:ilvl w:val="0"/>
          <w:numId w:val="5"/>
        </w:numPr>
        <w:spacing w:line="360" w:lineRule="auto"/>
        <w:ind w:left="0" w:firstLine="0"/>
        <w:jc w:val="both"/>
        <w:rPr>
          <w:rFonts w:ascii="Palatino Linotype" w:hAnsi="Palatino Linotype"/>
        </w:rPr>
      </w:pPr>
      <w:r w:rsidRPr="005A189A">
        <w:rPr>
          <w:rFonts w:ascii="Palatino Linotype" w:hAnsi="Palatino Linotype"/>
        </w:rPr>
        <w:t xml:space="preserve">Como se observa es un área clave que tiene como objetivo supervisar, coordinar y apoyar la gestión administrativa y operativa de las delegaciones o unidades regionales </w:t>
      </w:r>
      <w:r w:rsidRPr="005A189A">
        <w:rPr>
          <w:rFonts w:ascii="Palatino Linotype" w:eastAsia="Palatino Linotype" w:hAnsi="Palatino Linotype" w:cs="Palatino Linotype"/>
        </w:rPr>
        <w:t>que</w:t>
      </w:r>
      <w:r w:rsidRPr="005A189A">
        <w:rPr>
          <w:rFonts w:ascii="Palatino Linotype" w:hAnsi="Palatino Linotype"/>
        </w:rPr>
        <w:t xml:space="preserve"> dependen de la Secretaría. Sus funciones están enfocadas en garantizar que las políticas, programas y recursos de la Secretaría se implementen de manera eficiente y efectiva en todas las regiones del estado.</w:t>
      </w:r>
    </w:p>
    <w:p w14:paraId="73588B06" w14:textId="77777777" w:rsidR="005773D8" w:rsidRPr="005A189A" w:rsidRDefault="005773D8" w:rsidP="005773D8">
      <w:pPr>
        <w:pStyle w:val="Prrafodelista"/>
        <w:spacing w:line="360" w:lineRule="auto"/>
        <w:ind w:left="0"/>
        <w:jc w:val="both"/>
        <w:rPr>
          <w:rFonts w:ascii="Palatino Linotype" w:hAnsi="Palatino Linotype"/>
        </w:rPr>
      </w:pPr>
    </w:p>
    <w:p w14:paraId="61B18C19" w14:textId="6C7A05E2" w:rsidR="005773D8" w:rsidRPr="005A189A" w:rsidRDefault="005773D8" w:rsidP="005773D8">
      <w:pPr>
        <w:pStyle w:val="Prrafodelista"/>
        <w:numPr>
          <w:ilvl w:val="0"/>
          <w:numId w:val="5"/>
        </w:numPr>
        <w:spacing w:line="360" w:lineRule="auto"/>
        <w:ind w:left="0" w:firstLine="0"/>
        <w:jc w:val="both"/>
        <w:rPr>
          <w:rFonts w:ascii="Palatino Linotype" w:hAnsi="Palatino Linotype"/>
        </w:rPr>
      </w:pPr>
      <w:r w:rsidRPr="005A189A">
        <w:rPr>
          <w:rFonts w:ascii="Palatino Linotype" w:hAnsi="Palatino Linotype"/>
        </w:rPr>
        <w:t xml:space="preserve">En ese contexto únicamente puede generar constancias anualizadas y comprobantes de percepciones y deducciones, de los últimos tres ejercicios fiscales, como lo señala el sistema G2G, que se refiere al Portal de Gestión Interna, diseñada para facilitar diversos trámites y servicios dirigidos a los servidores públicos de la </w:t>
      </w:r>
      <w:r w:rsidRPr="005A189A">
        <w:rPr>
          <w:rFonts w:ascii="Palatino Linotype" w:hAnsi="Palatino Linotype"/>
        </w:rPr>
        <w:lastRenderedPageBreak/>
        <w:t xml:space="preserve">entidad. Este portal centraliza herramientas y recursos que optimizan la gestión administrativa interna; no obstante del resto de los años posteriores a los últimos tres ejercicios fiscales, es </w:t>
      </w:r>
      <w:r w:rsidRPr="005A189A">
        <w:rPr>
          <w:rFonts w:ascii="Palatino Linotype" w:eastAsia="Palatino Linotype" w:hAnsi="Palatino Linotype" w:cs="Palatino Linotype"/>
        </w:rPr>
        <w:t>responsabilidad</w:t>
      </w:r>
      <w:r w:rsidRPr="005A189A">
        <w:rPr>
          <w:rFonts w:ascii="Palatino Linotype" w:hAnsi="Palatino Linotype"/>
        </w:rPr>
        <w:t xml:space="preserve"> de la Subdirección de Control de Pagos de la Oficialía Mayor, cuyo objetivo es supervisar y proporcionar información sobre las remuneraciones a las personas servidoras públicas de las dependencias del Poder Ejecutivo Estatal.</w:t>
      </w:r>
    </w:p>
    <w:p w14:paraId="7D3D2100" w14:textId="77777777" w:rsidR="005773D8" w:rsidRPr="005A189A" w:rsidRDefault="005773D8" w:rsidP="005773D8">
      <w:pPr>
        <w:pStyle w:val="Prrafodelista"/>
        <w:spacing w:line="360" w:lineRule="auto"/>
        <w:ind w:left="0"/>
        <w:jc w:val="both"/>
        <w:rPr>
          <w:rFonts w:ascii="Palatino Linotype" w:hAnsi="Palatino Linotype"/>
        </w:rPr>
      </w:pPr>
    </w:p>
    <w:p w14:paraId="36E9516C"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rPr>
      </w:pPr>
      <w:r w:rsidRPr="005A189A">
        <w:rPr>
          <w:rFonts w:ascii="Palatino Linotype" w:eastAsia="Palatino Linotype" w:hAnsi="Palatino Linotype" w:cs="Palatino Linotype"/>
        </w:rPr>
        <w:t xml:space="preserve">Luego entonces, </w:t>
      </w:r>
      <w:r w:rsidRPr="005A189A">
        <w:rPr>
          <w:rFonts w:ascii="Palatino Linotype" w:hAnsi="Palatino Linotype"/>
        </w:rPr>
        <w:t>en esa tesitura, cuando las Unidades de Transparencia determinen la notoria incompetencia por parte de los sujetos obligados deberán comunicar al solicitante la misma dentro de los tres días posteriores a la recepción de la solicitud.</w:t>
      </w:r>
    </w:p>
    <w:p w14:paraId="2FE577DF" w14:textId="77777777" w:rsidR="00D4708A" w:rsidRPr="005A189A" w:rsidRDefault="00D4708A" w:rsidP="008342C3">
      <w:pPr>
        <w:spacing w:line="360" w:lineRule="auto"/>
        <w:jc w:val="both"/>
        <w:rPr>
          <w:rFonts w:ascii="Palatino Linotype" w:hAnsi="Palatino Linotype"/>
        </w:rPr>
      </w:pPr>
    </w:p>
    <w:p w14:paraId="11348579"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bCs/>
        </w:rPr>
      </w:pPr>
      <w:r w:rsidRPr="005A189A">
        <w:rPr>
          <w:rFonts w:ascii="Palatino Linotype" w:hAnsi="Palatino Linotype"/>
        </w:rPr>
        <w:t>Como se logra observar, si bien la Ley de la materia, prevé el supuesto de incompetencia para que los sujetos obligados den atención a solitudes de información, también lo es, que no se precisa en que consiste dicho concepto; sobre dicha situación</w:t>
      </w:r>
      <w:r w:rsidRPr="005A189A">
        <w:rPr>
          <w:rFonts w:ascii="Palatino Linotype" w:hAnsi="Palatino Linotype"/>
          <w:lang w:val="es-ES_tradnl"/>
        </w:rPr>
        <w:t>,</w:t>
      </w:r>
      <w:r w:rsidRPr="005A189A">
        <w:rPr>
          <w:rFonts w:ascii="Palatino Linotype" w:hAnsi="Palatino Linotype"/>
        </w:rPr>
        <w:t xml:space="preserve"> </w:t>
      </w:r>
      <w:r w:rsidRPr="005A189A">
        <w:rPr>
          <w:rFonts w:ascii="Palatino Linotype" w:hAnsi="Palatino Linotype"/>
          <w:bCs/>
        </w:rPr>
        <w:t>según Cabanellas, Guillermo (1993), en el “Diccionario Jurídico Elemental” (p. 32 y 161), precisó los siguientes conceptos:</w:t>
      </w:r>
    </w:p>
    <w:p w14:paraId="26F1362B" w14:textId="77777777" w:rsidR="00D4708A" w:rsidRPr="005A189A" w:rsidRDefault="00D4708A" w:rsidP="008342C3">
      <w:pPr>
        <w:spacing w:line="360" w:lineRule="auto"/>
        <w:jc w:val="both"/>
        <w:rPr>
          <w:rFonts w:ascii="Palatino Linotype" w:hAnsi="Palatino Linotype"/>
          <w:bCs/>
        </w:rPr>
      </w:pPr>
    </w:p>
    <w:p w14:paraId="0EB7E6D7" w14:textId="77777777" w:rsidR="00D4708A" w:rsidRPr="005A189A" w:rsidRDefault="00D4708A" w:rsidP="008342C3">
      <w:pPr>
        <w:numPr>
          <w:ilvl w:val="0"/>
          <w:numId w:val="10"/>
        </w:numPr>
        <w:spacing w:line="360" w:lineRule="auto"/>
        <w:jc w:val="both"/>
        <w:rPr>
          <w:rFonts w:ascii="Palatino Linotype" w:hAnsi="Palatino Linotype"/>
          <w:bCs/>
        </w:rPr>
      </w:pPr>
      <w:r w:rsidRPr="005A189A">
        <w:rPr>
          <w:rFonts w:ascii="Palatino Linotype" w:hAnsi="Palatino Linotype"/>
          <w:b/>
          <w:bCs/>
        </w:rPr>
        <w:t xml:space="preserve">Competencia: </w:t>
      </w:r>
      <w:r w:rsidRPr="005A189A">
        <w:rPr>
          <w:rFonts w:ascii="Palatino Linotype" w:hAnsi="Palatino Linotype"/>
          <w:bCs/>
        </w:rPr>
        <w:t>La capacidad de una autoridad para conocer sobre una materia o asunto.</w:t>
      </w:r>
    </w:p>
    <w:p w14:paraId="401F8A11" w14:textId="77777777" w:rsidR="00D4708A" w:rsidRPr="005A189A" w:rsidRDefault="00D4708A" w:rsidP="008342C3">
      <w:pPr>
        <w:spacing w:line="360" w:lineRule="auto"/>
        <w:jc w:val="both"/>
        <w:rPr>
          <w:rFonts w:ascii="Palatino Linotype" w:hAnsi="Palatino Linotype"/>
          <w:bCs/>
        </w:rPr>
      </w:pPr>
    </w:p>
    <w:p w14:paraId="15007E5A" w14:textId="77777777" w:rsidR="00D4708A" w:rsidRPr="005A189A" w:rsidRDefault="00D4708A" w:rsidP="008342C3">
      <w:pPr>
        <w:numPr>
          <w:ilvl w:val="0"/>
          <w:numId w:val="10"/>
        </w:numPr>
        <w:spacing w:line="360" w:lineRule="auto"/>
        <w:jc w:val="both"/>
        <w:rPr>
          <w:rFonts w:ascii="Palatino Linotype" w:hAnsi="Palatino Linotype"/>
          <w:bCs/>
        </w:rPr>
      </w:pPr>
      <w:r w:rsidRPr="005A189A">
        <w:rPr>
          <w:rFonts w:ascii="Palatino Linotype" w:hAnsi="Palatino Linotype"/>
          <w:b/>
          <w:bCs/>
        </w:rPr>
        <w:t>Incompetencia:</w:t>
      </w:r>
      <w:r w:rsidRPr="005A189A">
        <w:rPr>
          <w:rFonts w:ascii="Palatino Linotype" w:hAnsi="Palatino Linotype"/>
          <w:bCs/>
        </w:rPr>
        <w:t xml:space="preserve"> Falta de Competencia.</w:t>
      </w:r>
    </w:p>
    <w:p w14:paraId="4EFC03CF" w14:textId="77777777" w:rsidR="008342C3" w:rsidRPr="005A189A" w:rsidRDefault="008342C3" w:rsidP="008342C3">
      <w:pPr>
        <w:pStyle w:val="Prrafodelista"/>
        <w:rPr>
          <w:rFonts w:ascii="Palatino Linotype" w:hAnsi="Palatino Linotype"/>
          <w:bCs/>
        </w:rPr>
      </w:pPr>
    </w:p>
    <w:p w14:paraId="352AF01F"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rPr>
      </w:pPr>
      <w:r w:rsidRPr="005A189A">
        <w:rPr>
          <w:rFonts w:ascii="Palatino Linotype" w:hAnsi="Palatino Linotype"/>
          <w:lang w:val="es-ES_tradnl"/>
        </w:rPr>
        <w:t>Por lo que, la incompetencia, radica en la incapacidad de una autoridad para conocer de un tema o asunto; en el mismo sentido, conviene traer a cuenta tesis</w:t>
      </w:r>
      <w:r w:rsidRPr="005A189A">
        <w:rPr>
          <w:rFonts w:ascii="Palatino Linotype" w:hAnsi="Palatino Linotype"/>
        </w:rPr>
        <w:t xml:space="preserve"> aislada </w:t>
      </w:r>
      <w:r w:rsidRPr="005A189A">
        <w:rPr>
          <w:rFonts w:ascii="Palatino Linotype" w:hAnsi="Palatino Linotype"/>
        </w:rPr>
        <w:lastRenderedPageBreak/>
        <w:t xml:space="preserve">número III.2o.P.11 K, publicada en el Semanario Judicial de la Federación y su Gaceta, Novena Época, Tomo XV, Mayo de 2002, Pág. 1243, ya que precisa lo siguiente: </w:t>
      </w:r>
    </w:p>
    <w:p w14:paraId="4B4A9985" w14:textId="77777777" w:rsidR="00D4708A" w:rsidRPr="005A189A" w:rsidRDefault="00D4708A" w:rsidP="008342C3">
      <w:pPr>
        <w:spacing w:line="360" w:lineRule="auto"/>
        <w:jc w:val="both"/>
        <w:rPr>
          <w:rFonts w:ascii="Palatino Linotype" w:hAnsi="Palatino Linotype"/>
          <w:lang w:val="es-ES_tradnl"/>
        </w:rPr>
      </w:pPr>
    </w:p>
    <w:p w14:paraId="07F06F5E" w14:textId="77777777" w:rsidR="00D4708A" w:rsidRPr="005A189A" w:rsidRDefault="00D4708A" w:rsidP="008342C3">
      <w:pPr>
        <w:spacing w:line="360" w:lineRule="auto"/>
        <w:ind w:left="567" w:right="567"/>
        <w:jc w:val="both"/>
        <w:rPr>
          <w:rFonts w:ascii="Palatino Linotype" w:hAnsi="Palatino Linotype"/>
          <w:i/>
          <w:lang w:val="es-ES_tradnl"/>
        </w:rPr>
      </w:pPr>
      <w:r w:rsidRPr="005A189A">
        <w:rPr>
          <w:rFonts w:ascii="Palatino Linotype" w:hAnsi="Palatino Linotype"/>
          <w:b/>
          <w:bCs/>
          <w:i/>
          <w:lang w:val="es-ES_tradnl"/>
        </w:rPr>
        <w:t xml:space="preserve">“LEGITIMACIÓN DE FUNCIONARIOS PÚBLICOS. LOS TRIBUNALES DE AMPARO, POR ESTAR VINCULADOS CON EL CONCEPTO DE COMPETENCIA A QUE SE REFIERE EL ARTÍCULO 16 CONSTITUCIONAL, NO PUEDEN CONOCER DE AQUÉLLA. </w:t>
      </w:r>
      <w:r w:rsidRPr="005A189A">
        <w:rPr>
          <w:rFonts w:ascii="Palatino Linotype" w:hAnsi="Palatino Linotype"/>
          <w:i/>
          <w:lang w:val="es-ES_tradnl"/>
        </w:rPr>
        <w:t>El artículo </w:t>
      </w:r>
      <w:r w:rsidRPr="005A189A">
        <w:rPr>
          <w:rStyle w:val="Hipervnculo"/>
          <w:rFonts w:ascii="Palatino Linotype" w:hAnsi="Palatino Linotype"/>
          <w:i/>
          <w:lang w:val="es-ES_tradnl"/>
        </w:rPr>
        <w:t>16 constitucional</w:t>
      </w:r>
      <w:r w:rsidRPr="005A189A">
        <w:rPr>
          <w:rFonts w:ascii="Palatino Linotype" w:hAnsi="Palatino Linotype"/>
          <w:i/>
          <w:lang w:val="es-ES_tradnl"/>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DED19C7" w14:textId="77777777" w:rsidR="00D4708A" w:rsidRPr="005A189A" w:rsidRDefault="00D4708A" w:rsidP="008342C3">
      <w:pPr>
        <w:spacing w:line="360" w:lineRule="auto"/>
        <w:jc w:val="both"/>
        <w:rPr>
          <w:rFonts w:ascii="Palatino Linotype" w:hAnsi="Palatino Linotype"/>
          <w:lang w:val="es-ES_tradnl"/>
        </w:rPr>
      </w:pPr>
    </w:p>
    <w:p w14:paraId="7C02BCB5"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rPr>
      </w:pPr>
      <w:r w:rsidRPr="005A189A">
        <w:rPr>
          <w:rFonts w:ascii="Palatino Linotype" w:hAnsi="Palatino Linotype"/>
          <w:lang w:val="es-ES_tradnl"/>
        </w:rPr>
        <w:t xml:space="preserve">De la misma manera, resulta necesario traer a colación, el </w:t>
      </w:r>
      <w:r w:rsidRPr="005A189A">
        <w:rPr>
          <w:rFonts w:ascii="Palatino Linotype" w:hAnsi="Palatino Linotype"/>
          <w:lang w:val="es-ES"/>
        </w:rPr>
        <w:t xml:space="preserve">Criterio 13/17, </w:t>
      </w:r>
      <w:r w:rsidRPr="005A189A">
        <w:rPr>
          <w:rFonts w:ascii="Palatino Linotype" w:hAnsi="Palatino Linotype"/>
        </w:rPr>
        <w:t xml:space="preserve">emitido por el Instituto </w:t>
      </w:r>
      <w:r w:rsidRPr="005A189A">
        <w:rPr>
          <w:rFonts w:ascii="Palatino Linotype" w:hAnsi="Palatino Linotype"/>
          <w:lang w:val="es-ES_tradnl"/>
        </w:rPr>
        <w:t>Nacional</w:t>
      </w:r>
      <w:r w:rsidRPr="005A189A">
        <w:rPr>
          <w:rFonts w:ascii="Palatino Linotype" w:hAnsi="Palatino Linotype"/>
        </w:rPr>
        <w:t xml:space="preserve"> de Transparencia, Acceso a la Información y Protección de Datos Personales, que dispone lo siguiente: </w:t>
      </w:r>
    </w:p>
    <w:p w14:paraId="100E6EA8" w14:textId="77777777" w:rsidR="00D4708A" w:rsidRPr="005A189A" w:rsidRDefault="00D4708A" w:rsidP="008342C3">
      <w:pPr>
        <w:spacing w:line="360" w:lineRule="auto"/>
        <w:ind w:left="567" w:right="567"/>
        <w:jc w:val="both"/>
        <w:rPr>
          <w:rFonts w:ascii="Palatino Linotype" w:hAnsi="Palatino Linotype"/>
          <w:i/>
        </w:rPr>
      </w:pPr>
      <w:r w:rsidRPr="005A189A">
        <w:rPr>
          <w:rFonts w:ascii="Palatino Linotype" w:hAnsi="Palatino Linotype"/>
          <w:i/>
        </w:rPr>
        <w:t>“</w:t>
      </w:r>
      <w:r w:rsidRPr="005A189A">
        <w:rPr>
          <w:rFonts w:ascii="Palatino Linotype" w:hAnsi="Palatino Linotype"/>
          <w:b/>
          <w:bCs/>
          <w:i/>
        </w:rPr>
        <w:t xml:space="preserve">Incompetencia. </w:t>
      </w:r>
      <w:r w:rsidRPr="005A189A">
        <w:rPr>
          <w:rFonts w:ascii="Palatino Linotype" w:hAnsi="Palatino Linotype"/>
          <w:i/>
        </w:rPr>
        <w:t xml:space="preserve">La incompetencia implica la ausencia de atribuciones del sujeto obligado para poseer la información solicitada; es decir, se trata de una cuestión de </w:t>
      </w:r>
      <w:r w:rsidRPr="005A189A">
        <w:rPr>
          <w:rFonts w:ascii="Palatino Linotype" w:hAnsi="Palatino Linotype"/>
          <w:i/>
        </w:rPr>
        <w:lastRenderedPageBreak/>
        <w:t>derecho, en tanto que no existan facultades para contar con lo requerido; por lo que la incompetencia es una cualidad atribuida al sujeto obligado que la declara.”</w:t>
      </w:r>
    </w:p>
    <w:p w14:paraId="14B7E319" w14:textId="77777777" w:rsidR="00D4708A" w:rsidRPr="005A189A" w:rsidRDefault="00D4708A" w:rsidP="008342C3">
      <w:pPr>
        <w:spacing w:line="360" w:lineRule="auto"/>
        <w:jc w:val="both"/>
        <w:rPr>
          <w:rFonts w:ascii="Palatino Linotype" w:hAnsi="Palatino Linotype"/>
          <w:lang w:val="es-ES_tradnl"/>
        </w:rPr>
      </w:pPr>
    </w:p>
    <w:p w14:paraId="6D8FF52B"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lang w:val="es-ES_tradnl"/>
        </w:rPr>
      </w:pPr>
      <w:r w:rsidRPr="005A189A">
        <w:rPr>
          <w:rFonts w:ascii="Palatino Linotype" w:hAnsi="Palatino Linotype"/>
          <w:lang w:val="es-ES_tradnl"/>
        </w:rPr>
        <w:t xml:space="preserve">En tal virtud, la </w:t>
      </w:r>
      <w:r w:rsidRPr="005A189A">
        <w:rPr>
          <w:rFonts w:ascii="Palatino Linotype" w:hAnsi="Palatino Linotype"/>
          <w:b/>
          <w:lang w:val="es-ES_tradnl"/>
        </w:rPr>
        <w:t xml:space="preserve">incompetencia </w:t>
      </w:r>
      <w:r w:rsidRPr="005A189A">
        <w:rPr>
          <w:rFonts w:ascii="Palatino Linotype" w:hAnsi="Palatino Linotype"/>
          <w:lang w:val="es-ES_tradnl"/>
        </w:rPr>
        <w:t>implica que, de conformidad con las atribuciones conferidas al Sujeto Obligado, no habría razón por la cual éste deba contar con la información solicitada, en cuyo caso, tendría que orientar al particular para que acuda a la instancia competente.</w:t>
      </w:r>
    </w:p>
    <w:p w14:paraId="46BD7093" w14:textId="77777777" w:rsidR="00D4708A" w:rsidRPr="005A189A" w:rsidRDefault="00D4708A" w:rsidP="008342C3">
      <w:pPr>
        <w:spacing w:line="360" w:lineRule="auto"/>
        <w:jc w:val="both"/>
        <w:rPr>
          <w:rFonts w:ascii="Palatino Linotype" w:hAnsi="Palatino Linotype"/>
          <w:lang w:val="es-ES_tradnl"/>
        </w:rPr>
      </w:pPr>
    </w:p>
    <w:p w14:paraId="6C949E47" w14:textId="77777777" w:rsidR="00D4708A" w:rsidRPr="005A189A" w:rsidRDefault="00D4708A" w:rsidP="008342C3">
      <w:pPr>
        <w:pStyle w:val="Prrafodelista"/>
        <w:numPr>
          <w:ilvl w:val="0"/>
          <w:numId w:val="5"/>
        </w:numPr>
        <w:spacing w:line="360" w:lineRule="auto"/>
        <w:ind w:left="0" w:firstLine="0"/>
        <w:jc w:val="both"/>
        <w:rPr>
          <w:rFonts w:ascii="Palatino Linotype" w:hAnsi="Palatino Linotype"/>
          <w:b/>
        </w:rPr>
      </w:pPr>
      <w:r w:rsidRPr="005A189A">
        <w:rPr>
          <w:rFonts w:ascii="Palatino Linotype" w:hAnsi="Palatino Linotype"/>
          <w:lang w:val="es-ES_tradnl"/>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 Si bien es cierto, desde la respuesta inicial no se informó de la incompetencia si se pretendió orientar a la solicitante; de modo tal</w:t>
      </w:r>
      <w:r w:rsidR="00934419" w:rsidRPr="005A189A">
        <w:rPr>
          <w:rFonts w:ascii="Palatino Linotype" w:hAnsi="Palatino Linotype"/>
          <w:lang w:val="es-ES_tradnl"/>
        </w:rPr>
        <w:t xml:space="preserve"> que resultaría innecesario del caso concreto ordenar un acuerdo donde de manera fundada y motivada declare su incompetencia, surtiendo efectos en todo caso el pronunciamiento posterior</w:t>
      </w:r>
      <w:r w:rsidR="00066435" w:rsidRPr="005A189A">
        <w:rPr>
          <w:rFonts w:ascii="Palatino Linotype" w:hAnsi="Palatino Linotype"/>
          <w:lang w:val="es-ES_tradnl"/>
        </w:rPr>
        <w:t xml:space="preserve"> para efectos de sobreseimiento, no obstante se dejan a salvo sus derechos para interponer nuevas solicitudes de acceso ante los sujetos obligados que a sus intereses considere.</w:t>
      </w:r>
    </w:p>
    <w:p w14:paraId="1C88F2B2" w14:textId="77777777" w:rsidR="00D4708A" w:rsidRPr="005A189A" w:rsidRDefault="00D4708A" w:rsidP="008342C3">
      <w:pPr>
        <w:pStyle w:val="Prrafodelista"/>
        <w:spacing w:line="360" w:lineRule="auto"/>
        <w:rPr>
          <w:rFonts w:ascii="Palatino Linotype" w:hAnsi="Palatino Linotype"/>
          <w:b/>
        </w:rPr>
      </w:pPr>
    </w:p>
    <w:p w14:paraId="4CD35587"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En razón de lo anteriormente expuesto, se advierte que el presente asunto en particular actualiza el </w:t>
      </w:r>
      <w:r w:rsidRPr="005A189A">
        <w:rPr>
          <w:rFonts w:ascii="Palatino Linotype" w:hAnsi="Palatino Linotype"/>
          <w:lang w:val="es-ES_tradnl"/>
        </w:rPr>
        <w:t>supuesto</w:t>
      </w:r>
      <w:r w:rsidRPr="005A189A">
        <w:rPr>
          <w:rFonts w:ascii="Palatino Linotype" w:eastAsia="Palatino Linotype" w:hAnsi="Palatino Linotype" w:cs="Palatino Linotype"/>
        </w:rPr>
        <w:t xml:space="preserve"> que contempla el artículo 139 fracción IV de la Ley de Protección de Datos Personales en Posesión de los Sujetos Obligados del Estado de México y Municipios, el cual refiere los siguiente:</w:t>
      </w:r>
    </w:p>
    <w:p w14:paraId="62850517" w14:textId="77777777" w:rsidR="008342C3" w:rsidRPr="005A189A" w:rsidRDefault="008342C3" w:rsidP="008342C3">
      <w:pPr>
        <w:spacing w:line="360" w:lineRule="auto"/>
        <w:ind w:right="49"/>
        <w:jc w:val="both"/>
        <w:rPr>
          <w:rFonts w:ascii="Palatino Linotype" w:eastAsia="Palatino Linotype" w:hAnsi="Palatino Linotype" w:cs="Palatino Linotype"/>
        </w:rPr>
      </w:pPr>
    </w:p>
    <w:p w14:paraId="24213686" w14:textId="77777777" w:rsidR="008342C3" w:rsidRPr="005A189A" w:rsidRDefault="008342C3" w:rsidP="008342C3">
      <w:pPr>
        <w:spacing w:line="360" w:lineRule="auto"/>
        <w:ind w:left="851" w:right="49"/>
        <w:jc w:val="both"/>
        <w:rPr>
          <w:rFonts w:ascii="Palatino Linotype" w:eastAsia="Palatino Linotype" w:hAnsi="Palatino Linotype" w:cs="Palatino Linotype"/>
          <w:b/>
          <w:i/>
        </w:rPr>
      </w:pPr>
      <w:r w:rsidRPr="005A189A">
        <w:rPr>
          <w:rFonts w:ascii="Palatino Linotype" w:eastAsia="Palatino Linotype" w:hAnsi="Palatino Linotype" w:cs="Palatino Linotype"/>
          <w:b/>
          <w:i/>
        </w:rPr>
        <w:lastRenderedPageBreak/>
        <w:t xml:space="preserve">“Causales de Sobreseimiento </w:t>
      </w:r>
    </w:p>
    <w:p w14:paraId="29356D20" w14:textId="77777777" w:rsidR="008342C3" w:rsidRPr="005A189A" w:rsidRDefault="008342C3" w:rsidP="008342C3">
      <w:pPr>
        <w:spacing w:line="360" w:lineRule="auto"/>
        <w:ind w:left="851" w:right="49"/>
        <w:jc w:val="both"/>
        <w:rPr>
          <w:rFonts w:ascii="Palatino Linotype" w:eastAsia="Palatino Linotype" w:hAnsi="Palatino Linotype" w:cs="Palatino Linotype"/>
          <w:b/>
          <w:i/>
        </w:rPr>
      </w:pPr>
      <w:r w:rsidRPr="005A189A">
        <w:rPr>
          <w:rFonts w:ascii="Palatino Linotype" w:eastAsia="Palatino Linotype" w:hAnsi="Palatino Linotype" w:cs="Palatino Linotype"/>
          <w:b/>
          <w:i/>
        </w:rPr>
        <w:t>Artículo 139. El recurso de revisión sólo podrá ser sobreseído cuando</w:t>
      </w:r>
    </w:p>
    <w:p w14:paraId="01A8322E" w14:textId="77777777" w:rsidR="008342C3" w:rsidRPr="005A189A" w:rsidRDefault="008342C3" w:rsidP="008342C3">
      <w:pPr>
        <w:spacing w:line="360" w:lineRule="auto"/>
        <w:ind w:left="851" w:right="49"/>
        <w:jc w:val="both"/>
        <w:rPr>
          <w:rFonts w:ascii="Palatino Linotype" w:eastAsia="Palatino Linotype" w:hAnsi="Palatino Linotype" w:cs="Palatino Linotype"/>
          <w:b/>
          <w:i/>
        </w:rPr>
      </w:pPr>
      <w:r w:rsidRPr="005A189A">
        <w:rPr>
          <w:rFonts w:ascii="Palatino Linotype" w:eastAsia="Palatino Linotype" w:hAnsi="Palatino Linotype" w:cs="Palatino Linotype"/>
          <w:b/>
          <w:i/>
        </w:rPr>
        <w:t>…</w:t>
      </w:r>
    </w:p>
    <w:p w14:paraId="2C99C21D" w14:textId="77777777" w:rsidR="008342C3" w:rsidRPr="005A189A" w:rsidRDefault="008342C3" w:rsidP="008342C3">
      <w:pPr>
        <w:spacing w:line="360" w:lineRule="auto"/>
        <w:ind w:left="851" w:right="49"/>
        <w:jc w:val="both"/>
        <w:rPr>
          <w:rFonts w:ascii="Palatino Linotype" w:eastAsia="Palatino Linotype" w:hAnsi="Palatino Linotype" w:cs="Palatino Linotype"/>
          <w:i/>
        </w:rPr>
      </w:pPr>
      <w:r w:rsidRPr="005A189A">
        <w:rPr>
          <w:rFonts w:ascii="Palatino Linotype" w:eastAsia="Palatino Linotype" w:hAnsi="Palatino Linotype" w:cs="Palatino Linotype"/>
          <w:i/>
        </w:rPr>
        <w:t>IV. El responsable modifique o revoque su respuesta de tal manera que el recurso de revisión quede sin materia.</w:t>
      </w:r>
    </w:p>
    <w:p w14:paraId="21B89D3E" w14:textId="77777777" w:rsidR="008342C3" w:rsidRPr="005A189A" w:rsidRDefault="008342C3" w:rsidP="008342C3">
      <w:pPr>
        <w:spacing w:line="360" w:lineRule="auto"/>
        <w:ind w:left="851" w:right="49"/>
        <w:jc w:val="both"/>
        <w:rPr>
          <w:rFonts w:ascii="Palatino Linotype" w:eastAsia="Palatino Linotype" w:hAnsi="Palatino Linotype" w:cs="Palatino Linotype"/>
          <w:i/>
        </w:rPr>
      </w:pPr>
      <w:r w:rsidRPr="005A189A">
        <w:rPr>
          <w:rFonts w:ascii="Palatino Linotype" w:eastAsia="Palatino Linotype" w:hAnsi="Palatino Linotype" w:cs="Palatino Linotype"/>
          <w:i/>
        </w:rPr>
        <w:t>…”</w:t>
      </w:r>
    </w:p>
    <w:p w14:paraId="4275162C" w14:textId="77777777" w:rsidR="008342C3" w:rsidRPr="005A189A" w:rsidRDefault="008342C3" w:rsidP="008342C3">
      <w:pPr>
        <w:spacing w:line="360" w:lineRule="auto"/>
        <w:ind w:left="851" w:right="49"/>
        <w:jc w:val="both"/>
        <w:rPr>
          <w:rFonts w:ascii="Palatino Linotype" w:eastAsia="Palatino Linotype" w:hAnsi="Palatino Linotype" w:cs="Palatino Linotype"/>
          <w:i/>
        </w:rPr>
      </w:pPr>
    </w:p>
    <w:p w14:paraId="20E0727C"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w:t>
      </w:r>
    </w:p>
    <w:p w14:paraId="5D94CEC5" w14:textId="77777777" w:rsidR="008342C3" w:rsidRPr="005A189A" w:rsidRDefault="008342C3" w:rsidP="008342C3">
      <w:pPr>
        <w:numPr>
          <w:ilvl w:val="0"/>
          <w:numId w:val="12"/>
        </w:num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r w:rsidRPr="005A189A">
        <w:rPr>
          <w:rFonts w:ascii="Palatino Linotype" w:eastAsia="Palatino Linotype" w:hAnsi="Palatino Linotype" w:cs="Palatino Linotype"/>
          <w:b/>
          <w:color w:val="000000"/>
        </w:rPr>
        <w:t>Modifique el acto impugnado:</w:t>
      </w:r>
      <w:r w:rsidRPr="005A189A">
        <w:rPr>
          <w:rFonts w:ascii="Palatino Linotype" w:eastAsia="Palatino Linotype" w:hAnsi="Palatino Linotype" w:cs="Palatino Linotype"/>
          <w:color w:val="000000"/>
        </w:rPr>
        <w:t xml:space="preserve"> Se actualiza cuando el </w:t>
      </w:r>
      <w:r w:rsidRPr="005A189A">
        <w:rPr>
          <w:rFonts w:ascii="Palatino Linotype" w:eastAsia="Palatino Linotype" w:hAnsi="Palatino Linotype" w:cs="Palatino Linotype"/>
          <w:b/>
          <w:color w:val="000000"/>
        </w:rPr>
        <w:t>SUJETO OBLIGADO</w:t>
      </w:r>
      <w:r w:rsidRPr="005A189A">
        <w:rPr>
          <w:rFonts w:ascii="Palatino Linotype" w:eastAsia="Palatino Linotype" w:hAnsi="Palatino Linotype" w:cs="Palatino Linotype"/>
          <w:color w:val="000000"/>
        </w:rPr>
        <w:t xml:space="preserve"> después de haber otorgado una respuesta y hasta antes de dictada la resolución del recurso de revisión, emite una diversa en la que subsane las deficiencias que hubiera tenido.</w:t>
      </w:r>
    </w:p>
    <w:p w14:paraId="30CD3F99" w14:textId="77777777" w:rsidR="008342C3" w:rsidRPr="005A189A" w:rsidRDefault="008342C3" w:rsidP="008342C3">
      <w:p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p>
    <w:p w14:paraId="4D0D96DD" w14:textId="77777777" w:rsidR="008342C3" w:rsidRPr="005A189A" w:rsidRDefault="008342C3" w:rsidP="008342C3">
      <w:pPr>
        <w:numPr>
          <w:ilvl w:val="0"/>
          <w:numId w:val="12"/>
        </w:numPr>
        <w:pBdr>
          <w:top w:val="nil"/>
          <w:left w:val="nil"/>
          <w:bottom w:val="nil"/>
          <w:right w:val="nil"/>
          <w:between w:val="nil"/>
        </w:pBdr>
        <w:spacing w:line="360" w:lineRule="auto"/>
        <w:ind w:left="1134" w:right="49" w:hanging="283"/>
        <w:jc w:val="both"/>
        <w:rPr>
          <w:rFonts w:ascii="Palatino Linotype" w:eastAsia="Palatino Linotype" w:hAnsi="Palatino Linotype" w:cs="Palatino Linotype"/>
          <w:color w:val="000000"/>
        </w:rPr>
      </w:pPr>
      <w:r w:rsidRPr="005A189A">
        <w:rPr>
          <w:rFonts w:ascii="Palatino Linotype" w:eastAsia="Palatino Linotype" w:hAnsi="Palatino Linotype" w:cs="Palatino Linotype"/>
          <w:b/>
          <w:color w:val="000000"/>
        </w:rPr>
        <w:t>Revoque el acto impugnado:</w:t>
      </w:r>
      <w:r w:rsidRPr="005A189A">
        <w:rPr>
          <w:rFonts w:ascii="Palatino Linotype" w:eastAsia="Palatino Linotype" w:hAnsi="Palatino Linotype" w:cs="Palatino Linotype"/>
          <w:color w:val="000000"/>
        </w:rPr>
        <w:t xml:space="preserve"> En este supuesto, el </w:t>
      </w:r>
      <w:r w:rsidRPr="005A189A">
        <w:rPr>
          <w:rFonts w:ascii="Palatino Linotype" w:eastAsia="Palatino Linotype" w:hAnsi="Palatino Linotype" w:cs="Palatino Linotype"/>
          <w:b/>
          <w:color w:val="000000"/>
        </w:rPr>
        <w:t>SUJETO OBLIGADO</w:t>
      </w:r>
      <w:r w:rsidRPr="005A189A">
        <w:rPr>
          <w:rFonts w:ascii="Palatino Linotype" w:eastAsia="Palatino Linotype" w:hAnsi="Palatino Linotype" w:cs="Palatino Linotype"/>
          <w:color w:val="000000"/>
        </w:rPr>
        <w:t xml:space="preserve"> deja sin efectos la primera respuesta y en su lugar emite otra que satisfaga lo solicitado por el particular en un primer momento.</w:t>
      </w:r>
    </w:p>
    <w:p w14:paraId="1D6184AA" w14:textId="77777777" w:rsidR="008342C3" w:rsidRPr="005A189A" w:rsidRDefault="008342C3" w:rsidP="008342C3">
      <w:pPr>
        <w:pBdr>
          <w:top w:val="nil"/>
          <w:left w:val="nil"/>
          <w:bottom w:val="nil"/>
          <w:right w:val="nil"/>
          <w:between w:val="nil"/>
        </w:pBdr>
        <w:spacing w:line="360" w:lineRule="auto"/>
        <w:ind w:left="567" w:right="49"/>
        <w:jc w:val="both"/>
        <w:rPr>
          <w:rFonts w:ascii="Palatino Linotype" w:eastAsia="Palatino Linotype" w:hAnsi="Palatino Linotype" w:cs="Palatino Linotype"/>
          <w:color w:val="000000"/>
        </w:rPr>
      </w:pPr>
    </w:p>
    <w:p w14:paraId="412B2235"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Las consecuencias jurídicas de esta modificación o revocación es que el recurso de revisión interpuesto quede sin efectos o sin materia. En el presente asunto, con la información entregada en la audiencia de conciliación, </w:t>
      </w:r>
      <w:r w:rsidRPr="005A189A">
        <w:rPr>
          <w:rFonts w:ascii="Palatino Linotype" w:eastAsia="Palatino Linotype" w:hAnsi="Palatino Linotype" w:cs="Palatino Linotype"/>
          <w:b/>
        </w:rPr>
        <w:t>modificó</w:t>
      </w:r>
      <w:r w:rsidRPr="005A189A">
        <w:rPr>
          <w:rFonts w:ascii="Palatino Linotype" w:eastAsia="Palatino Linotype" w:hAnsi="Palatino Linotype" w:cs="Palatino Linotype"/>
        </w:rPr>
        <w:t xml:space="preserve"> el acto que le dio origen al recurso de revisión, lo que trae como consecuencia que el mismo quede sin </w:t>
      </w:r>
      <w:r w:rsidRPr="005A189A">
        <w:rPr>
          <w:rFonts w:ascii="Palatino Linotype" w:eastAsia="Palatino Linotype" w:hAnsi="Palatino Linotype" w:cs="Palatino Linotype"/>
        </w:rPr>
        <w:lastRenderedPageBreak/>
        <w:t>materia, actualizándose de este modo, la hipótesis jurídica contenida en la fracción IV del citado artículo.</w:t>
      </w:r>
    </w:p>
    <w:p w14:paraId="2ECC2ACA" w14:textId="77777777" w:rsidR="008342C3" w:rsidRPr="005A189A" w:rsidRDefault="008342C3" w:rsidP="008342C3">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6992518F"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De lo anterior, se aprecia que el documento que remitió el Sujeto Obligado a través de un hecho posterior a la interposición del recurso de revisión como lo es la etapa de conciliación, atiende los motivos o razones de inconformidad,  consecuencia que el mismo quede sin materia, actualizándose de este modo, la hipótesis jurídica contenida en la fracción IV del citado artículo.</w:t>
      </w:r>
    </w:p>
    <w:p w14:paraId="2D4FD469" w14:textId="77777777" w:rsidR="008342C3" w:rsidRPr="005A189A" w:rsidRDefault="008342C3" w:rsidP="008342C3">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6A94847A"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la misma, derivada de la solicitud.</w:t>
      </w:r>
    </w:p>
    <w:p w14:paraId="5EAB2F55" w14:textId="77777777" w:rsidR="008342C3" w:rsidRPr="005A189A" w:rsidRDefault="008342C3" w:rsidP="008342C3">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6843C91C"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De este modo, para que se actualice el sobreseimiento de un recurso de revisión,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puede entregar o completar la información al momento de rendir su informe justificado o dentro de los siete días previstos para manifestar lo que a su derecho convenga o, como resulta del caso concreto en la propia audiencia de conciliación; con la finalidad de que se sea resarcido el derecho de acceso a datos personales de la hoy Recurrente y haciendo cesar toda controversia.</w:t>
      </w:r>
    </w:p>
    <w:p w14:paraId="0B873355" w14:textId="77777777" w:rsidR="008342C3" w:rsidRPr="005A189A" w:rsidRDefault="008342C3" w:rsidP="008342C3">
      <w:pPr>
        <w:spacing w:line="360" w:lineRule="auto"/>
        <w:ind w:left="502" w:right="49"/>
        <w:jc w:val="both"/>
        <w:rPr>
          <w:rFonts w:ascii="Palatino Linotype" w:eastAsia="Palatino Linotype" w:hAnsi="Palatino Linotype" w:cs="Palatino Linotype"/>
        </w:rPr>
      </w:pPr>
    </w:p>
    <w:p w14:paraId="5CC8F687"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Lo anterior tiene sustento en la Tesis: I.7o.C.54 K, del Séptimo Tribunal Colegiado en Materia Civil Del Primer Circuito publicada en el Semanario Judicial de </w:t>
      </w:r>
      <w:r w:rsidRPr="005A189A">
        <w:rPr>
          <w:rFonts w:ascii="Palatino Linotype" w:eastAsia="Palatino Linotype" w:hAnsi="Palatino Linotype" w:cs="Palatino Linotype"/>
        </w:rPr>
        <w:lastRenderedPageBreak/>
        <w:t>la Federación y su Gaceta, de la Novena Época, en el Tomo XXIX, Enero de 2009, a página 2837, que literalmente establece:</w:t>
      </w:r>
    </w:p>
    <w:p w14:paraId="24A69128" w14:textId="77777777" w:rsidR="008342C3" w:rsidRPr="005A189A" w:rsidRDefault="008342C3" w:rsidP="00066435">
      <w:pPr>
        <w:spacing w:line="360" w:lineRule="auto"/>
        <w:ind w:left="567" w:right="474"/>
        <w:jc w:val="both"/>
        <w:rPr>
          <w:rFonts w:ascii="Palatino Linotype" w:eastAsia="Palatino Linotype" w:hAnsi="Palatino Linotype" w:cs="Palatino Linotype"/>
          <w:i/>
        </w:rPr>
      </w:pPr>
      <w:r w:rsidRPr="005A189A">
        <w:rPr>
          <w:rFonts w:ascii="Palatino Linotype" w:eastAsia="Palatino Linotype" w:hAnsi="Palatino Linotype" w:cs="Palatino Linotype"/>
          <w:b/>
          <w:i/>
        </w:rPr>
        <w:t>“SOBRESEIMIENTO EN EL JUICIO DE AMPARO DIRECTO. IMPIDE EL ESTUDIO DE LAS VIOLACIONES PROCESALES PLANTEADAS EN LOS CONCEPTOS DE VIOLACIÓN.</w:t>
      </w:r>
      <w:r w:rsidRPr="005A189A">
        <w:rPr>
          <w:rFonts w:ascii="Palatino Linotype" w:eastAsia="Palatino Linotype" w:hAnsi="Palatino Linotype" w:cs="Palatino Linotype"/>
          <w:i/>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251B6587" w14:textId="77777777" w:rsidR="008342C3" w:rsidRPr="005A189A" w:rsidRDefault="008342C3" w:rsidP="008342C3">
      <w:pPr>
        <w:spacing w:line="360" w:lineRule="auto"/>
        <w:ind w:right="49"/>
        <w:jc w:val="both"/>
        <w:rPr>
          <w:rFonts w:ascii="Palatino Linotype" w:eastAsia="Palatino Linotype" w:hAnsi="Palatino Linotype" w:cs="Palatino Linotype"/>
        </w:rPr>
      </w:pPr>
    </w:p>
    <w:p w14:paraId="2712B626"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rPr>
        <w:t xml:space="preserve">Bajo esas consideraciones, se afirma que en el recurso de revisión sujeto a estudio se actualiza la hipótesis jurídica citada, toda vez que quedó probado que el </w:t>
      </w:r>
      <w:r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xml:space="preserve"> mediante un acto posterior como lo es la etapa de conciliación, proporcionó la información necesaria para dejar sin materia el recurso de revisión.</w:t>
      </w:r>
    </w:p>
    <w:p w14:paraId="13E29BEF" w14:textId="77777777" w:rsidR="008342C3" w:rsidRPr="005A189A" w:rsidRDefault="008342C3" w:rsidP="008342C3">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7784E847" w14:textId="77777777" w:rsidR="008342C3" w:rsidRPr="005A189A" w:rsidRDefault="008342C3" w:rsidP="008342C3">
      <w:pPr>
        <w:pStyle w:val="Prrafodelista"/>
        <w:numPr>
          <w:ilvl w:val="0"/>
          <w:numId w:val="5"/>
        </w:numPr>
        <w:spacing w:line="360" w:lineRule="auto"/>
        <w:ind w:left="0" w:firstLine="0"/>
        <w:jc w:val="both"/>
        <w:rPr>
          <w:rFonts w:ascii="Palatino Linotype" w:eastAsia="Palatino Linotype" w:hAnsi="Palatino Linotype" w:cs="Palatino Linotype"/>
        </w:rPr>
      </w:pPr>
      <w:r w:rsidRPr="005A189A">
        <w:rPr>
          <w:rFonts w:ascii="Palatino Linotype" w:eastAsia="Palatino Linotype" w:hAnsi="Palatino Linotype" w:cs="Palatino Linotype"/>
          <w:color w:val="000000"/>
        </w:rPr>
        <w:t xml:space="preserve">Por lo </w:t>
      </w:r>
      <w:r w:rsidRPr="005A189A">
        <w:rPr>
          <w:rFonts w:ascii="Palatino Linotype" w:eastAsia="Palatino Linotype" w:hAnsi="Palatino Linotype" w:cs="Palatino Linotype"/>
        </w:rPr>
        <w:t>anteriormente</w:t>
      </w:r>
      <w:r w:rsidRPr="005A189A">
        <w:rPr>
          <w:rFonts w:ascii="Palatino Linotype" w:eastAsia="Palatino Linotype" w:hAnsi="Palatino Linotype" w:cs="Palatino Linotype"/>
          <w:color w:val="000000"/>
        </w:rPr>
        <w:t xml:space="preserve"> expuesto y fundado, este </w:t>
      </w:r>
      <w:r w:rsidRPr="005A189A">
        <w:rPr>
          <w:rFonts w:ascii="Palatino Linotype" w:eastAsia="Palatino Linotype" w:hAnsi="Palatino Linotype" w:cs="Palatino Linotype"/>
          <w:b/>
          <w:color w:val="000000"/>
        </w:rPr>
        <w:t>ÓRGANO GARANTE</w:t>
      </w:r>
      <w:r w:rsidRPr="005A189A">
        <w:rPr>
          <w:rFonts w:ascii="Palatino Linotype" w:eastAsia="Palatino Linotype" w:hAnsi="Palatino Linotype" w:cs="Palatino Linotype"/>
          <w:color w:val="000000"/>
        </w:rPr>
        <w:t xml:space="preserve"> emite los </w:t>
      </w:r>
      <w:r w:rsidRPr="005A189A">
        <w:rPr>
          <w:rFonts w:ascii="Palatino Linotype" w:eastAsia="Palatino Linotype" w:hAnsi="Palatino Linotype" w:cs="Palatino Linotype"/>
        </w:rPr>
        <w:t>siguientes</w:t>
      </w:r>
      <w:r w:rsidRPr="005A189A">
        <w:rPr>
          <w:rFonts w:ascii="Palatino Linotype" w:eastAsia="Palatino Linotype" w:hAnsi="Palatino Linotype" w:cs="Palatino Linotype"/>
          <w:color w:val="000000"/>
        </w:rPr>
        <w:t>:</w:t>
      </w:r>
    </w:p>
    <w:p w14:paraId="40CFDE6F" w14:textId="77777777" w:rsidR="008342C3" w:rsidRPr="005A189A" w:rsidRDefault="008342C3" w:rsidP="008342C3">
      <w:pPr>
        <w:keepNext/>
        <w:keepLines/>
        <w:spacing w:line="360" w:lineRule="auto"/>
        <w:ind w:right="49"/>
        <w:jc w:val="center"/>
        <w:rPr>
          <w:rFonts w:ascii="Palatino Linotype" w:eastAsia="Palatino Linotype" w:hAnsi="Palatino Linotype" w:cs="Palatino Linotype"/>
          <w:b/>
          <w:color w:val="000000"/>
        </w:rPr>
      </w:pPr>
      <w:r w:rsidRPr="005A189A">
        <w:rPr>
          <w:rFonts w:ascii="Palatino Linotype" w:eastAsia="Palatino Linotype" w:hAnsi="Palatino Linotype" w:cs="Palatino Linotype"/>
          <w:b/>
          <w:color w:val="000000"/>
        </w:rPr>
        <w:t>R E S O L U T I V O S</w:t>
      </w:r>
    </w:p>
    <w:p w14:paraId="01951EDF" w14:textId="77777777" w:rsidR="008342C3" w:rsidRPr="005A189A" w:rsidRDefault="008342C3" w:rsidP="008342C3">
      <w:pPr>
        <w:keepNext/>
        <w:keepLines/>
        <w:spacing w:line="360" w:lineRule="auto"/>
        <w:ind w:right="49"/>
        <w:jc w:val="center"/>
        <w:rPr>
          <w:rFonts w:ascii="Palatino Linotype" w:eastAsia="Palatino Linotype" w:hAnsi="Palatino Linotype" w:cs="Palatino Linotype"/>
          <w:b/>
          <w:color w:val="000000"/>
        </w:rPr>
      </w:pPr>
    </w:p>
    <w:p w14:paraId="50CDFC9F" w14:textId="600CF826" w:rsidR="008342C3" w:rsidRPr="005A189A" w:rsidRDefault="008342C3" w:rsidP="008342C3">
      <w:pPr>
        <w:spacing w:line="360" w:lineRule="auto"/>
        <w:ind w:right="49"/>
        <w:jc w:val="both"/>
        <w:rPr>
          <w:rFonts w:ascii="Palatino Linotype" w:eastAsia="Palatino Linotype" w:hAnsi="Palatino Linotype" w:cs="Palatino Linotype"/>
        </w:rPr>
      </w:pPr>
      <w:bookmarkStart w:id="7" w:name="_heading=h.17dp8vu" w:colFirst="0" w:colLast="0"/>
      <w:bookmarkEnd w:id="7"/>
      <w:r w:rsidRPr="005A189A">
        <w:rPr>
          <w:rFonts w:ascii="Palatino Linotype" w:eastAsia="Palatino Linotype" w:hAnsi="Palatino Linotype" w:cs="Palatino Linotype"/>
          <w:b/>
        </w:rPr>
        <w:t>PRIMERO</w:t>
      </w:r>
      <w:r w:rsidRPr="005A189A">
        <w:rPr>
          <w:rFonts w:ascii="Palatino Linotype" w:eastAsia="Palatino Linotype" w:hAnsi="Palatino Linotype" w:cs="Palatino Linotype"/>
        </w:rPr>
        <w:t xml:space="preserve">. Se </w:t>
      </w:r>
      <w:r w:rsidRPr="005A189A">
        <w:rPr>
          <w:rFonts w:ascii="Palatino Linotype" w:eastAsia="Palatino Linotype" w:hAnsi="Palatino Linotype" w:cs="Palatino Linotype"/>
          <w:b/>
        </w:rPr>
        <w:t xml:space="preserve">SOBRESEE </w:t>
      </w:r>
      <w:r w:rsidRPr="005A189A">
        <w:rPr>
          <w:rFonts w:ascii="Palatino Linotype" w:eastAsia="Palatino Linotype" w:hAnsi="Palatino Linotype" w:cs="Palatino Linotype"/>
        </w:rPr>
        <w:t>el Recurso de Revisión</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 xml:space="preserve">número </w:t>
      </w:r>
      <w:r w:rsidRPr="005A189A">
        <w:rPr>
          <w:rFonts w:ascii="Palatino Linotype" w:eastAsia="Palatino Linotype" w:hAnsi="Palatino Linotype" w:cs="Palatino Linotype"/>
          <w:b/>
        </w:rPr>
        <w:t>00943/INFOEM/AD/RR/2024</w:t>
      </w:r>
      <w:r w:rsidR="00A62CB5" w:rsidRPr="005A189A">
        <w:rPr>
          <w:rFonts w:ascii="Palatino Linotype" w:eastAsia="Palatino Linotype" w:hAnsi="Palatino Linotype" w:cs="Palatino Linotype"/>
          <w:b/>
        </w:rPr>
        <w:t xml:space="preserve">, </w:t>
      </w:r>
      <w:r w:rsidR="00A62CB5" w:rsidRPr="005A189A">
        <w:rPr>
          <w:rFonts w:ascii="Palatino Linotype" w:eastAsia="Palatino Linotype" w:hAnsi="Palatino Linotype" w:cs="Palatino Linotype"/>
          <w:bCs/>
        </w:rPr>
        <w:t>con fundamento en el</w:t>
      </w:r>
      <w:r w:rsidR="00A62CB5" w:rsidRPr="005A189A">
        <w:rPr>
          <w:rFonts w:ascii="Palatino Linotype" w:eastAsia="Palatino Linotype" w:hAnsi="Palatino Linotype" w:cs="Palatino Linotype"/>
          <w:b/>
        </w:rPr>
        <w:t xml:space="preserve"> </w:t>
      </w:r>
      <w:r w:rsidR="00A62CB5" w:rsidRPr="005A189A">
        <w:rPr>
          <w:rFonts w:ascii="Palatino Linotype" w:eastAsia="Palatino Linotype" w:hAnsi="Palatino Linotype" w:cs="Palatino Linotype"/>
        </w:rPr>
        <w:t>artículo 139</w:t>
      </w:r>
      <w:r w:rsidR="00344210" w:rsidRPr="005A189A">
        <w:rPr>
          <w:rFonts w:ascii="Palatino Linotype" w:eastAsia="Palatino Linotype" w:hAnsi="Palatino Linotype" w:cs="Palatino Linotype"/>
        </w:rPr>
        <w:t>,</w:t>
      </w:r>
      <w:r w:rsidR="00A62CB5" w:rsidRPr="005A189A">
        <w:rPr>
          <w:rFonts w:ascii="Palatino Linotype" w:eastAsia="Palatino Linotype" w:hAnsi="Palatino Linotype" w:cs="Palatino Linotype"/>
        </w:rPr>
        <w:t xml:space="preserve"> fracción IV</w:t>
      </w:r>
      <w:r w:rsidR="00344210" w:rsidRPr="005A189A">
        <w:rPr>
          <w:rFonts w:ascii="Palatino Linotype" w:eastAsia="Palatino Linotype" w:hAnsi="Palatino Linotype" w:cs="Palatino Linotype"/>
        </w:rPr>
        <w:t>,</w:t>
      </w:r>
      <w:r w:rsidR="00A62CB5" w:rsidRPr="005A189A">
        <w:rPr>
          <w:rFonts w:ascii="Palatino Linotype" w:eastAsia="Palatino Linotype" w:hAnsi="Palatino Linotype" w:cs="Palatino Linotype"/>
        </w:rPr>
        <w:t xml:space="preserve"> de la Ley </w:t>
      </w:r>
      <w:r w:rsidR="00A62CB5" w:rsidRPr="005A189A">
        <w:rPr>
          <w:rFonts w:ascii="Palatino Linotype" w:eastAsia="Palatino Linotype" w:hAnsi="Palatino Linotype" w:cs="Palatino Linotype"/>
        </w:rPr>
        <w:lastRenderedPageBreak/>
        <w:t xml:space="preserve">de Protección de Datos Personales en Posesión de los Sujetos Obligados del Estado de México y Municipios, </w:t>
      </w:r>
      <w:r w:rsidRPr="005A189A">
        <w:rPr>
          <w:rFonts w:ascii="Palatino Linotype" w:eastAsia="Palatino Linotype" w:hAnsi="Palatino Linotype" w:cs="Palatino Linotype"/>
        </w:rPr>
        <w:t>porque al modificar la respuesta</w:t>
      </w:r>
      <w:r w:rsidR="00373600" w:rsidRPr="005A189A">
        <w:rPr>
          <w:rFonts w:ascii="Palatino Linotype" w:eastAsia="Palatino Linotype" w:hAnsi="Palatino Linotype" w:cs="Palatino Linotype"/>
        </w:rPr>
        <w:t xml:space="preserve"> el </w:t>
      </w:r>
      <w:r w:rsidR="00373600" w:rsidRPr="005A189A">
        <w:rPr>
          <w:rFonts w:ascii="Palatino Linotype" w:eastAsia="Palatino Linotype" w:hAnsi="Palatino Linotype" w:cs="Palatino Linotype"/>
          <w:b/>
        </w:rPr>
        <w:t>SUJETO OBLIGADO</w:t>
      </w:r>
      <w:r w:rsidRPr="005A189A">
        <w:rPr>
          <w:rFonts w:ascii="Palatino Linotype" w:eastAsia="Palatino Linotype" w:hAnsi="Palatino Linotype" w:cs="Palatino Linotype"/>
        </w:rPr>
        <w:t>, el Recurso de Revisión quedó sin materia</w:t>
      </w:r>
      <w:r w:rsidRPr="005A189A">
        <w:rPr>
          <w:rFonts w:ascii="Palatino Linotype" w:eastAsia="Palatino Linotype" w:hAnsi="Palatino Linotype" w:cs="Palatino Linotype"/>
          <w:b/>
        </w:rPr>
        <w:t xml:space="preserve">, </w:t>
      </w:r>
      <w:r w:rsidRPr="005A189A">
        <w:rPr>
          <w:rFonts w:ascii="Palatino Linotype" w:eastAsia="Palatino Linotype" w:hAnsi="Palatino Linotype" w:cs="Palatino Linotype"/>
        </w:rPr>
        <w:t xml:space="preserve">en términos del Considerando </w:t>
      </w:r>
      <w:r w:rsidRPr="005A189A">
        <w:rPr>
          <w:rFonts w:ascii="Palatino Linotype" w:eastAsia="Palatino Linotype" w:hAnsi="Palatino Linotype" w:cs="Palatino Linotype"/>
          <w:b/>
        </w:rPr>
        <w:t>TERCERO</w:t>
      </w:r>
      <w:r w:rsidRPr="005A189A">
        <w:rPr>
          <w:rFonts w:ascii="Palatino Linotype" w:eastAsia="Palatino Linotype" w:hAnsi="Palatino Linotype" w:cs="Palatino Linotype"/>
        </w:rPr>
        <w:t xml:space="preserve"> de la presente Resolución.</w:t>
      </w:r>
    </w:p>
    <w:p w14:paraId="09612EAB" w14:textId="77777777" w:rsidR="008342C3" w:rsidRPr="005A189A" w:rsidRDefault="008342C3" w:rsidP="008342C3">
      <w:pPr>
        <w:spacing w:line="360" w:lineRule="auto"/>
        <w:ind w:right="49"/>
        <w:jc w:val="both"/>
        <w:rPr>
          <w:rFonts w:ascii="Palatino Linotype" w:eastAsia="Palatino Linotype" w:hAnsi="Palatino Linotype" w:cs="Palatino Linotype"/>
        </w:rPr>
      </w:pPr>
    </w:p>
    <w:p w14:paraId="7047F8F6" w14:textId="77777777" w:rsidR="008342C3" w:rsidRPr="005A189A" w:rsidRDefault="008342C3" w:rsidP="008342C3">
      <w:pPr>
        <w:shd w:val="clear" w:color="auto" w:fill="FFFFFF"/>
        <w:spacing w:line="360" w:lineRule="auto"/>
        <w:ind w:right="49"/>
        <w:jc w:val="both"/>
        <w:rPr>
          <w:rFonts w:ascii="Palatino Linotype" w:eastAsia="Palatino Linotype" w:hAnsi="Palatino Linotype" w:cs="Palatino Linotype"/>
          <w:color w:val="000000"/>
        </w:rPr>
      </w:pPr>
      <w:r w:rsidRPr="005A189A">
        <w:rPr>
          <w:rFonts w:ascii="Palatino Linotype" w:eastAsia="Palatino Linotype" w:hAnsi="Palatino Linotype" w:cs="Palatino Linotype"/>
          <w:b/>
        </w:rPr>
        <w:t>SEGUNDO.</w:t>
      </w:r>
      <w:r w:rsidRPr="005A189A">
        <w:rPr>
          <w:rFonts w:ascii="Palatino Linotype" w:eastAsia="Palatino Linotype" w:hAnsi="Palatino Linotype" w:cs="Palatino Linotype"/>
          <w:b/>
          <w:color w:val="000000"/>
        </w:rPr>
        <w:t xml:space="preserve"> Notifíquese </w:t>
      </w:r>
      <w:r w:rsidRPr="005A189A">
        <w:rPr>
          <w:rFonts w:ascii="Palatino Linotype" w:eastAsia="Palatino Linotype" w:hAnsi="Palatino Linotype" w:cs="Palatino Linotype"/>
          <w:color w:val="000000"/>
        </w:rPr>
        <w:t>al Titular de la Unidad de Transparencia del</w:t>
      </w:r>
      <w:r w:rsidRPr="005A189A">
        <w:rPr>
          <w:rFonts w:ascii="Palatino Linotype" w:eastAsia="Palatino Linotype" w:hAnsi="Palatino Linotype" w:cs="Palatino Linotype"/>
          <w:b/>
          <w:color w:val="000000"/>
        </w:rPr>
        <w:t xml:space="preserve"> SUJETO OBLIGADO</w:t>
      </w:r>
      <w:r w:rsidRPr="005A189A">
        <w:rPr>
          <w:rFonts w:ascii="Palatino Linotype" w:eastAsia="Palatino Linotype" w:hAnsi="Palatino Linotype" w:cs="Palatino Linotype"/>
          <w:color w:val="000000"/>
        </w:rPr>
        <w:t xml:space="preserve"> vía Sistema de Acceso, Rectificación, Cancelación y Oposición de Datos Personales del Estado de México. </w:t>
      </w:r>
    </w:p>
    <w:p w14:paraId="1426E0F8" w14:textId="77777777" w:rsidR="008342C3" w:rsidRPr="005A189A" w:rsidRDefault="008342C3" w:rsidP="008342C3">
      <w:pPr>
        <w:shd w:val="clear" w:color="auto" w:fill="FFFFFF"/>
        <w:spacing w:line="360" w:lineRule="auto"/>
        <w:ind w:right="49"/>
        <w:jc w:val="both"/>
        <w:rPr>
          <w:rFonts w:ascii="Palatino Linotype" w:eastAsia="Palatino Linotype" w:hAnsi="Palatino Linotype" w:cs="Palatino Linotype"/>
          <w:b/>
          <w:color w:val="000000"/>
        </w:rPr>
      </w:pPr>
    </w:p>
    <w:p w14:paraId="32913747" w14:textId="77777777" w:rsidR="008342C3" w:rsidRPr="005A189A" w:rsidRDefault="008342C3" w:rsidP="008342C3">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color w:val="000000"/>
        </w:rPr>
      </w:pPr>
      <w:r w:rsidRPr="005A189A">
        <w:rPr>
          <w:rFonts w:ascii="Palatino Linotype" w:eastAsia="Palatino Linotype" w:hAnsi="Palatino Linotype" w:cs="Palatino Linotype"/>
          <w:b/>
          <w:color w:val="000000"/>
        </w:rPr>
        <w:t>TERCERO</w:t>
      </w:r>
      <w:r w:rsidRPr="005A189A">
        <w:rPr>
          <w:rFonts w:ascii="Palatino Linotype" w:eastAsia="Palatino Linotype" w:hAnsi="Palatino Linotype" w:cs="Palatino Linotype"/>
          <w:b/>
          <w:color w:val="222222"/>
        </w:rPr>
        <w:t xml:space="preserve">. Notifíquese a la RECURRENTE </w:t>
      </w:r>
      <w:r w:rsidRPr="005A189A">
        <w:rPr>
          <w:rFonts w:ascii="Palatino Linotype" w:eastAsia="Palatino Linotype" w:hAnsi="Palatino Linotype" w:cs="Palatino Linotype"/>
          <w:color w:val="222222"/>
        </w:rPr>
        <w:t xml:space="preserve">la presente resolución </w:t>
      </w:r>
      <w:r w:rsidRPr="005A189A">
        <w:rPr>
          <w:rFonts w:ascii="Palatino Linotype" w:eastAsia="Palatino Linotype" w:hAnsi="Palatino Linotype" w:cs="Palatino Linotype"/>
          <w:color w:val="000000"/>
        </w:rPr>
        <w:t>vía Sistema de Acceso, Rectificación, Cancelación y Oposición de Datos Personales del Estado de México.</w:t>
      </w:r>
    </w:p>
    <w:p w14:paraId="6C98C07D" w14:textId="77777777" w:rsidR="00344210" w:rsidRPr="005A189A" w:rsidRDefault="00344210" w:rsidP="008342C3">
      <w:pPr>
        <w:widowControl w:val="0"/>
        <w:pBdr>
          <w:top w:val="nil"/>
          <w:left w:val="nil"/>
          <w:bottom w:val="nil"/>
          <w:right w:val="nil"/>
          <w:between w:val="nil"/>
        </w:pBdr>
        <w:tabs>
          <w:tab w:val="left" w:pos="1701"/>
        </w:tabs>
        <w:spacing w:line="360" w:lineRule="auto"/>
        <w:ind w:right="49"/>
        <w:jc w:val="both"/>
        <w:rPr>
          <w:rFonts w:ascii="Palatino Linotype" w:eastAsia="Palatino Linotype" w:hAnsi="Palatino Linotype" w:cs="Palatino Linotype"/>
          <w:color w:val="000000"/>
        </w:rPr>
      </w:pPr>
    </w:p>
    <w:p w14:paraId="08026694" w14:textId="77777777" w:rsidR="008342C3" w:rsidRPr="005A189A" w:rsidRDefault="008342C3" w:rsidP="008342C3">
      <w:pPr>
        <w:spacing w:line="360" w:lineRule="auto"/>
        <w:ind w:right="49"/>
        <w:jc w:val="both"/>
        <w:rPr>
          <w:rFonts w:ascii="Palatino Linotype" w:eastAsia="Palatino Linotype" w:hAnsi="Palatino Linotype" w:cs="Palatino Linotype"/>
          <w:color w:val="000000"/>
        </w:rPr>
      </w:pPr>
      <w:r w:rsidRPr="005A189A">
        <w:rPr>
          <w:rFonts w:ascii="Palatino Linotype" w:eastAsia="Palatino Linotype" w:hAnsi="Palatino Linotype" w:cs="Palatino Linotype"/>
          <w:b/>
          <w:color w:val="000000"/>
        </w:rPr>
        <w:t xml:space="preserve">CUARTO. </w:t>
      </w:r>
      <w:r w:rsidRPr="005A189A">
        <w:rPr>
          <w:rFonts w:ascii="Palatino Linotype" w:eastAsia="Palatino Linotype" w:hAnsi="Palatino Linotype" w:cs="Palatino Linotype"/>
          <w:color w:val="000000"/>
        </w:rPr>
        <w:t xml:space="preserve">Se hace de conocimiento a la </w:t>
      </w:r>
      <w:r w:rsidRPr="005A189A">
        <w:rPr>
          <w:rFonts w:ascii="Palatino Linotype" w:eastAsia="Palatino Linotype" w:hAnsi="Palatino Linotype" w:cs="Palatino Linotype"/>
          <w:b/>
          <w:color w:val="000000"/>
        </w:rPr>
        <w:t>RECURRENTE</w:t>
      </w:r>
      <w:r w:rsidRPr="005A189A">
        <w:rPr>
          <w:rFonts w:ascii="Palatino Linotype" w:eastAsia="Palatino Linotype" w:hAnsi="Palatino Linotype" w:cs="Palatino Linotype"/>
          <w:color w:val="000000"/>
        </w:rPr>
        <w:t xml:space="preserve"> que, de conformidad con lo establecido en el artículo 142 de la Ley de Protección de Datos Personales en Posesión de Sujetos Obligados del Estado de México y Municipios, en caso de que considere que la resolución le cause algún perjuicio podrá </w:t>
      </w:r>
      <w:r w:rsidRPr="005A189A">
        <w:rPr>
          <w:rFonts w:ascii="Palatino Linotype" w:eastAsia="Palatino Linotype" w:hAnsi="Palatino Linotype" w:cs="Palatino Linotype"/>
        </w:rPr>
        <w:t>impugnar vía</w:t>
      </w:r>
      <w:r w:rsidRPr="005A189A">
        <w:rPr>
          <w:rFonts w:ascii="Palatino Linotype" w:eastAsia="Palatino Linotype" w:hAnsi="Palatino Linotype" w:cs="Palatino Linotype"/>
          <w:color w:val="000000"/>
        </w:rPr>
        <w:t xml:space="preserve"> Juicio de Amparo en los términos de las leyes aplicables.</w:t>
      </w:r>
    </w:p>
    <w:p w14:paraId="5F25EFB0" w14:textId="77777777" w:rsidR="00DA2AEA" w:rsidRPr="005A189A" w:rsidRDefault="00DA2AEA" w:rsidP="008342C3">
      <w:pPr>
        <w:spacing w:line="360" w:lineRule="auto"/>
        <w:jc w:val="both"/>
        <w:rPr>
          <w:rFonts w:ascii="Palatino Linotype" w:eastAsia="Palatino Linotype" w:hAnsi="Palatino Linotype" w:cs="Palatino Linotype"/>
        </w:rPr>
      </w:pPr>
    </w:p>
    <w:p w14:paraId="514C70FD" w14:textId="77777777" w:rsidR="00344210" w:rsidRPr="003C7186" w:rsidRDefault="00344210" w:rsidP="00344210">
      <w:pPr>
        <w:spacing w:line="360" w:lineRule="auto"/>
        <w:ind w:right="49" w:firstLine="1"/>
        <w:jc w:val="both"/>
        <w:rPr>
          <w:rFonts w:ascii="Palatino Linotype" w:hAnsi="Palatino Linotype"/>
        </w:rPr>
      </w:pPr>
      <w:bookmarkStart w:id="8" w:name="_heading=h.3dy6vkm" w:colFirst="0" w:colLast="0"/>
      <w:bookmarkEnd w:id="8"/>
      <w:r w:rsidRPr="005A189A">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5A189A">
        <w:rPr>
          <w:rFonts w:ascii="Palatino Linotype" w:hAnsi="Palatino Linotype"/>
        </w:rPr>
        <w:lastRenderedPageBreak/>
        <w:t>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7C97740C" w14:textId="77777777" w:rsidR="00344210" w:rsidRPr="00902BA4" w:rsidRDefault="00344210" w:rsidP="00344210">
      <w:pPr>
        <w:widowControl w:val="0"/>
        <w:autoSpaceDE w:val="0"/>
        <w:autoSpaceDN w:val="0"/>
        <w:adjustRightInd w:val="0"/>
        <w:spacing w:after="200" w:line="276" w:lineRule="auto"/>
        <w:ind w:right="49"/>
        <w:rPr>
          <w:rFonts w:ascii="Calibri" w:hAnsi="Calibri" w:cs="Calibri"/>
        </w:rPr>
      </w:pPr>
    </w:p>
    <w:p w14:paraId="594BEC4A" w14:textId="77777777" w:rsidR="00344210" w:rsidRDefault="00344210" w:rsidP="00344210">
      <w:pPr>
        <w:spacing w:before="240" w:after="240" w:line="360" w:lineRule="auto"/>
        <w:ind w:firstLine="1"/>
        <w:jc w:val="both"/>
        <w:rPr>
          <w:rFonts w:ascii="Palatino Linotype" w:hAnsi="Palatino Linotype"/>
        </w:rPr>
      </w:pPr>
      <w:bookmarkStart w:id="9" w:name="_Hlk96506827"/>
    </w:p>
    <w:bookmarkEnd w:id="9"/>
    <w:p w14:paraId="5BB58AD7" w14:textId="77777777" w:rsidR="00D93AD3" w:rsidRPr="008342C3" w:rsidRDefault="00D93AD3" w:rsidP="008342C3">
      <w:pPr>
        <w:spacing w:line="360" w:lineRule="auto"/>
        <w:rPr>
          <w:rFonts w:ascii="Palatino Linotype" w:eastAsia="Palatino Linotype" w:hAnsi="Palatino Linotype" w:cs="Palatino Linotype"/>
        </w:rPr>
      </w:pPr>
    </w:p>
    <w:p w14:paraId="5E9C51BA" w14:textId="77777777" w:rsidR="00D93AD3" w:rsidRPr="008342C3" w:rsidRDefault="00D93AD3" w:rsidP="008342C3">
      <w:pPr>
        <w:spacing w:line="360" w:lineRule="auto"/>
        <w:rPr>
          <w:rFonts w:ascii="Palatino Linotype" w:eastAsia="Palatino Linotype" w:hAnsi="Palatino Linotype" w:cs="Palatino Linotype"/>
        </w:rPr>
      </w:pPr>
    </w:p>
    <w:p w14:paraId="2DF83938" w14:textId="77777777" w:rsidR="00D93AD3" w:rsidRPr="008342C3" w:rsidRDefault="00D93AD3" w:rsidP="008342C3">
      <w:pPr>
        <w:spacing w:line="360" w:lineRule="auto"/>
        <w:rPr>
          <w:rFonts w:ascii="Palatino Linotype" w:eastAsia="Palatino Linotype" w:hAnsi="Palatino Linotype" w:cs="Palatino Linotype"/>
        </w:rPr>
      </w:pPr>
    </w:p>
    <w:p w14:paraId="26B7DB5C" w14:textId="77777777" w:rsidR="00D93AD3" w:rsidRPr="008342C3" w:rsidRDefault="00D93AD3" w:rsidP="008342C3">
      <w:pPr>
        <w:spacing w:line="360" w:lineRule="auto"/>
        <w:rPr>
          <w:rFonts w:ascii="Palatino Linotype" w:eastAsia="Palatino Linotype" w:hAnsi="Palatino Linotype" w:cs="Palatino Linotype"/>
        </w:rPr>
      </w:pPr>
    </w:p>
    <w:p w14:paraId="76670CDE" w14:textId="77777777" w:rsidR="00D93AD3" w:rsidRPr="008342C3" w:rsidRDefault="00D93AD3" w:rsidP="008342C3">
      <w:pPr>
        <w:spacing w:line="360" w:lineRule="auto"/>
        <w:rPr>
          <w:rFonts w:ascii="Palatino Linotype" w:eastAsia="Palatino Linotype" w:hAnsi="Palatino Linotype" w:cs="Palatino Linotype"/>
        </w:rPr>
      </w:pPr>
    </w:p>
    <w:p w14:paraId="6A65A68B" w14:textId="77777777" w:rsidR="00D93AD3" w:rsidRPr="008342C3" w:rsidRDefault="00D93AD3" w:rsidP="008342C3">
      <w:pPr>
        <w:spacing w:line="360" w:lineRule="auto"/>
        <w:rPr>
          <w:rFonts w:ascii="Palatino Linotype" w:eastAsia="Palatino Linotype" w:hAnsi="Palatino Linotype" w:cs="Palatino Linotype"/>
        </w:rPr>
      </w:pPr>
    </w:p>
    <w:p w14:paraId="58B3131D" w14:textId="77777777" w:rsidR="00D93AD3" w:rsidRPr="008342C3" w:rsidRDefault="00D93AD3" w:rsidP="008342C3">
      <w:pPr>
        <w:spacing w:line="360" w:lineRule="auto"/>
        <w:rPr>
          <w:rFonts w:ascii="Palatino Linotype" w:eastAsia="Palatino Linotype" w:hAnsi="Palatino Linotype" w:cs="Palatino Linotype"/>
        </w:rPr>
      </w:pPr>
    </w:p>
    <w:p w14:paraId="68F11999" w14:textId="77777777" w:rsidR="00D93AD3" w:rsidRPr="008342C3" w:rsidRDefault="00D93AD3" w:rsidP="008342C3">
      <w:pPr>
        <w:spacing w:line="360" w:lineRule="auto"/>
        <w:rPr>
          <w:rFonts w:ascii="Palatino Linotype" w:eastAsia="Palatino Linotype" w:hAnsi="Palatino Linotype" w:cs="Palatino Linotype"/>
        </w:rPr>
      </w:pPr>
    </w:p>
    <w:p w14:paraId="046FE92A" w14:textId="77777777" w:rsidR="00D93AD3" w:rsidRPr="008342C3" w:rsidRDefault="00D93AD3" w:rsidP="008342C3">
      <w:pPr>
        <w:spacing w:line="360" w:lineRule="auto"/>
        <w:rPr>
          <w:rFonts w:ascii="Palatino Linotype" w:eastAsia="Palatino Linotype" w:hAnsi="Palatino Linotype" w:cs="Palatino Linotype"/>
        </w:rPr>
      </w:pPr>
    </w:p>
    <w:p w14:paraId="545096EB" w14:textId="77777777" w:rsidR="00D93AD3" w:rsidRPr="008342C3" w:rsidRDefault="00D93AD3" w:rsidP="008342C3">
      <w:pPr>
        <w:spacing w:line="360" w:lineRule="auto"/>
        <w:rPr>
          <w:rFonts w:ascii="Palatino Linotype" w:eastAsia="Palatino Linotype" w:hAnsi="Palatino Linotype" w:cs="Palatino Linotype"/>
        </w:rPr>
      </w:pPr>
    </w:p>
    <w:p w14:paraId="32BAAB16" w14:textId="77777777" w:rsidR="00D93AD3" w:rsidRPr="008342C3" w:rsidRDefault="00D93AD3" w:rsidP="008342C3">
      <w:pPr>
        <w:spacing w:line="360" w:lineRule="auto"/>
        <w:rPr>
          <w:rFonts w:ascii="Palatino Linotype" w:eastAsia="Palatino Linotype" w:hAnsi="Palatino Linotype" w:cs="Palatino Linotype"/>
        </w:rPr>
      </w:pPr>
    </w:p>
    <w:p w14:paraId="3E422C2E" w14:textId="77777777" w:rsidR="00D93AD3" w:rsidRPr="008342C3" w:rsidRDefault="00D93AD3" w:rsidP="008342C3">
      <w:pPr>
        <w:spacing w:line="360" w:lineRule="auto"/>
        <w:rPr>
          <w:rFonts w:ascii="Palatino Linotype" w:eastAsia="Palatino Linotype" w:hAnsi="Palatino Linotype" w:cs="Palatino Linotype"/>
        </w:rPr>
      </w:pPr>
    </w:p>
    <w:p w14:paraId="0BA5BB9A" w14:textId="77777777" w:rsidR="00D93AD3" w:rsidRPr="008342C3" w:rsidRDefault="00D93AD3" w:rsidP="008342C3">
      <w:pPr>
        <w:spacing w:line="360" w:lineRule="auto"/>
        <w:rPr>
          <w:rFonts w:ascii="Palatino Linotype" w:eastAsia="Palatino Linotype" w:hAnsi="Palatino Linotype" w:cs="Palatino Linotype"/>
        </w:rPr>
      </w:pPr>
    </w:p>
    <w:p w14:paraId="701AC315" w14:textId="77777777" w:rsidR="00D93AD3" w:rsidRPr="008342C3" w:rsidRDefault="00D93AD3" w:rsidP="008342C3">
      <w:pPr>
        <w:spacing w:line="360" w:lineRule="auto"/>
        <w:rPr>
          <w:rFonts w:ascii="Palatino Linotype" w:eastAsia="Palatino Linotype" w:hAnsi="Palatino Linotype" w:cs="Palatino Linotype"/>
        </w:rPr>
      </w:pPr>
    </w:p>
    <w:p w14:paraId="4DBAE90D" w14:textId="77777777" w:rsidR="00D93AD3" w:rsidRPr="008342C3" w:rsidRDefault="00D93AD3" w:rsidP="008342C3">
      <w:pPr>
        <w:spacing w:line="360" w:lineRule="auto"/>
        <w:rPr>
          <w:rFonts w:ascii="Palatino Linotype" w:eastAsia="Palatino Linotype" w:hAnsi="Palatino Linotype" w:cs="Palatino Linotype"/>
        </w:rPr>
      </w:pPr>
    </w:p>
    <w:p w14:paraId="168B6B45" w14:textId="77777777" w:rsidR="00D93AD3" w:rsidRPr="008342C3" w:rsidRDefault="00D93AD3" w:rsidP="008342C3">
      <w:pPr>
        <w:spacing w:line="360" w:lineRule="auto"/>
        <w:rPr>
          <w:rFonts w:ascii="Palatino Linotype" w:eastAsia="Palatino Linotype" w:hAnsi="Palatino Linotype" w:cs="Palatino Linotype"/>
        </w:rPr>
      </w:pPr>
    </w:p>
    <w:p w14:paraId="7D9EFDD8" w14:textId="77777777" w:rsidR="00D93AD3" w:rsidRPr="008342C3" w:rsidRDefault="00D93AD3" w:rsidP="008342C3">
      <w:pPr>
        <w:spacing w:line="360" w:lineRule="auto"/>
        <w:rPr>
          <w:rFonts w:ascii="Palatino Linotype" w:eastAsia="Palatino Linotype" w:hAnsi="Palatino Linotype" w:cs="Palatino Linotype"/>
        </w:rPr>
      </w:pPr>
    </w:p>
    <w:p w14:paraId="577D481F" w14:textId="77777777" w:rsidR="00D93AD3" w:rsidRPr="008342C3" w:rsidRDefault="00D93AD3" w:rsidP="008342C3">
      <w:pPr>
        <w:spacing w:line="360" w:lineRule="auto"/>
        <w:rPr>
          <w:rFonts w:ascii="Palatino Linotype" w:eastAsia="Palatino Linotype" w:hAnsi="Palatino Linotype" w:cs="Palatino Linotype"/>
        </w:rPr>
      </w:pPr>
    </w:p>
    <w:p w14:paraId="7C44A274" w14:textId="77777777" w:rsidR="00D93AD3" w:rsidRPr="008342C3" w:rsidRDefault="00D93AD3" w:rsidP="008342C3">
      <w:pPr>
        <w:spacing w:line="360" w:lineRule="auto"/>
        <w:rPr>
          <w:rFonts w:ascii="Palatino Linotype" w:eastAsia="Palatino Linotype" w:hAnsi="Palatino Linotype" w:cs="Palatino Linotype"/>
        </w:rPr>
      </w:pPr>
    </w:p>
    <w:p w14:paraId="70192A22" w14:textId="77777777" w:rsidR="00D93AD3" w:rsidRPr="008342C3" w:rsidRDefault="00D93AD3" w:rsidP="008342C3">
      <w:pPr>
        <w:spacing w:line="360" w:lineRule="auto"/>
        <w:rPr>
          <w:rFonts w:ascii="Palatino Linotype" w:eastAsia="Palatino Linotype" w:hAnsi="Palatino Linotype" w:cs="Palatino Linotype"/>
        </w:rPr>
      </w:pPr>
    </w:p>
    <w:p w14:paraId="10724D12" w14:textId="77777777" w:rsidR="00D93AD3" w:rsidRPr="008342C3" w:rsidRDefault="00D93AD3" w:rsidP="008342C3">
      <w:pPr>
        <w:spacing w:line="360" w:lineRule="auto"/>
        <w:rPr>
          <w:rFonts w:ascii="Palatino Linotype" w:eastAsia="Palatino Linotype" w:hAnsi="Palatino Linotype" w:cs="Palatino Linotype"/>
        </w:rPr>
      </w:pPr>
    </w:p>
    <w:p w14:paraId="0C03629D" w14:textId="77777777" w:rsidR="00D93AD3" w:rsidRPr="008342C3" w:rsidRDefault="00D93AD3" w:rsidP="008342C3">
      <w:pPr>
        <w:spacing w:line="360" w:lineRule="auto"/>
        <w:rPr>
          <w:rFonts w:ascii="Palatino Linotype" w:eastAsia="Palatino Linotype" w:hAnsi="Palatino Linotype" w:cs="Palatino Linotype"/>
        </w:rPr>
      </w:pPr>
    </w:p>
    <w:p w14:paraId="78EAE7EA" w14:textId="77777777" w:rsidR="00D93AD3" w:rsidRPr="008342C3" w:rsidRDefault="00D93AD3" w:rsidP="008342C3">
      <w:pPr>
        <w:spacing w:line="360" w:lineRule="auto"/>
        <w:rPr>
          <w:rFonts w:ascii="Palatino Linotype" w:eastAsia="Palatino Linotype" w:hAnsi="Palatino Linotype" w:cs="Palatino Linotype"/>
        </w:rPr>
      </w:pPr>
    </w:p>
    <w:p w14:paraId="66CFF5C4" w14:textId="77777777" w:rsidR="00D93AD3" w:rsidRPr="008342C3" w:rsidRDefault="00D93AD3" w:rsidP="008342C3">
      <w:pPr>
        <w:spacing w:line="360" w:lineRule="auto"/>
        <w:rPr>
          <w:rFonts w:ascii="Palatino Linotype" w:eastAsia="Palatino Linotype" w:hAnsi="Palatino Linotype" w:cs="Palatino Linotype"/>
        </w:rPr>
      </w:pPr>
    </w:p>
    <w:p w14:paraId="5314407C" w14:textId="77777777" w:rsidR="00D93AD3" w:rsidRPr="008342C3" w:rsidRDefault="00D93AD3" w:rsidP="008342C3">
      <w:pPr>
        <w:spacing w:line="360" w:lineRule="auto"/>
        <w:rPr>
          <w:rFonts w:ascii="Palatino Linotype" w:eastAsia="Palatino Linotype" w:hAnsi="Palatino Linotype" w:cs="Palatino Linotype"/>
        </w:rPr>
      </w:pPr>
    </w:p>
    <w:p w14:paraId="4AFABE8C" w14:textId="77777777" w:rsidR="00D93AD3" w:rsidRPr="008342C3" w:rsidRDefault="00D93AD3" w:rsidP="008342C3">
      <w:pPr>
        <w:spacing w:line="360" w:lineRule="auto"/>
        <w:rPr>
          <w:rFonts w:ascii="Palatino Linotype" w:eastAsia="Palatino Linotype" w:hAnsi="Palatino Linotype" w:cs="Palatino Linotype"/>
        </w:rPr>
      </w:pPr>
    </w:p>
    <w:p w14:paraId="106CD11C" w14:textId="77777777" w:rsidR="00D93AD3" w:rsidRPr="008342C3" w:rsidRDefault="00D93AD3" w:rsidP="008342C3">
      <w:pPr>
        <w:spacing w:line="360" w:lineRule="auto"/>
        <w:rPr>
          <w:rFonts w:ascii="Palatino Linotype" w:eastAsia="Palatino Linotype" w:hAnsi="Palatino Linotype" w:cs="Palatino Linotype"/>
        </w:rPr>
      </w:pPr>
    </w:p>
    <w:p w14:paraId="399EE741" w14:textId="77777777" w:rsidR="00D93AD3" w:rsidRPr="008342C3" w:rsidRDefault="00D93AD3" w:rsidP="008342C3">
      <w:pPr>
        <w:spacing w:line="360" w:lineRule="auto"/>
        <w:rPr>
          <w:rFonts w:ascii="Palatino Linotype" w:eastAsia="Palatino Linotype" w:hAnsi="Palatino Linotype" w:cs="Palatino Linotype"/>
        </w:rPr>
      </w:pPr>
    </w:p>
    <w:p w14:paraId="201A786A" w14:textId="77777777" w:rsidR="00D93AD3" w:rsidRPr="008342C3" w:rsidRDefault="00D93AD3" w:rsidP="008342C3">
      <w:pPr>
        <w:spacing w:line="360" w:lineRule="auto"/>
        <w:rPr>
          <w:rFonts w:ascii="Palatino Linotype" w:eastAsia="Palatino Linotype" w:hAnsi="Palatino Linotype" w:cs="Palatino Linotype"/>
        </w:rPr>
      </w:pPr>
    </w:p>
    <w:p w14:paraId="328A3F25" w14:textId="77777777" w:rsidR="00D93AD3" w:rsidRPr="008342C3" w:rsidRDefault="00D93AD3" w:rsidP="008342C3">
      <w:pPr>
        <w:spacing w:line="360" w:lineRule="auto"/>
        <w:rPr>
          <w:rFonts w:ascii="Palatino Linotype" w:eastAsia="Palatino Linotype" w:hAnsi="Palatino Linotype" w:cs="Palatino Linotype"/>
        </w:rPr>
      </w:pPr>
    </w:p>
    <w:p w14:paraId="7CA5309A" w14:textId="77777777" w:rsidR="00D93AD3" w:rsidRPr="008342C3" w:rsidRDefault="00D93AD3" w:rsidP="008342C3">
      <w:pPr>
        <w:spacing w:line="360" w:lineRule="auto"/>
        <w:rPr>
          <w:rFonts w:ascii="Palatino Linotype" w:eastAsia="Palatino Linotype" w:hAnsi="Palatino Linotype" w:cs="Palatino Linotype"/>
        </w:rPr>
      </w:pPr>
    </w:p>
    <w:p w14:paraId="68466CB1" w14:textId="77777777" w:rsidR="00D93AD3" w:rsidRPr="008342C3" w:rsidRDefault="00D93AD3" w:rsidP="008342C3">
      <w:pPr>
        <w:spacing w:line="360" w:lineRule="auto"/>
        <w:rPr>
          <w:rFonts w:ascii="Palatino Linotype" w:eastAsia="Palatino Linotype" w:hAnsi="Palatino Linotype" w:cs="Palatino Linotype"/>
        </w:rPr>
      </w:pPr>
    </w:p>
    <w:p w14:paraId="70C4C01A" w14:textId="77777777" w:rsidR="00D93AD3" w:rsidRPr="008342C3" w:rsidRDefault="00D93AD3" w:rsidP="008342C3">
      <w:pPr>
        <w:spacing w:line="360" w:lineRule="auto"/>
        <w:rPr>
          <w:rFonts w:ascii="Palatino Linotype" w:eastAsia="Palatino Linotype" w:hAnsi="Palatino Linotype" w:cs="Palatino Linotype"/>
        </w:rPr>
      </w:pPr>
    </w:p>
    <w:p w14:paraId="470AA4AC" w14:textId="77777777" w:rsidR="00D93AD3" w:rsidRPr="008342C3" w:rsidRDefault="00D93AD3" w:rsidP="008342C3">
      <w:pPr>
        <w:spacing w:line="360" w:lineRule="auto"/>
        <w:rPr>
          <w:rFonts w:ascii="Palatino Linotype" w:eastAsia="Palatino Linotype" w:hAnsi="Palatino Linotype" w:cs="Palatino Linotype"/>
        </w:rPr>
      </w:pPr>
    </w:p>
    <w:p w14:paraId="7E5C44CE" w14:textId="77777777" w:rsidR="00D93AD3" w:rsidRPr="008342C3" w:rsidRDefault="00D93AD3" w:rsidP="008342C3">
      <w:pPr>
        <w:spacing w:line="360" w:lineRule="auto"/>
        <w:rPr>
          <w:rFonts w:ascii="Palatino Linotype" w:eastAsia="Palatino Linotype" w:hAnsi="Palatino Linotype" w:cs="Palatino Linotype"/>
        </w:rPr>
      </w:pPr>
    </w:p>
    <w:p w14:paraId="34C88960" w14:textId="77777777" w:rsidR="00D93AD3" w:rsidRPr="008342C3" w:rsidRDefault="00D93AD3" w:rsidP="008342C3">
      <w:pPr>
        <w:spacing w:line="360" w:lineRule="auto"/>
        <w:rPr>
          <w:rFonts w:ascii="Palatino Linotype" w:eastAsia="Palatino Linotype" w:hAnsi="Palatino Linotype" w:cs="Palatino Linotype"/>
        </w:rPr>
      </w:pPr>
    </w:p>
    <w:p w14:paraId="0C4AE924" w14:textId="77777777" w:rsidR="00D93AD3" w:rsidRPr="008342C3" w:rsidRDefault="00405A8F" w:rsidP="008342C3">
      <w:pPr>
        <w:tabs>
          <w:tab w:val="left" w:pos="1842"/>
        </w:tabs>
        <w:spacing w:line="360" w:lineRule="auto"/>
        <w:rPr>
          <w:rFonts w:ascii="Palatino Linotype" w:eastAsia="Palatino Linotype" w:hAnsi="Palatino Linotype" w:cs="Palatino Linotype"/>
        </w:rPr>
      </w:pPr>
      <w:r w:rsidRPr="008342C3">
        <w:rPr>
          <w:rFonts w:ascii="Palatino Linotype" w:eastAsia="Palatino Linotype" w:hAnsi="Palatino Linotype" w:cs="Palatino Linotype"/>
        </w:rPr>
        <w:tab/>
      </w:r>
    </w:p>
    <w:sectPr w:rsidR="00D93AD3" w:rsidRPr="008342C3">
      <w:headerReference w:type="default" r:id="rId11"/>
      <w:footerReference w:type="default" r:id="rId12"/>
      <w:headerReference w:type="first" r:id="rId13"/>
      <w:footerReference w:type="first" r:id="rId14"/>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13D47" w14:textId="77777777" w:rsidR="00120B68" w:rsidRDefault="00120B68">
      <w:r>
        <w:separator/>
      </w:r>
    </w:p>
  </w:endnote>
  <w:endnote w:type="continuationSeparator" w:id="0">
    <w:p w14:paraId="4EAF580A" w14:textId="77777777" w:rsidR="00120B68" w:rsidRDefault="001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1BAE1" w14:textId="77777777" w:rsidR="0078304E" w:rsidRDefault="007830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9F3">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9F3">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2A8B4E37" w14:textId="77777777" w:rsidR="0078304E" w:rsidRDefault="0078304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636B" w14:textId="77777777" w:rsidR="0078304E" w:rsidRDefault="0078304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69F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69F3">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79BCC5C7" w14:textId="77777777" w:rsidR="0078304E" w:rsidRDefault="0078304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A1F5" w14:textId="77777777" w:rsidR="00120B68" w:rsidRDefault="00120B68">
      <w:r>
        <w:separator/>
      </w:r>
    </w:p>
  </w:footnote>
  <w:footnote w:type="continuationSeparator" w:id="0">
    <w:p w14:paraId="0571C414" w14:textId="77777777" w:rsidR="00120B68" w:rsidRDefault="00120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0E235" w14:textId="77777777" w:rsidR="0078304E" w:rsidRDefault="007830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4CAA5638" wp14:editId="3DBA7E22">
          <wp:simplePos x="0" y="0"/>
          <wp:positionH relativeFrom="margin">
            <wp:posOffset>-375920</wp:posOffset>
          </wp:positionH>
          <wp:positionV relativeFrom="margin">
            <wp:posOffset>-1220837</wp:posOffset>
          </wp:positionV>
          <wp:extent cx="5791835" cy="7541895"/>
          <wp:effectExtent l="0" t="0" r="0" b="190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b"/>
      <w:tblW w:w="6662" w:type="dxa"/>
      <w:tblInd w:w="2694" w:type="dxa"/>
      <w:tblLayout w:type="fixed"/>
      <w:tblLook w:val="0400" w:firstRow="0" w:lastRow="0" w:firstColumn="0" w:lastColumn="0" w:noHBand="0" w:noVBand="1"/>
    </w:tblPr>
    <w:tblGrid>
      <w:gridCol w:w="2835"/>
      <w:gridCol w:w="3827"/>
    </w:tblGrid>
    <w:tr w:rsidR="0078304E" w14:paraId="2A2AABB7" w14:textId="77777777" w:rsidTr="005A589E">
      <w:tc>
        <w:tcPr>
          <w:tcW w:w="2835" w:type="dxa"/>
          <w:shd w:val="clear" w:color="auto" w:fill="auto"/>
          <w:vAlign w:val="center"/>
        </w:tcPr>
        <w:p w14:paraId="4EA2E04C"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983A3AB" w14:textId="77777777" w:rsidR="0078304E" w:rsidRDefault="0078304E" w:rsidP="00C309B8">
          <w:pPr>
            <w:rPr>
              <w:rFonts w:ascii="Palatino Linotype" w:eastAsia="Palatino Linotype" w:hAnsi="Palatino Linotype" w:cs="Palatino Linotype"/>
              <w:b/>
              <w:sz w:val="22"/>
              <w:szCs w:val="22"/>
            </w:rPr>
          </w:pPr>
          <w:r w:rsidRPr="00B11039">
            <w:rPr>
              <w:rFonts w:ascii="Palatino Linotype" w:eastAsia="Palatino Linotype" w:hAnsi="Palatino Linotype" w:cs="Palatino Linotype"/>
              <w:b/>
              <w:sz w:val="22"/>
              <w:szCs w:val="22"/>
            </w:rPr>
            <w:t>00943/INFOEM/AD/RR/2024</w:t>
          </w:r>
        </w:p>
      </w:tc>
    </w:tr>
    <w:tr w:rsidR="0078304E" w14:paraId="7F26F235" w14:textId="77777777" w:rsidTr="005A589E">
      <w:trPr>
        <w:trHeight w:val="228"/>
      </w:trPr>
      <w:tc>
        <w:tcPr>
          <w:tcW w:w="2835" w:type="dxa"/>
          <w:shd w:val="clear" w:color="auto" w:fill="auto"/>
          <w:vAlign w:val="center"/>
        </w:tcPr>
        <w:p w14:paraId="420A6818"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244827AE" w14:textId="77777777" w:rsidR="0078304E" w:rsidRDefault="0078304E">
          <w:pPr>
            <w:jc w:val="both"/>
            <w:rPr>
              <w:rFonts w:ascii="Palatino Linotype" w:eastAsia="Palatino Linotype" w:hAnsi="Palatino Linotype" w:cs="Palatino Linotype"/>
              <w:b/>
              <w:sz w:val="22"/>
              <w:szCs w:val="22"/>
            </w:rPr>
          </w:pPr>
          <w:r w:rsidRPr="00B11039">
            <w:rPr>
              <w:rFonts w:ascii="Palatino Linotype" w:eastAsia="Palatino Linotype" w:hAnsi="Palatino Linotype" w:cs="Palatino Linotype"/>
              <w:b/>
              <w:sz w:val="22"/>
              <w:szCs w:val="22"/>
            </w:rPr>
            <w:t>Secretaría de Educación, Ciencia, Tecnología e Innovación</w:t>
          </w:r>
        </w:p>
      </w:tc>
    </w:tr>
    <w:tr w:rsidR="0078304E" w14:paraId="49EA8554" w14:textId="77777777" w:rsidTr="005A589E">
      <w:tc>
        <w:tcPr>
          <w:tcW w:w="2835" w:type="dxa"/>
          <w:shd w:val="clear" w:color="auto" w:fill="auto"/>
          <w:vAlign w:val="center"/>
        </w:tcPr>
        <w:p w14:paraId="1426DDB5" w14:textId="77777777" w:rsidR="0078304E" w:rsidRDefault="0078304E" w:rsidP="005A58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214255F" w14:textId="77777777" w:rsidR="0078304E" w:rsidRDefault="0078304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4509BCDC" w14:textId="77777777" w:rsidR="0078304E" w:rsidRDefault="007830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1BDE" w14:textId="77777777" w:rsidR="0078304E" w:rsidRDefault="00120B68">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3685A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c"/>
      <w:tblW w:w="6661" w:type="dxa"/>
      <w:tblInd w:w="2694" w:type="dxa"/>
      <w:tblLayout w:type="fixed"/>
      <w:tblLook w:val="0400" w:firstRow="0" w:lastRow="0" w:firstColumn="0" w:lastColumn="0" w:noHBand="0" w:noVBand="1"/>
    </w:tblPr>
    <w:tblGrid>
      <w:gridCol w:w="2693"/>
      <w:gridCol w:w="3968"/>
    </w:tblGrid>
    <w:tr w:rsidR="0078304E" w14:paraId="1C2F592C" w14:textId="77777777">
      <w:tc>
        <w:tcPr>
          <w:tcW w:w="2693" w:type="dxa"/>
          <w:shd w:val="clear" w:color="auto" w:fill="auto"/>
          <w:vAlign w:val="center"/>
        </w:tcPr>
        <w:p w14:paraId="764AD0DD"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2F3B977D" w14:textId="77777777" w:rsidR="0078304E" w:rsidRDefault="0078304E">
          <w:pPr>
            <w:rPr>
              <w:rFonts w:ascii="Palatino Linotype" w:eastAsia="Palatino Linotype" w:hAnsi="Palatino Linotype" w:cs="Palatino Linotype"/>
              <w:b/>
              <w:sz w:val="22"/>
              <w:szCs w:val="22"/>
            </w:rPr>
          </w:pPr>
          <w:r w:rsidRPr="00B11039">
            <w:rPr>
              <w:rFonts w:ascii="Palatino Linotype" w:eastAsia="Palatino Linotype" w:hAnsi="Palatino Linotype" w:cs="Palatino Linotype"/>
              <w:b/>
              <w:sz w:val="22"/>
              <w:szCs w:val="22"/>
            </w:rPr>
            <w:t>00943/INFOEM/AD/RR/2024</w:t>
          </w:r>
        </w:p>
      </w:tc>
    </w:tr>
    <w:tr w:rsidR="0078304E" w14:paraId="7FBBEE65" w14:textId="77777777">
      <w:tc>
        <w:tcPr>
          <w:tcW w:w="2693" w:type="dxa"/>
          <w:shd w:val="clear" w:color="auto" w:fill="auto"/>
          <w:vAlign w:val="center"/>
        </w:tcPr>
        <w:p w14:paraId="5F7CC0C1"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4FFB88CD" w14:textId="2CA1DEC8" w:rsidR="0078304E" w:rsidRDefault="000369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 </w:t>
          </w:r>
          <w:proofErr w:type="spellStart"/>
          <w:r>
            <w:rPr>
              <w:rFonts w:ascii="Palatino Linotype" w:eastAsia="Palatino Linotype" w:hAnsi="Palatino Linotype" w:cs="Palatino Linotype"/>
              <w:b/>
              <w:sz w:val="22"/>
              <w:szCs w:val="22"/>
            </w:rPr>
            <w:t>XXXXX</w:t>
          </w:r>
          <w:proofErr w:type="spellEnd"/>
        </w:p>
      </w:tc>
    </w:tr>
    <w:tr w:rsidR="0078304E" w14:paraId="33F4AECB" w14:textId="77777777">
      <w:trPr>
        <w:trHeight w:val="228"/>
      </w:trPr>
      <w:tc>
        <w:tcPr>
          <w:tcW w:w="2693" w:type="dxa"/>
          <w:shd w:val="clear" w:color="auto" w:fill="auto"/>
          <w:vAlign w:val="center"/>
        </w:tcPr>
        <w:p w14:paraId="67B5954C"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3C2D6125" w14:textId="77777777" w:rsidR="0078304E" w:rsidRDefault="0078304E">
          <w:pPr>
            <w:ind w:right="26"/>
            <w:jc w:val="both"/>
            <w:rPr>
              <w:rFonts w:ascii="Palatino Linotype" w:eastAsia="Palatino Linotype" w:hAnsi="Palatino Linotype" w:cs="Palatino Linotype"/>
              <w:b/>
              <w:sz w:val="22"/>
              <w:szCs w:val="22"/>
            </w:rPr>
          </w:pPr>
          <w:r w:rsidRPr="00B11039">
            <w:rPr>
              <w:rFonts w:ascii="Palatino Linotype" w:eastAsia="Palatino Linotype" w:hAnsi="Palatino Linotype" w:cs="Palatino Linotype"/>
              <w:b/>
              <w:sz w:val="22"/>
              <w:szCs w:val="22"/>
            </w:rPr>
            <w:t>Secretaría de Educación, Ciencia, Tecnología e Innovación</w:t>
          </w:r>
        </w:p>
      </w:tc>
    </w:tr>
    <w:tr w:rsidR="0078304E" w14:paraId="40DCF8DE" w14:textId="77777777">
      <w:tc>
        <w:tcPr>
          <w:tcW w:w="2693" w:type="dxa"/>
          <w:shd w:val="clear" w:color="auto" w:fill="auto"/>
          <w:vAlign w:val="center"/>
        </w:tcPr>
        <w:p w14:paraId="4CE2803B" w14:textId="77777777" w:rsidR="0078304E" w:rsidRDefault="00783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285E3326" w14:textId="77777777" w:rsidR="0078304E" w:rsidRDefault="0078304E">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78444219" w14:textId="77777777" w:rsidR="0078304E" w:rsidRDefault="0078304E">
    <w:pPr>
      <w:pBdr>
        <w:top w:val="nil"/>
        <w:left w:val="nil"/>
        <w:bottom w:val="nil"/>
        <w:right w:val="nil"/>
        <w:between w:val="nil"/>
      </w:pBdr>
      <w:tabs>
        <w:tab w:val="center" w:pos="4252"/>
        <w:tab w:val="right" w:pos="8504"/>
      </w:tabs>
      <w:rPr>
        <w:rFonts w:ascii="Calibri" w:eastAsia="Calibri" w:hAnsi="Calibri" w:cs="Calibri"/>
        <w:color w:val="000000"/>
      </w:rPr>
    </w:pPr>
  </w:p>
  <w:p w14:paraId="6DA8B709" w14:textId="77777777" w:rsidR="0078304E" w:rsidRDefault="0078304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542"/>
    <w:multiLevelType w:val="hybridMultilevel"/>
    <w:tmpl w:val="7E90D85C"/>
    <w:lvl w:ilvl="0" w:tplc="08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1" w15:restartNumberingAfterBreak="0">
    <w:nsid w:val="05BC2457"/>
    <w:multiLevelType w:val="hybridMultilevel"/>
    <w:tmpl w:val="10F609A4"/>
    <w:lvl w:ilvl="0" w:tplc="D1240F6C">
      <w:start w:val="1"/>
      <w:numFmt w:val="upperRoman"/>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9B52D4"/>
    <w:multiLevelType w:val="multilevel"/>
    <w:tmpl w:val="B38A322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47F0F1F"/>
    <w:multiLevelType w:val="multilevel"/>
    <w:tmpl w:val="B3CE910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9771F8"/>
    <w:multiLevelType w:val="multilevel"/>
    <w:tmpl w:val="1B9E0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121E0B"/>
    <w:multiLevelType w:val="multilevel"/>
    <w:tmpl w:val="7D58F6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0BD08C0"/>
    <w:multiLevelType w:val="multilevel"/>
    <w:tmpl w:val="CEA879A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727025D"/>
    <w:multiLevelType w:val="hybridMultilevel"/>
    <w:tmpl w:val="A4A600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7DB12CD"/>
    <w:multiLevelType w:val="multilevel"/>
    <w:tmpl w:val="D34EE8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EC40A3"/>
    <w:multiLevelType w:val="hybridMultilevel"/>
    <w:tmpl w:val="45A4130C"/>
    <w:lvl w:ilvl="0" w:tplc="3654AA18">
      <w:start w:val="1"/>
      <w:numFmt w:val="decimal"/>
      <w:lvlText w:val="%1."/>
      <w:lvlJc w:val="left"/>
      <w:pPr>
        <w:ind w:left="360" w:hanging="360"/>
      </w:pPr>
      <w:rPr>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414058"/>
    <w:multiLevelType w:val="multilevel"/>
    <w:tmpl w:val="4998A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2"/>
  </w:num>
  <w:num w:numId="4">
    <w:abstractNumId w:val="6"/>
  </w:num>
  <w:num w:numId="5">
    <w:abstractNumId w:val="11"/>
  </w:num>
  <w:num w:numId="6">
    <w:abstractNumId w:val="4"/>
  </w:num>
  <w:num w:numId="7">
    <w:abstractNumId w:val="12"/>
  </w:num>
  <w:num w:numId="8">
    <w:abstractNumId w:val="0"/>
  </w:num>
  <w:num w:numId="9">
    <w:abstractNumId w:val="9"/>
  </w:num>
  <w:num w:numId="10">
    <w:abstractNumId w:val="7"/>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D3"/>
    <w:rsid w:val="00015B19"/>
    <w:rsid w:val="000369F3"/>
    <w:rsid w:val="00062DC5"/>
    <w:rsid w:val="00066435"/>
    <w:rsid w:val="000C1656"/>
    <w:rsid w:val="000C7ED5"/>
    <w:rsid w:val="000D7C67"/>
    <w:rsid w:val="00117AB8"/>
    <w:rsid w:val="00120B68"/>
    <w:rsid w:val="0012495F"/>
    <w:rsid w:val="001B0375"/>
    <w:rsid w:val="0026358C"/>
    <w:rsid w:val="002837A0"/>
    <w:rsid w:val="002B0865"/>
    <w:rsid w:val="002B517D"/>
    <w:rsid w:val="002B69E1"/>
    <w:rsid w:val="002C5C82"/>
    <w:rsid w:val="002F136B"/>
    <w:rsid w:val="00311525"/>
    <w:rsid w:val="00326928"/>
    <w:rsid w:val="00344210"/>
    <w:rsid w:val="003465BD"/>
    <w:rsid w:val="003475BC"/>
    <w:rsid w:val="00370ADA"/>
    <w:rsid w:val="00373600"/>
    <w:rsid w:val="003973CD"/>
    <w:rsid w:val="003A23B5"/>
    <w:rsid w:val="003C4DCD"/>
    <w:rsid w:val="00405A8F"/>
    <w:rsid w:val="0048195D"/>
    <w:rsid w:val="004C4A5F"/>
    <w:rsid w:val="005322CA"/>
    <w:rsid w:val="005773D8"/>
    <w:rsid w:val="005921BC"/>
    <w:rsid w:val="005A189A"/>
    <w:rsid w:val="005A589E"/>
    <w:rsid w:val="005C3660"/>
    <w:rsid w:val="005F4062"/>
    <w:rsid w:val="005F46BE"/>
    <w:rsid w:val="00611122"/>
    <w:rsid w:val="00627E5E"/>
    <w:rsid w:val="006C7B85"/>
    <w:rsid w:val="006E3746"/>
    <w:rsid w:val="00721360"/>
    <w:rsid w:val="0078304E"/>
    <w:rsid w:val="007B1F68"/>
    <w:rsid w:val="007C3B9E"/>
    <w:rsid w:val="007E519B"/>
    <w:rsid w:val="008240E2"/>
    <w:rsid w:val="008342C3"/>
    <w:rsid w:val="00856480"/>
    <w:rsid w:val="008C4065"/>
    <w:rsid w:val="009249E2"/>
    <w:rsid w:val="00934419"/>
    <w:rsid w:val="0097687B"/>
    <w:rsid w:val="009B19C3"/>
    <w:rsid w:val="00A214FC"/>
    <w:rsid w:val="00A263F5"/>
    <w:rsid w:val="00A364A7"/>
    <w:rsid w:val="00A62CB5"/>
    <w:rsid w:val="00A76F1C"/>
    <w:rsid w:val="00A86A4B"/>
    <w:rsid w:val="00B11039"/>
    <w:rsid w:val="00B477B7"/>
    <w:rsid w:val="00B65813"/>
    <w:rsid w:val="00B9486A"/>
    <w:rsid w:val="00BC3A73"/>
    <w:rsid w:val="00BE7CEF"/>
    <w:rsid w:val="00BF0DED"/>
    <w:rsid w:val="00C309B8"/>
    <w:rsid w:val="00C45ED7"/>
    <w:rsid w:val="00CC55E0"/>
    <w:rsid w:val="00D27A50"/>
    <w:rsid w:val="00D4708A"/>
    <w:rsid w:val="00D8256A"/>
    <w:rsid w:val="00D93AD3"/>
    <w:rsid w:val="00D9633E"/>
    <w:rsid w:val="00DA2AEA"/>
    <w:rsid w:val="00DC1A78"/>
    <w:rsid w:val="00DC59DC"/>
    <w:rsid w:val="00DE011D"/>
    <w:rsid w:val="00DF5AF0"/>
    <w:rsid w:val="00E03B20"/>
    <w:rsid w:val="00E40B35"/>
    <w:rsid w:val="00E73344"/>
    <w:rsid w:val="00E75B51"/>
    <w:rsid w:val="00EB2C6E"/>
    <w:rsid w:val="00EB504A"/>
    <w:rsid w:val="00EF27FD"/>
    <w:rsid w:val="00F04482"/>
    <w:rsid w:val="00F478D8"/>
    <w:rsid w:val="00F63221"/>
    <w:rsid w:val="00F65397"/>
    <w:rsid w:val="00F93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5385CB"/>
  <w15:docId w15:val="{09A1FC15-A615-4C54-B1C0-FB98F7E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BC3A73"/>
    <w:pPr>
      <w:autoSpaceDE w:val="0"/>
      <w:autoSpaceDN w:val="0"/>
      <w:adjustRightInd w:val="0"/>
    </w:pPr>
    <w:rPr>
      <w:rFonts w:ascii="Arial" w:eastAsiaTheme="minorHAnsi" w:hAnsi="Arial" w:cs="Arial"/>
      <w:color w:val="000000"/>
      <w:lang w:eastAsia="en-US"/>
    </w:rPr>
  </w:style>
  <w:style w:type="paragraph" w:styleId="NormalWeb">
    <w:name w:val="Normal (Web)"/>
    <w:basedOn w:val="Normal"/>
    <w:uiPriority w:val="99"/>
    <w:unhideWhenUsed/>
    <w:rsid w:val="00DA2AEA"/>
    <w:pPr>
      <w:spacing w:before="100" w:beforeAutospacing="1" w:after="100" w:afterAutospacing="1"/>
    </w:p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364A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364A7"/>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364A7"/>
    <w:rPr>
      <w:sz w:val="20"/>
      <w:szCs w:val="20"/>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D470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6932</Words>
  <Characters>38132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INFOEM403</cp:lastModifiedBy>
  <cp:revision>5</cp:revision>
  <cp:lastPrinted>2025-02-20T16:17:00Z</cp:lastPrinted>
  <dcterms:created xsi:type="dcterms:W3CDTF">2025-02-18T02:34:00Z</dcterms:created>
  <dcterms:modified xsi:type="dcterms:W3CDTF">2025-03-26T20:03:00Z</dcterms:modified>
</cp:coreProperties>
</file>