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D0076" w14:textId="7A33E6B8" w:rsidR="003332A9" w:rsidRPr="00BC1643" w:rsidRDefault="00BE382A" w:rsidP="00B60C5F">
      <w:pPr>
        <w:pBdr>
          <w:top w:val="nil"/>
          <w:left w:val="nil"/>
          <w:bottom w:val="nil"/>
          <w:right w:val="nil"/>
          <w:between w:val="nil"/>
        </w:pBdr>
        <w:rPr>
          <w:color w:val="000000" w:themeColor="text1"/>
        </w:rPr>
      </w:pPr>
      <w:bookmarkStart w:id="0" w:name="_GoBack"/>
      <w:bookmarkEnd w:id="0"/>
      <w:r w:rsidRPr="00BC1643">
        <w:rPr>
          <w:color w:val="000000" w:themeColor="text1"/>
        </w:rPr>
        <w:t xml:space="preserve">Resolución del Pleno del Instituto de Transparencia, Acceso a la Información Pública y Protección de Datos Personales del Estado de México y Municipios, con domicilio en Metepec, </w:t>
      </w:r>
      <w:r w:rsidR="00B60C5F" w:rsidRPr="00BC1643">
        <w:rPr>
          <w:color w:val="000000" w:themeColor="text1"/>
        </w:rPr>
        <w:t xml:space="preserve">México, </w:t>
      </w:r>
      <w:r w:rsidR="00B60C5F" w:rsidRPr="00D24BF3">
        <w:rPr>
          <w:color w:val="000000" w:themeColor="text1"/>
        </w:rPr>
        <w:t>de fecha</w:t>
      </w:r>
      <w:r w:rsidR="00B60C5F" w:rsidRPr="00BC1643">
        <w:rPr>
          <w:b/>
          <w:color w:val="000000" w:themeColor="text1"/>
        </w:rPr>
        <w:t xml:space="preserve"> cuatro</w:t>
      </w:r>
      <w:r w:rsidR="00D24BF3">
        <w:rPr>
          <w:b/>
          <w:color w:val="000000" w:themeColor="text1"/>
        </w:rPr>
        <w:t xml:space="preserve"> (04)</w:t>
      </w:r>
      <w:r w:rsidR="00B60C5F" w:rsidRPr="00BC1643">
        <w:rPr>
          <w:b/>
          <w:color w:val="000000" w:themeColor="text1"/>
        </w:rPr>
        <w:t xml:space="preserve"> de junio </w:t>
      </w:r>
      <w:r w:rsidRPr="00BC1643">
        <w:rPr>
          <w:b/>
          <w:color w:val="000000" w:themeColor="text1"/>
        </w:rPr>
        <w:t>de dos mil veinticinco</w:t>
      </w:r>
      <w:r w:rsidRPr="00BC1643">
        <w:rPr>
          <w:color w:val="000000" w:themeColor="text1"/>
        </w:rPr>
        <w:t>.</w:t>
      </w:r>
    </w:p>
    <w:p w14:paraId="48E78017" w14:textId="77777777" w:rsidR="003332A9" w:rsidRPr="00BC1643" w:rsidRDefault="003332A9" w:rsidP="00B60C5F">
      <w:pPr>
        <w:pBdr>
          <w:top w:val="nil"/>
          <w:left w:val="nil"/>
          <w:bottom w:val="nil"/>
          <w:right w:val="nil"/>
          <w:between w:val="nil"/>
        </w:pBdr>
        <w:rPr>
          <w:color w:val="000000" w:themeColor="text1"/>
        </w:rPr>
      </w:pPr>
    </w:p>
    <w:p w14:paraId="7429C84C" w14:textId="30E8FCBD" w:rsidR="003332A9" w:rsidRPr="00BC1643" w:rsidRDefault="00BE382A" w:rsidP="00B60C5F">
      <w:pPr>
        <w:pBdr>
          <w:top w:val="nil"/>
          <w:left w:val="nil"/>
          <w:bottom w:val="nil"/>
          <w:right w:val="nil"/>
          <w:between w:val="nil"/>
        </w:pBdr>
        <w:rPr>
          <w:color w:val="000000" w:themeColor="text1"/>
        </w:rPr>
      </w:pPr>
      <w:r w:rsidRPr="00BC1643">
        <w:rPr>
          <w:b/>
          <w:color w:val="000000" w:themeColor="text1"/>
        </w:rPr>
        <w:t xml:space="preserve">VISTO </w:t>
      </w:r>
      <w:r w:rsidRPr="00BC1643">
        <w:rPr>
          <w:color w:val="000000" w:themeColor="text1"/>
        </w:rPr>
        <w:t xml:space="preserve">el expediente electrónico formado con motivo del recurso de revisión </w:t>
      </w:r>
      <w:r w:rsidRPr="00BC1643">
        <w:rPr>
          <w:b/>
          <w:color w:val="000000" w:themeColor="text1"/>
        </w:rPr>
        <w:t>00248/INFOEM/AD/RR/2025</w:t>
      </w:r>
      <w:r w:rsidRPr="00BC1643">
        <w:rPr>
          <w:color w:val="000000" w:themeColor="text1"/>
        </w:rPr>
        <w:t xml:space="preserve">, interpuesto por </w:t>
      </w:r>
      <w:r w:rsidR="00513EBE">
        <w:rPr>
          <w:b/>
          <w:color w:val="000000" w:themeColor="text1"/>
        </w:rPr>
        <w:t>XXXX</w:t>
      </w:r>
      <w:r w:rsidRPr="00BC1643">
        <w:rPr>
          <w:color w:val="000000" w:themeColor="text1"/>
        </w:rPr>
        <w:t>, en lo sucesivo la</w:t>
      </w:r>
      <w:r w:rsidRPr="00BC1643">
        <w:rPr>
          <w:b/>
          <w:color w:val="000000" w:themeColor="text1"/>
        </w:rPr>
        <w:t xml:space="preserve"> Recurrente</w:t>
      </w:r>
      <w:r w:rsidRPr="00BC1643">
        <w:rPr>
          <w:color w:val="000000" w:themeColor="text1"/>
        </w:rPr>
        <w:t xml:space="preserve">; en contra de la falta de respuesta del </w:t>
      </w:r>
      <w:r w:rsidRPr="00BC1643">
        <w:rPr>
          <w:b/>
          <w:color w:val="000000" w:themeColor="text1"/>
        </w:rPr>
        <w:t>Tribunal Estatal de Conciliación y Arbitraje</w:t>
      </w:r>
      <w:r w:rsidRPr="00BC1643">
        <w:rPr>
          <w:color w:val="000000" w:themeColor="text1"/>
        </w:rPr>
        <w:t>, en lo subsecuente</w:t>
      </w:r>
      <w:r w:rsidRPr="00BC1643">
        <w:rPr>
          <w:b/>
          <w:color w:val="000000" w:themeColor="text1"/>
        </w:rPr>
        <w:t xml:space="preserve"> </w:t>
      </w:r>
      <w:r w:rsidRPr="00BC1643">
        <w:rPr>
          <w:color w:val="000000" w:themeColor="text1"/>
        </w:rPr>
        <w:t>el</w:t>
      </w:r>
      <w:r w:rsidRPr="00BC1643">
        <w:rPr>
          <w:b/>
          <w:color w:val="000000" w:themeColor="text1"/>
        </w:rPr>
        <w:t xml:space="preserve"> Sujeto Obligado</w:t>
      </w:r>
      <w:r w:rsidRPr="00BC1643">
        <w:rPr>
          <w:color w:val="000000" w:themeColor="text1"/>
        </w:rPr>
        <w:t>,</w:t>
      </w:r>
      <w:r w:rsidRPr="00BC1643">
        <w:rPr>
          <w:b/>
          <w:color w:val="000000" w:themeColor="text1"/>
        </w:rPr>
        <w:t xml:space="preserve"> </w:t>
      </w:r>
      <w:r w:rsidRPr="00BC1643">
        <w:rPr>
          <w:color w:val="000000" w:themeColor="text1"/>
        </w:rPr>
        <w:t xml:space="preserve">se procede </w:t>
      </w:r>
      <w:r w:rsidR="00B60C5F" w:rsidRPr="00BC1643">
        <w:rPr>
          <w:color w:val="000000" w:themeColor="text1"/>
        </w:rPr>
        <w:t>a dictar la presente resolución:</w:t>
      </w:r>
    </w:p>
    <w:p w14:paraId="01F5F291" w14:textId="77777777" w:rsidR="003332A9" w:rsidRPr="00BC1643" w:rsidRDefault="003332A9" w:rsidP="00B60C5F">
      <w:pPr>
        <w:pBdr>
          <w:top w:val="nil"/>
          <w:left w:val="nil"/>
          <w:bottom w:val="nil"/>
          <w:right w:val="nil"/>
          <w:between w:val="nil"/>
        </w:pBdr>
        <w:rPr>
          <w:color w:val="000000" w:themeColor="text1"/>
        </w:rPr>
      </w:pPr>
    </w:p>
    <w:p w14:paraId="536747F7" w14:textId="77777777" w:rsidR="003332A9" w:rsidRPr="00BC1643" w:rsidRDefault="00BE382A" w:rsidP="00B60C5F">
      <w:pPr>
        <w:pBdr>
          <w:top w:val="nil"/>
          <w:left w:val="nil"/>
          <w:bottom w:val="nil"/>
          <w:right w:val="nil"/>
          <w:between w:val="nil"/>
        </w:pBdr>
        <w:jc w:val="center"/>
        <w:rPr>
          <w:b/>
          <w:color w:val="000000" w:themeColor="text1"/>
        </w:rPr>
      </w:pPr>
      <w:r w:rsidRPr="00BC1643">
        <w:rPr>
          <w:b/>
          <w:color w:val="000000" w:themeColor="text1"/>
        </w:rPr>
        <w:t>A N T E C E D E N T E S</w:t>
      </w:r>
    </w:p>
    <w:p w14:paraId="3C40BDC7" w14:textId="77777777" w:rsidR="003332A9" w:rsidRPr="00BC1643" w:rsidRDefault="003332A9" w:rsidP="00B60C5F">
      <w:pPr>
        <w:pBdr>
          <w:top w:val="nil"/>
          <w:left w:val="nil"/>
          <w:bottom w:val="nil"/>
          <w:right w:val="nil"/>
          <w:between w:val="nil"/>
        </w:pBdr>
        <w:rPr>
          <w:b/>
          <w:color w:val="000000" w:themeColor="text1"/>
        </w:rPr>
      </w:pPr>
    </w:p>
    <w:p w14:paraId="1ABD4D1E"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PRIMERO.</w:t>
      </w:r>
      <w:r w:rsidRPr="00BC1643">
        <w:rPr>
          <w:color w:val="000000" w:themeColor="text1"/>
        </w:rPr>
        <w:t xml:space="preserve"> </w:t>
      </w:r>
      <w:r w:rsidRPr="00BC1643">
        <w:rPr>
          <w:b/>
          <w:color w:val="000000" w:themeColor="text1"/>
        </w:rPr>
        <w:t>Del Acceso a Datos Personales.</w:t>
      </w:r>
    </w:p>
    <w:p w14:paraId="33463C45"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b/>
          <w:color w:val="000000" w:themeColor="text1"/>
        </w:rPr>
      </w:pPr>
      <w:r w:rsidRPr="00BC1643">
        <w:rPr>
          <w:color w:val="000000" w:themeColor="text1"/>
        </w:rPr>
        <w:t xml:space="preserve">Con fecha </w:t>
      </w:r>
      <w:r w:rsidRPr="00BC1643">
        <w:rPr>
          <w:b/>
          <w:color w:val="000000" w:themeColor="text1"/>
        </w:rPr>
        <w:t>tres de diciembre de dos mil veinticuatro</w:t>
      </w:r>
      <w:r w:rsidRPr="00BC1643">
        <w:rPr>
          <w:color w:val="000000" w:themeColor="text1"/>
        </w:rPr>
        <w:t xml:space="preserve">, la Recurrente presentó a través del Sistema de Acceso, Rectificación, Cancelación y Oposición de Datos Personales del Estado de México </w:t>
      </w:r>
      <w:r w:rsidRPr="00BC1643">
        <w:rPr>
          <w:b/>
          <w:color w:val="000000" w:themeColor="text1"/>
        </w:rPr>
        <w:t>(SARCOEM)</w:t>
      </w:r>
      <w:r w:rsidRPr="00BC1643">
        <w:rPr>
          <w:color w:val="000000" w:themeColor="text1"/>
        </w:rPr>
        <w:t xml:space="preserve"> ante el Sujeto Obligado la solicitud de acceso a los datos personales registrada bajo el número de expediente</w:t>
      </w:r>
      <w:r w:rsidRPr="00BC1643">
        <w:rPr>
          <w:b/>
          <w:color w:val="000000" w:themeColor="text1"/>
        </w:rPr>
        <w:t xml:space="preserve">  00004/TRIECA/AD/2024</w:t>
      </w:r>
      <w:r w:rsidRPr="00BC1643">
        <w:rPr>
          <w:color w:val="000000" w:themeColor="text1"/>
        </w:rPr>
        <w:t>,</w:t>
      </w:r>
      <w:r w:rsidRPr="00BC1643">
        <w:rPr>
          <w:b/>
          <w:color w:val="000000" w:themeColor="text1"/>
        </w:rPr>
        <w:t xml:space="preserve"> </w:t>
      </w:r>
      <w:r w:rsidRPr="00BC1643">
        <w:rPr>
          <w:color w:val="000000" w:themeColor="text1"/>
        </w:rPr>
        <w:t>mediante la cual requirió le fuese entregado lo siguiente:</w:t>
      </w:r>
    </w:p>
    <w:p w14:paraId="2882EFB8" w14:textId="77777777" w:rsidR="003332A9" w:rsidRPr="00BC1643" w:rsidRDefault="003332A9" w:rsidP="00B60C5F">
      <w:pPr>
        <w:pBdr>
          <w:top w:val="nil"/>
          <w:left w:val="nil"/>
          <w:bottom w:val="nil"/>
          <w:right w:val="nil"/>
          <w:between w:val="nil"/>
        </w:pBdr>
        <w:rPr>
          <w:color w:val="000000" w:themeColor="text1"/>
        </w:rPr>
      </w:pPr>
    </w:p>
    <w:p w14:paraId="423338B7"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i/>
          <w:color w:val="000000" w:themeColor="text1"/>
        </w:rPr>
        <w:t>“requiero dos copias certificadas del acta de fecha 08 de octubre de 2024, contenida dentro del Juicio laboral SAT32/2024. (en la cual se declara como única y legitima beneficiaria a la hoy suscrita). del índice de la Sala auxiliar de Tlalnepantla de este sujeto obligado. junto al presente escrito exhibo los documentos para acreditar mi personalidad, no omito manifestar que los documentos son menores a 20 fojas, por lo que procede su otorgamiento de forma gratuita..” (Sic)</w:t>
      </w:r>
    </w:p>
    <w:p w14:paraId="42139A46" w14:textId="77777777" w:rsidR="003332A9" w:rsidRPr="00BC1643" w:rsidRDefault="003332A9" w:rsidP="00B60C5F">
      <w:pPr>
        <w:pBdr>
          <w:top w:val="nil"/>
          <w:left w:val="nil"/>
          <w:bottom w:val="nil"/>
          <w:right w:val="nil"/>
          <w:between w:val="nil"/>
        </w:pBdr>
        <w:rPr>
          <w:b/>
          <w:color w:val="000000" w:themeColor="text1"/>
          <w:u w:val="single"/>
        </w:rPr>
      </w:pPr>
    </w:p>
    <w:p w14:paraId="05124873" w14:textId="77777777" w:rsidR="003332A9" w:rsidRPr="00BC1643" w:rsidRDefault="00BE382A" w:rsidP="00B60C5F">
      <w:pPr>
        <w:pBdr>
          <w:top w:val="nil"/>
          <w:left w:val="nil"/>
          <w:bottom w:val="nil"/>
          <w:right w:val="nil"/>
          <w:between w:val="nil"/>
        </w:pBdr>
        <w:rPr>
          <w:color w:val="000000" w:themeColor="text1"/>
        </w:rPr>
      </w:pPr>
      <w:r w:rsidRPr="00BC1643">
        <w:rPr>
          <w:color w:val="000000" w:themeColor="text1"/>
        </w:rPr>
        <w:t xml:space="preserve">Modalidad de entrega: </w:t>
      </w:r>
      <w:r w:rsidRPr="00BC1643">
        <w:rPr>
          <w:b/>
          <w:color w:val="000000" w:themeColor="text1"/>
        </w:rPr>
        <w:t>Copias certificadas</w:t>
      </w:r>
    </w:p>
    <w:p w14:paraId="17BC7841"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Al momento de ingresar la solicitud de información la entonces </w:t>
      </w:r>
      <w:r w:rsidRPr="00BC1643">
        <w:rPr>
          <w:b/>
          <w:color w:val="000000" w:themeColor="text1"/>
        </w:rPr>
        <w:t xml:space="preserve">SOLICITANTE </w:t>
      </w:r>
      <w:r w:rsidRPr="00BC1643">
        <w:rPr>
          <w:color w:val="000000" w:themeColor="text1"/>
        </w:rPr>
        <w:t xml:space="preserve">entrego un documento en formato pdf, cuyo contenido grosso modo es el siguiente. </w:t>
      </w:r>
    </w:p>
    <w:p w14:paraId="19F3A1F9" w14:textId="77777777" w:rsidR="003332A9" w:rsidRPr="00BC1643" w:rsidRDefault="00BE382A" w:rsidP="00B60C5F">
      <w:pPr>
        <w:pBdr>
          <w:top w:val="nil"/>
          <w:left w:val="nil"/>
          <w:bottom w:val="nil"/>
          <w:right w:val="nil"/>
          <w:between w:val="nil"/>
        </w:pBdr>
        <w:tabs>
          <w:tab w:val="left" w:pos="993"/>
        </w:tabs>
        <w:spacing w:line="240" w:lineRule="auto"/>
        <w:rPr>
          <w:i/>
          <w:color w:val="000000" w:themeColor="text1"/>
        </w:rPr>
      </w:pPr>
      <w:r w:rsidRPr="00BC1643">
        <w:rPr>
          <w:b/>
          <w:i/>
          <w:color w:val="000000" w:themeColor="text1"/>
        </w:rPr>
        <w:lastRenderedPageBreak/>
        <w:t xml:space="preserve">DEF_merged.pdf: </w:t>
      </w:r>
      <w:r w:rsidRPr="00BC1643">
        <w:rPr>
          <w:i/>
          <w:color w:val="000000" w:themeColor="text1"/>
        </w:rPr>
        <w:t xml:space="preserve">documento que contiene el Acta de defunción del esposo de la solicitante, Acta de Matrimonio y como credencial de identificación el INE. </w:t>
      </w:r>
    </w:p>
    <w:p w14:paraId="329995EA" w14:textId="77777777" w:rsidR="003332A9" w:rsidRPr="00BC1643" w:rsidRDefault="00BE382A" w:rsidP="00B60C5F">
      <w:pPr>
        <w:pBdr>
          <w:top w:val="nil"/>
          <w:left w:val="nil"/>
          <w:bottom w:val="nil"/>
          <w:right w:val="nil"/>
          <w:between w:val="nil"/>
        </w:pBdr>
        <w:tabs>
          <w:tab w:val="left" w:pos="0"/>
        </w:tabs>
        <w:rPr>
          <w:b/>
          <w:color w:val="000000" w:themeColor="text1"/>
        </w:rPr>
      </w:pPr>
      <w:r w:rsidRPr="00BC1643">
        <w:rPr>
          <w:b/>
          <w:color w:val="000000" w:themeColor="text1"/>
        </w:rPr>
        <w:t xml:space="preserve"> </w:t>
      </w:r>
    </w:p>
    <w:p w14:paraId="4918FE49" w14:textId="77777777" w:rsidR="003332A9" w:rsidRPr="00BC1643" w:rsidRDefault="00BE382A" w:rsidP="00B60C5F">
      <w:pPr>
        <w:pBdr>
          <w:top w:val="nil"/>
          <w:left w:val="nil"/>
          <w:bottom w:val="nil"/>
          <w:right w:val="nil"/>
          <w:between w:val="nil"/>
        </w:pBdr>
        <w:rPr>
          <w:color w:val="000000" w:themeColor="text1"/>
        </w:rPr>
      </w:pPr>
      <w:r w:rsidRPr="00BC1643">
        <w:rPr>
          <w:b/>
          <w:color w:val="000000" w:themeColor="text1"/>
        </w:rPr>
        <w:t>SEGUNDO. De la falta de respuesta del Sujeto Obligado.</w:t>
      </w:r>
    </w:p>
    <w:p w14:paraId="5EE00CE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el expediente electrónico se observa que el Sujeto Obligado omitió dar respuesta a la solicitud de acceso a datos personales. Derivado de lo anterior, se constituye la figura de la </w:t>
      </w:r>
      <w:r w:rsidRPr="00BC1643">
        <w:rPr>
          <w:b/>
          <w:i/>
          <w:color w:val="000000" w:themeColor="text1"/>
        </w:rPr>
        <w:t>Negativa Ficta</w:t>
      </w:r>
      <w:r w:rsidRPr="00BC1643">
        <w:rPr>
          <w:color w:val="000000" w:themeColor="text1"/>
        </w:rPr>
        <w:t>, cuya esencia consiste en atribuir un efecto negativo de la autoridad administrativa frente a las instancias y solicitudes que hagan los particulares.</w:t>
      </w:r>
    </w:p>
    <w:p w14:paraId="545C310B" w14:textId="77777777" w:rsidR="003332A9" w:rsidRPr="00BC1643" w:rsidRDefault="003332A9" w:rsidP="00B60C5F">
      <w:pPr>
        <w:pBdr>
          <w:top w:val="nil"/>
          <w:left w:val="nil"/>
          <w:bottom w:val="nil"/>
          <w:right w:val="nil"/>
          <w:between w:val="nil"/>
        </w:pBdr>
        <w:rPr>
          <w:color w:val="000000" w:themeColor="text1"/>
        </w:rPr>
      </w:pPr>
    </w:p>
    <w:p w14:paraId="6FD24A23"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TERCERO. Del recurso de revisión.</w:t>
      </w:r>
    </w:p>
    <w:p w14:paraId="71730411" w14:textId="397D55BF"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fecha </w:t>
      </w:r>
      <w:r w:rsidRPr="00BC1643">
        <w:rPr>
          <w:b/>
          <w:color w:val="000000" w:themeColor="text1"/>
        </w:rPr>
        <w:t>veinticuatro de enero de dos mil veinticinco</w:t>
      </w:r>
      <w:r w:rsidRPr="00BC1643">
        <w:rPr>
          <w:color w:val="000000" w:themeColor="text1"/>
        </w:rPr>
        <w:t>, el Recurrente interpuso el presente recurso de revisión, el cual fue registrado</w:t>
      </w:r>
      <w:r w:rsidRPr="00BC1643">
        <w:rPr>
          <w:b/>
          <w:color w:val="000000" w:themeColor="text1"/>
        </w:rPr>
        <w:t xml:space="preserve"> </w:t>
      </w:r>
      <w:r w:rsidRPr="00BC1643">
        <w:rPr>
          <w:color w:val="000000" w:themeColor="text1"/>
        </w:rPr>
        <w:t>en el SARCOEM con el expediente número</w:t>
      </w:r>
      <w:r w:rsidRPr="00BC1643">
        <w:rPr>
          <w:b/>
          <w:color w:val="000000" w:themeColor="text1"/>
        </w:rPr>
        <w:t xml:space="preserve"> 00248/INFOEM/AD/RR/2025</w:t>
      </w:r>
      <w:r w:rsidRPr="00BC1643">
        <w:rPr>
          <w:color w:val="000000" w:themeColor="text1"/>
        </w:rPr>
        <w:t>, manifestando lo siguiente:</w:t>
      </w:r>
    </w:p>
    <w:p w14:paraId="36FC644C" w14:textId="77777777" w:rsidR="003332A9" w:rsidRPr="00513EBE" w:rsidRDefault="00BE382A" w:rsidP="00513EBE">
      <w:pPr>
        <w:pStyle w:val="Prrafodelista"/>
        <w:numPr>
          <w:ilvl w:val="0"/>
          <w:numId w:val="3"/>
        </w:numPr>
        <w:pBdr>
          <w:top w:val="nil"/>
          <w:left w:val="nil"/>
          <w:bottom w:val="nil"/>
          <w:right w:val="nil"/>
          <w:between w:val="nil"/>
        </w:pBdr>
        <w:rPr>
          <w:b/>
          <w:color w:val="000000" w:themeColor="text1"/>
        </w:rPr>
      </w:pPr>
      <w:r w:rsidRPr="00513EBE">
        <w:rPr>
          <w:b/>
          <w:color w:val="000000" w:themeColor="text1"/>
        </w:rPr>
        <w:t xml:space="preserve">Acto Impugnado: </w:t>
      </w:r>
    </w:p>
    <w:p w14:paraId="0BA08DC8"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i/>
          <w:color w:val="000000" w:themeColor="text1"/>
        </w:rPr>
        <w:t xml:space="preserve">“LA OMISIÓN DE RESPONDER A MI SOLICITUD ARCO..” (Sic) </w:t>
      </w:r>
    </w:p>
    <w:p w14:paraId="33D59C51" w14:textId="77777777" w:rsidR="00B60C5F" w:rsidRPr="00BC1643" w:rsidRDefault="00B60C5F" w:rsidP="00B60C5F">
      <w:pPr>
        <w:pBdr>
          <w:top w:val="nil"/>
          <w:left w:val="nil"/>
          <w:bottom w:val="nil"/>
          <w:right w:val="nil"/>
          <w:between w:val="nil"/>
        </w:pBdr>
        <w:rPr>
          <w:color w:val="000000" w:themeColor="text1"/>
        </w:rPr>
      </w:pPr>
    </w:p>
    <w:p w14:paraId="2A9B6287" w14:textId="77777777" w:rsidR="003332A9" w:rsidRPr="00513EBE" w:rsidRDefault="00BE382A" w:rsidP="00513EBE">
      <w:pPr>
        <w:pStyle w:val="Prrafodelista"/>
        <w:numPr>
          <w:ilvl w:val="0"/>
          <w:numId w:val="3"/>
        </w:numPr>
        <w:pBdr>
          <w:top w:val="nil"/>
          <w:left w:val="nil"/>
          <w:bottom w:val="nil"/>
          <w:right w:val="nil"/>
          <w:between w:val="nil"/>
        </w:pBdr>
        <w:rPr>
          <w:i/>
          <w:color w:val="000000" w:themeColor="text1"/>
        </w:rPr>
      </w:pPr>
      <w:r w:rsidRPr="00513EBE">
        <w:rPr>
          <w:b/>
          <w:color w:val="000000" w:themeColor="text1"/>
        </w:rPr>
        <w:t>Razones o Motivos de Inconformidad</w:t>
      </w:r>
      <w:r w:rsidRPr="00513EBE">
        <w:rPr>
          <w:color w:val="000000" w:themeColor="text1"/>
        </w:rPr>
        <w:t>:</w:t>
      </w:r>
      <w:r w:rsidRPr="00513EBE">
        <w:rPr>
          <w:i/>
          <w:color w:val="000000" w:themeColor="text1"/>
        </w:rPr>
        <w:t xml:space="preserve"> </w:t>
      </w:r>
    </w:p>
    <w:p w14:paraId="261F90EA"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i/>
          <w:color w:val="000000" w:themeColor="text1"/>
        </w:rPr>
        <w:t xml:space="preserve">“El derecho de acceso a la información pública está consagrado en el artículo 6° de la Constitución Política de los Estados Unidos Mexicanos, así como en las leyes generales y locales que regulan la transparencia y el acceso a la información. Este derecho impone la obligación a los sujetos obligados de proporcionar una respuesta oportuna, completa y clara a las solicitudes de información dentro de los plazos establecidos por la normatividad aplicable. En el caso específico, la falta de respuesta por parte de la autoridad competente dentro del plazo legal constituye una violación directa al derecho fundamental de acceso a la información pública. Esta omisión afecta los principios de transparencia y rendición de cuentas, pilares esenciales del Estado democrático. El artículo 222, fracción II, de la [Ley de Transparencia correspondiente] señala como causa de responsabilidad administrativa la falta de respuesta a las solicitudes de información en los plazos previstos. La autoridad, al no emitir respuesta, incumple con esta disposición legal, lo cual genera una afectación directa a mi derecho constitucional y legal.Por tanto, se solicita que la autoridad garantice la emisión de la respuesta en los términos previstos por la ley y que se sancione a los servidores públicos responsables de esta omisión, conforme a lo dispuesto en la normatividad aplicable. Esta conducta omisiva vulnera el principio de máxima publicidad, que obliga a los sujetos obligados a privilegiar la divulgación de la información, salvo casos de excepción claramente previstos en la ley. </w:t>
      </w:r>
      <w:r w:rsidRPr="00BC1643">
        <w:rPr>
          <w:rFonts w:eastAsia="Palatino Linotype" w:cs="Palatino Linotype"/>
          <w:i/>
          <w:color w:val="000000" w:themeColor="text1"/>
        </w:rPr>
        <w:lastRenderedPageBreak/>
        <w:t xml:space="preserve">Con fundamento en lo anterior, se exige la inmediata atención a la solicitud presentada, la reparación de la afectación causada por la omisión de la autoridad, y la imposición de las sanciones correspondientes a los servidores públicos que hayan incurrido en este incumplimiento, SIENDO PROCEDENTE DAR VISTA AL ORGANO DE CONTROL INTERNO SOBRE LA PRESENTE ACTIVIDAD ADMINISTRATIVA..” (Sic) </w:t>
      </w:r>
    </w:p>
    <w:p w14:paraId="24071981" w14:textId="77777777" w:rsidR="003332A9" w:rsidRPr="00BC1643" w:rsidRDefault="003332A9" w:rsidP="00B60C5F">
      <w:pPr>
        <w:pBdr>
          <w:top w:val="nil"/>
          <w:left w:val="nil"/>
          <w:bottom w:val="nil"/>
          <w:right w:val="nil"/>
          <w:between w:val="nil"/>
        </w:pBdr>
        <w:rPr>
          <w:color w:val="000000" w:themeColor="text1"/>
        </w:rPr>
      </w:pPr>
    </w:p>
    <w:p w14:paraId="3F6A420E"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Como anexo al medio de impugnación el </w:t>
      </w:r>
      <w:r w:rsidRPr="00BC1643">
        <w:rPr>
          <w:b/>
          <w:color w:val="000000" w:themeColor="text1"/>
        </w:rPr>
        <w:t xml:space="preserve">RECURRENTE </w:t>
      </w:r>
      <w:r w:rsidRPr="00BC1643">
        <w:rPr>
          <w:color w:val="000000" w:themeColor="text1"/>
        </w:rPr>
        <w:t xml:space="preserve">anexo nuevamente los documentos que fueron descritos en el párrafo dos del presente recurso de revisión. </w:t>
      </w:r>
    </w:p>
    <w:p w14:paraId="6A74E4E8" w14:textId="77777777" w:rsidR="003332A9" w:rsidRPr="00BC1643" w:rsidRDefault="003332A9" w:rsidP="00B60C5F">
      <w:pPr>
        <w:pBdr>
          <w:top w:val="nil"/>
          <w:left w:val="nil"/>
          <w:bottom w:val="nil"/>
          <w:right w:val="nil"/>
          <w:between w:val="nil"/>
        </w:pBdr>
        <w:rPr>
          <w:color w:val="000000" w:themeColor="text1"/>
        </w:rPr>
      </w:pPr>
    </w:p>
    <w:p w14:paraId="217E7F9C"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CUARTO. Del turno del recurso de revisión.</w:t>
      </w:r>
    </w:p>
    <w:p w14:paraId="0CF249A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fecha </w:t>
      </w:r>
      <w:r w:rsidRPr="00BC1643">
        <w:rPr>
          <w:b/>
          <w:color w:val="000000" w:themeColor="text1"/>
        </w:rPr>
        <w:t>veinticuatro de enero de dos mil veinticinco</w:t>
      </w:r>
      <w:r w:rsidRPr="00BC1643">
        <w:rPr>
          <w:color w:val="000000" w:themeColor="text1"/>
        </w:rPr>
        <w:t xml:space="preserve">, el recurso de revisión de mérito se registró en el SARCOEM y fue turnado a la </w:t>
      </w:r>
      <w:r w:rsidRPr="00BC1643">
        <w:rPr>
          <w:b/>
          <w:color w:val="000000" w:themeColor="text1"/>
        </w:rPr>
        <w:t>Comisionada María del Rosario Mejía Ayala</w:t>
      </w:r>
      <w:r w:rsidRPr="00BC1643">
        <w:rPr>
          <w:color w:val="000000" w:themeColor="text1"/>
        </w:rPr>
        <w:t>, a efecto de que decretara su admisión o desechamiento, ello en términos de los artículos 11 y 127 de la Ley de Protección de Datos Personales en Posesión de Sujetos Obligados del Estado de México y Municipios, con relación al diverso 185, fracción I, de la Ley de Transparencia y Acceso a la Información Pública del Estado de México y Municipios, de aplicación supletoria a la citada Ley de Protección de Datos Personales por disposición de su artículo 11.</w:t>
      </w:r>
    </w:p>
    <w:p w14:paraId="0740780E" w14:textId="77777777" w:rsidR="00513EBE" w:rsidRPr="00BC1643" w:rsidRDefault="00513EBE" w:rsidP="00B60C5F">
      <w:pPr>
        <w:pBdr>
          <w:top w:val="nil"/>
          <w:left w:val="nil"/>
          <w:bottom w:val="nil"/>
          <w:right w:val="nil"/>
          <w:between w:val="nil"/>
        </w:pBdr>
        <w:rPr>
          <w:color w:val="000000" w:themeColor="text1"/>
        </w:rPr>
      </w:pPr>
    </w:p>
    <w:p w14:paraId="1C0312B5"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QUINTO. De la Admisión del recurso de revisión.</w:t>
      </w:r>
    </w:p>
    <w:p w14:paraId="3CF1616D"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fecha </w:t>
      </w:r>
      <w:r w:rsidRPr="00BC1643">
        <w:rPr>
          <w:b/>
          <w:color w:val="000000" w:themeColor="text1"/>
        </w:rPr>
        <w:t>veinticuatro de enero de dos mil veinticinco</w:t>
      </w:r>
      <w:r w:rsidRPr="00BC1643">
        <w:rPr>
          <w:color w:val="000000" w:themeColor="text1"/>
        </w:rPr>
        <w:t>, conforme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3336ADE" w14:textId="77777777" w:rsidR="003332A9" w:rsidRPr="00BC1643" w:rsidRDefault="003332A9" w:rsidP="00B60C5F">
      <w:pPr>
        <w:pBdr>
          <w:top w:val="nil"/>
          <w:left w:val="nil"/>
          <w:bottom w:val="nil"/>
          <w:right w:val="nil"/>
          <w:between w:val="nil"/>
        </w:pBdr>
        <w:rPr>
          <w:color w:val="000000" w:themeColor="text1"/>
        </w:rPr>
      </w:pPr>
    </w:p>
    <w:p w14:paraId="36977913" w14:textId="77777777" w:rsidR="003332A9" w:rsidRPr="00BC1643" w:rsidRDefault="00BE382A" w:rsidP="00B60C5F">
      <w:pPr>
        <w:rPr>
          <w:b/>
          <w:color w:val="000000" w:themeColor="text1"/>
        </w:rPr>
      </w:pPr>
      <w:r w:rsidRPr="00BC1643">
        <w:rPr>
          <w:b/>
          <w:color w:val="000000" w:themeColor="text1"/>
        </w:rPr>
        <w:lastRenderedPageBreak/>
        <w:t>SEXTO. De la exhortación a conciliar.</w:t>
      </w:r>
    </w:p>
    <w:p w14:paraId="6C0CB11B" w14:textId="4F4A6263"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El </w:t>
      </w:r>
      <w:r w:rsidRPr="00BC1643">
        <w:rPr>
          <w:b/>
          <w:color w:val="000000" w:themeColor="text1"/>
        </w:rPr>
        <w:t>ocho de abril de dos mil veinticinco</w:t>
      </w:r>
      <w:r w:rsidRPr="00BC1643">
        <w:rPr>
          <w:color w:val="000000" w:themeColor="text1"/>
        </w:rPr>
        <w:t xml:space="preserve">, se emitió el acuerdo para exhortar a las partes a una conciliación. Al respecto,  ninguna de las partes manifestó su voluntad para conciliar tal y como se observa en la siguiente imagen: </w:t>
      </w:r>
    </w:p>
    <w:p w14:paraId="3DF34588" w14:textId="77777777" w:rsidR="003332A9" w:rsidRPr="00BC1643" w:rsidRDefault="00BE382A" w:rsidP="00B60C5F">
      <w:pPr>
        <w:pBdr>
          <w:top w:val="nil"/>
          <w:left w:val="nil"/>
          <w:bottom w:val="nil"/>
          <w:right w:val="nil"/>
          <w:between w:val="nil"/>
        </w:pBdr>
        <w:tabs>
          <w:tab w:val="left" w:pos="0"/>
        </w:tabs>
        <w:jc w:val="center"/>
        <w:rPr>
          <w:color w:val="000000" w:themeColor="text1"/>
        </w:rPr>
      </w:pPr>
      <w:r w:rsidRPr="00BC1643">
        <w:rPr>
          <w:noProof/>
          <w:color w:val="000000" w:themeColor="text1"/>
          <w:lang w:val="es-MX"/>
        </w:rPr>
        <w:drawing>
          <wp:inline distT="0" distB="0" distL="0" distR="0" wp14:anchorId="674EF875" wp14:editId="5B9E9C22">
            <wp:extent cx="3609770" cy="2559817"/>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609770" cy="2559817"/>
                    </a:xfrm>
                    <a:prstGeom prst="rect">
                      <a:avLst/>
                    </a:prstGeom>
                    <a:ln/>
                  </pic:spPr>
                </pic:pic>
              </a:graphicData>
            </a:graphic>
          </wp:inline>
        </w:drawing>
      </w:r>
    </w:p>
    <w:p w14:paraId="24DAA3DF" w14:textId="77777777" w:rsidR="00B60C5F" w:rsidRPr="00BC1643" w:rsidRDefault="00B60C5F" w:rsidP="00B60C5F">
      <w:pPr>
        <w:pBdr>
          <w:top w:val="nil"/>
          <w:left w:val="nil"/>
          <w:bottom w:val="nil"/>
          <w:right w:val="nil"/>
          <w:between w:val="nil"/>
        </w:pBdr>
        <w:tabs>
          <w:tab w:val="left" w:pos="0"/>
        </w:tabs>
        <w:rPr>
          <w:color w:val="000000" w:themeColor="text1"/>
        </w:rPr>
      </w:pPr>
    </w:p>
    <w:p w14:paraId="38BF3B76"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Ante la imposibilidad de llegar a un acuerdo conciliatorio, el día </w:t>
      </w:r>
      <w:r w:rsidRPr="00BC1643">
        <w:rPr>
          <w:b/>
          <w:color w:val="000000" w:themeColor="text1"/>
        </w:rPr>
        <w:t xml:space="preserve">veintiocho de abril de dos mil veinticinco, </w:t>
      </w:r>
      <w:r w:rsidRPr="00BC1643">
        <w:rPr>
          <w:color w:val="000000" w:themeColor="text1"/>
        </w:rPr>
        <w:t>se tuvo por precluido el periodo para aceptar la conciliación iniciando así la etapa de instrucción.</w:t>
      </w:r>
    </w:p>
    <w:p w14:paraId="1B58FB88" w14:textId="77777777" w:rsidR="003332A9" w:rsidRPr="00BC1643" w:rsidRDefault="003332A9" w:rsidP="00B60C5F">
      <w:pPr>
        <w:rPr>
          <w:color w:val="000000" w:themeColor="text1"/>
        </w:rPr>
      </w:pPr>
    </w:p>
    <w:p w14:paraId="3FB645D5" w14:textId="77777777" w:rsidR="003332A9" w:rsidRPr="00BC1643" w:rsidRDefault="00BE382A" w:rsidP="00B60C5F">
      <w:pPr>
        <w:rPr>
          <w:b/>
          <w:color w:val="000000" w:themeColor="text1"/>
        </w:rPr>
      </w:pPr>
      <w:r w:rsidRPr="00BC1643">
        <w:rPr>
          <w:b/>
          <w:color w:val="000000" w:themeColor="text1"/>
        </w:rPr>
        <w:t>SÉPTIMO. De la etapa de instrucción.</w:t>
      </w:r>
    </w:p>
    <w:p w14:paraId="4EA1C36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Seguidamente el </w:t>
      </w:r>
      <w:r w:rsidRPr="00BC1643">
        <w:rPr>
          <w:b/>
          <w:color w:val="000000" w:themeColor="text1"/>
        </w:rPr>
        <w:t xml:space="preserve">veintiocho de abril de dos mil veinticinco, </w:t>
      </w:r>
      <w:r w:rsidRPr="00BC1643">
        <w:rPr>
          <w:color w:val="000000" w:themeColor="text1"/>
        </w:rPr>
        <w:t xml:space="preserve">se aperturo al etapa de manifestaciones de la cual se observa en el expediente electrónico que el </w:t>
      </w:r>
      <w:r w:rsidRPr="00BC1643">
        <w:rPr>
          <w:b/>
          <w:color w:val="000000" w:themeColor="text1"/>
        </w:rPr>
        <w:t xml:space="preserve">SUJETO OBLIGADO </w:t>
      </w:r>
      <w:r w:rsidRPr="00BC1643">
        <w:rPr>
          <w:color w:val="000000" w:themeColor="text1"/>
        </w:rPr>
        <w:t xml:space="preserve">y la </w:t>
      </w:r>
      <w:r w:rsidRPr="00BC1643">
        <w:rPr>
          <w:b/>
          <w:color w:val="000000" w:themeColor="text1"/>
        </w:rPr>
        <w:t xml:space="preserve">RECURRENTE </w:t>
      </w:r>
      <w:r w:rsidRPr="00BC1643">
        <w:rPr>
          <w:color w:val="000000" w:themeColor="text1"/>
        </w:rPr>
        <w:t>fueron omisos en manifestar lo que a su derecho conviniera y asistiera, respectivamente, tal y como se muestra a continuación.</w:t>
      </w:r>
    </w:p>
    <w:p w14:paraId="2ED2747A" w14:textId="77777777" w:rsidR="003332A9" w:rsidRPr="00BC1643" w:rsidRDefault="00BE382A" w:rsidP="00B60C5F">
      <w:pPr>
        <w:pBdr>
          <w:top w:val="nil"/>
          <w:left w:val="nil"/>
          <w:bottom w:val="nil"/>
          <w:right w:val="nil"/>
          <w:between w:val="nil"/>
        </w:pBdr>
        <w:tabs>
          <w:tab w:val="left" w:pos="0"/>
        </w:tabs>
        <w:jc w:val="center"/>
        <w:rPr>
          <w:color w:val="000000" w:themeColor="text1"/>
        </w:rPr>
      </w:pPr>
      <w:r w:rsidRPr="00BC1643">
        <w:rPr>
          <w:noProof/>
          <w:color w:val="000000" w:themeColor="text1"/>
          <w:lang w:val="es-MX"/>
        </w:rPr>
        <w:lastRenderedPageBreak/>
        <w:drawing>
          <wp:inline distT="0" distB="0" distL="0" distR="0" wp14:anchorId="6ED8B950" wp14:editId="0B4A20A9">
            <wp:extent cx="4658026" cy="1704654"/>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658026" cy="1704654"/>
                    </a:xfrm>
                    <a:prstGeom prst="rect">
                      <a:avLst/>
                    </a:prstGeom>
                    <a:ln/>
                  </pic:spPr>
                </pic:pic>
              </a:graphicData>
            </a:graphic>
          </wp:inline>
        </w:drawing>
      </w:r>
    </w:p>
    <w:p w14:paraId="72CD70AF" w14:textId="77777777" w:rsidR="00B60C5F" w:rsidRPr="00BC1643" w:rsidRDefault="00B60C5F" w:rsidP="00B60C5F">
      <w:pPr>
        <w:pBdr>
          <w:top w:val="nil"/>
          <w:left w:val="nil"/>
          <w:bottom w:val="nil"/>
          <w:right w:val="nil"/>
          <w:between w:val="nil"/>
        </w:pBdr>
        <w:rPr>
          <w:b/>
          <w:color w:val="000000" w:themeColor="text1"/>
        </w:rPr>
      </w:pPr>
    </w:p>
    <w:p w14:paraId="5ACB4449"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OCTAVO. Del cierre de instrucción.</w:t>
      </w:r>
    </w:p>
    <w:p w14:paraId="430787CD" w14:textId="0183A32D"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Así, una vez transcurrido el término legal, se decretó el cierre de instrucción en fecha </w:t>
      </w:r>
      <w:r w:rsidR="00400847" w:rsidRPr="00BC1643">
        <w:rPr>
          <w:b/>
          <w:color w:val="000000" w:themeColor="text1"/>
        </w:rPr>
        <w:t xml:space="preserve">doce de mayo </w:t>
      </w:r>
      <w:r w:rsidRPr="00BC1643">
        <w:rPr>
          <w:b/>
          <w:color w:val="000000" w:themeColor="text1"/>
        </w:rPr>
        <w:t>de dos mil veinticinco</w:t>
      </w:r>
      <w:r w:rsidRPr="00BC1643">
        <w:rPr>
          <w:color w:val="000000" w:themeColor="text1"/>
        </w:rPr>
        <w:t>, en términos del artículo 185 fracción VI de la Ley de Transparencia y Acceso a la Información Pública del Estado de México y Municipios, de aplicación supletoria, iniciándose el término legal para dictar resolución definitiva del asunto</w:t>
      </w:r>
      <w:r w:rsidR="00B60C5F" w:rsidRPr="00BC1643">
        <w:rPr>
          <w:color w:val="000000" w:themeColor="text1"/>
        </w:rPr>
        <w:t>.</w:t>
      </w:r>
    </w:p>
    <w:p w14:paraId="12F190CD" w14:textId="77777777" w:rsidR="003332A9" w:rsidRDefault="003332A9" w:rsidP="00B60C5F">
      <w:pPr>
        <w:pBdr>
          <w:top w:val="nil"/>
          <w:left w:val="nil"/>
          <w:bottom w:val="nil"/>
          <w:right w:val="nil"/>
          <w:between w:val="nil"/>
        </w:pBdr>
        <w:rPr>
          <w:color w:val="000000" w:themeColor="text1"/>
        </w:rPr>
      </w:pPr>
    </w:p>
    <w:p w14:paraId="584CCD55"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NOVENO. De la ampliación del término para resolver.</w:t>
      </w:r>
    </w:p>
    <w:p w14:paraId="4CF46E63" w14:textId="3AF93B95" w:rsidR="003332A9" w:rsidRPr="00BC1643" w:rsidRDefault="00BE382A" w:rsidP="00F41095">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fecha </w:t>
      </w:r>
      <w:r w:rsidRPr="00BC1643">
        <w:rPr>
          <w:b/>
          <w:color w:val="000000" w:themeColor="text1"/>
        </w:rPr>
        <w:t>trece de mayo de dos mil veinticinco</w:t>
      </w:r>
      <w:r w:rsidRPr="00BC1643">
        <w:rPr>
          <w:color w:val="000000" w:themeColor="text1"/>
        </w:rPr>
        <w:t xml:space="preserve">, se amplió el término para resolver el recurso de revisión en términos del artículo 133, de la Ley de Protección de Datos Personales en Posesión de Sujetos Obligados del Estado de México y Municipios, por </w:t>
      </w:r>
      <w:r w:rsidR="00B60C5F" w:rsidRPr="00BC1643">
        <w:rPr>
          <w:color w:val="000000" w:themeColor="text1"/>
        </w:rPr>
        <w:t>un plazo de veinte días hábiles</w:t>
      </w:r>
      <w:r w:rsidRPr="00BC1643">
        <w:rPr>
          <w:color w:val="000000" w:themeColor="text1"/>
        </w:rPr>
        <w:t>.</w:t>
      </w:r>
    </w:p>
    <w:p w14:paraId="066F8C0A" w14:textId="77777777" w:rsidR="00B60C5F" w:rsidRPr="00BC1643" w:rsidRDefault="00B60C5F" w:rsidP="00B60C5F">
      <w:pPr>
        <w:pBdr>
          <w:top w:val="nil"/>
          <w:left w:val="nil"/>
          <w:bottom w:val="nil"/>
          <w:right w:val="nil"/>
          <w:between w:val="nil"/>
        </w:pBdr>
        <w:tabs>
          <w:tab w:val="left" w:pos="0"/>
        </w:tabs>
        <w:rPr>
          <w:color w:val="000000" w:themeColor="text1"/>
        </w:rPr>
      </w:pPr>
    </w:p>
    <w:p w14:paraId="583BB2B1" w14:textId="77777777" w:rsidR="003332A9" w:rsidRPr="00BC1643" w:rsidRDefault="00BE382A" w:rsidP="00B60C5F">
      <w:pPr>
        <w:pBdr>
          <w:top w:val="nil"/>
          <w:left w:val="nil"/>
          <w:bottom w:val="nil"/>
          <w:right w:val="nil"/>
          <w:between w:val="nil"/>
        </w:pBdr>
        <w:jc w:val="center"/>
        <w:rPr>
          <w:b/>
          <w:color w:val="000000" w:themeColor="text1"/>
        </w:rPr>
      </w:pPr>
      <w:r w:rsidRPr="00BC1643">
        <w:rPr>
          <w:b/>
          <w:color w:val="000000" w:themeColor="text1"/>
        </w:rPr>
        <w:t>C O N S I D E R A N D O</w:t>
      </w:r>
    </w:p>
    <w:p w14:paraId="05430B45" w14:textId="77777777" w:rsidR="003332A9" w:rsidRPr="00BC1643" w:rsidRDefault="003332A9" w:rsidP="00B60C5F">
      <w:pPr>
        <w:pBdr>
          <w:top w:val="nil"/>
          <w:left w:val="nil"/>
          <w:bottom w:val="nil"/>
          <w:right w:val="nil"/>
          <w:between w:val="nil"/>
        </w:pBdr>
        <w:rPr>
          <w:color w:val="000000" w:themeColor="text1"/>
        </w:rPr>
      </w:pPr>
    </w:p>
    <w:p w14:paraId="7813F6CF"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PRIMERO. De la competencia.</w:t>
      </w:r>
    </w:p>
    <w:p w14:paraId="30F04B80"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w:t>
      </w:r>
      <w:r w:rsidRPr="00BC1643">
        <w:rPr>
          <w:color w:val="000000" w:themeColor="text1"/>
        </w:rPr>
        <w:lastRenderedPageBreak/>
        <w:t>lo dispuesto en los artículos 5°, párrafos trigésimos séptimos, trigésimo octavo y trigésimo noveno,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XXIV, así como los artículos 1°, 4°, fracción XXII 81, 82, fracción III, 119 y 137, fracción I,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14:paraId="0D8D4159" w14:textId="77777777" w:rsidR="003332A9" w:rsidRDefault="003332A9" w:rsidP="00B60C5F">
      <w:pPr>
        <w:pBdr>
          <w:top w:val="nil"/>
          <w:left w:val="nil"/>
          <w:bottom w:val="nil"/>
          <w:right w:val="nil"/>
          <w:between w:val="nil"/>
        </w:pBdr>
        <w:rPr>
          <w:color w:val="000000" w:themeColor="text1"/>
        </w:rPr>
      </w:pPr>
    </w:p>
    <w:p w14:paraId="7F10B09F"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 xml:space="preserve">SEGUNDO. Sobre los alcances del recurso de revisión. </w:t>
      </w:r>
    </w:p>
    <w:p w14:paraId="3E54B3EE"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Derivado de la impugnación realizada, es menester señalar que el recurso de revisión inmerso en la Ley de Protección de Datos Personales en Posesión de Sujetos Obligados del Estado de México y Municipios en sus artículos 127, 129, así como en la Ley de Transparencia vigente en la entidad, tiene el fin y alcance que señalan los numerales 176, 179, 181 párrafo cuarto, 194 y 195 y demás aplicables de la Ley de Transparencia y Acceso a la Información Pública del Estado de México y Municipios vigente, supletoria en materia de acceso a datos personales, el cual será analizado conforme a las actuaciones que obren en el expediente electrónico, con la finalidad de reparar cualquier posible afectación al derecho de acceso a la información pública y garantizando el principio rector de máxima publicidad.</w:t>
      </w:r>
    </w:p>
    <w:p w14:paraId="52878827" w14:textId="77777777" w:rsidR="003332A9" w:rsidRPr="00BC1643" w:rsidRDefault="003332A9" w:rsidP="00B60C5F">
      <w:pPr>
        <w:pBdr>
          <w:top w:val="nil"/>
          <w:left w:val="nil"/>
          <w:bottom w:val="nil"/>
          <w:right w:val="nil"/>
          <w:between w:val="nil"/>
        </w:pBdr>
        <w:rPr>
          <w:color w:val="000000" w:themeColor="text1"/>
        </w:rPr>
      </w:pPr>
    </w:p>
    <w:p w14:paraId="347F2014" w14:textId="77777777" w:rsidR="003332A9" w:rsidRPr="00BC1643" w:rsidRDefault="00BE382A" w:rsidP="00B60C5F">
      <w:pPr>
        <w:pBdr>
          <w:top w:val="nil"/>
          <w:left w:val="nil"/>
          <w:bottom w:val="nil"/>
          <w:right w:val="nil"/>
          <w:between w:val="nil"/>
        </w:pBdr>
        <w:rPr>
          <w:b/>
          <w:color w:val="000000" w:themeColor="text1"/>
        </w:rPr>
      </w:pPr>
      <w:r w:rsidRPr="00BC1643">
        <w:rPr>
          <w:b/>
          <w:color w:val="000000" w:themeColor="text1"/>
        </w:rPr>
        <w:t>TERCERO. Estudio de improcedencia y sobreseimiento.</w:t>
      </w:r>
    </w:p>
    <w:p w14:paraId="0BFE65ED"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Este Instituto, previo al análisis de fondo del presente asunto, realizará el estudio preferente y oficioso de las causales de sobreseimiento e improcedencia, en lo que </w:t>
      </w:r>
      <w:r w:rsidRPr="00BC1643">
        <w:rPr>
          <w:color w:val="000000" w:themeColor="text1"/>
        </w:rPr>
        <w:lastRenderedPageBreak/>
        <w:t>corresponde a las causales de improcedencia, el artículo 112 de la Ley General de Protección de Datos en Posesión de Sujetos Obligados, indica las siguientes:</w:t>
      </w:r>
    </w:p>
    <w:p w14:paraId="3BC5AE10" w14:textId="77777777" w:rsidR="003332A9" w:rsidRPr="00BC1643" w:rsidRDefault="00BE382A" w:rsidP="00B60C5F">
      <w:pPr>
        <w:widowControl w:val="0"/>
        <w:spacing w:line="240" w:lineRule="auto"/>
        <w:rPr>
          <w:i/>
          <w:color w:val="000000" w:themeColor="text1"/>
        </w:rPr>
      </w:pPr>
      <w:r w:rsidRPr="00BC1643">
        <w:rPr>
          <w:b/>
          <w:i/>
          <w:color w:val="000000" w:themeColor="text1"/>
        </w:rPr>
        <w:t xml:space="preserve">Artículo 112. </w:t>
      </w:r>
      <w:r w:rsidRPr="00BC1643">
        <w:rPr>
          <w:i/>
          <w:color w:val="000000" w:themeColor="text1"/>
        </w:rPr>
        <w:t>El recurso de revisión podrá ser desechado por improcedente cuando:</w:t>
      </w:r>
    </w:p>
    <w:p w14:paraId="29B37D39" w14:textId="77777777" w:rsidR="003332A9" w:rsidRPr="00BC1643" w:rsidRDefault="00BE382A" w:rsidP="00B60C5F">
      <w:pPr>
        <w:widowControl w:val="0"/>
        <w:spacing w:line="240" w:lineRule="auto"/>
        <w:rPr>
          <w:i/>
          <w:color w:val="000000" w:themeColor="text1"/>
        </w:rPr>
      </w:pPr>
      <w:r w:rsidRPr="00BC1643">
        <w:rPr>
          <w:i/>
          <w:color w:val="000000" w:themeColor="text1"/>
        </w:rPr>
        <w:t>I. Sea extemporáneo por haber transcurrido el plazo establecido en el artículo 103 de la presente Ley;</w:t>
      </w:r>
    </w:p>
    <w:p w14:paraId="65D7AC47" w14:textId="77777777" w:rsidR="003332A9" w:rsidRPr="00BC1643" w:rsidRDefault="00BE382A" w:rsidP="00B60C5F">
      <w:pPr>
        <w:widowControl w:val="0"/>
        <w:spacing w:line="240" w:lineRule="auto"/>
        <w:rPr>
          <w:i/>
          <w:color w:val="000000" w:themeColor="text1"/>
        </w:rPr>
      </w:pPr>
      <w:r w:rsidRPr="00BC1643">
        <w:rPr>
          <w:i/>
          <w:color w:val="000000" w:themeColor="text1"/>
        </w:rPr>
        <w:t>II. El titular o su representante no acrediten debidamente su identidad y personalidad de este último;</w:t>
      </w:r>
    </w:p>
    <w:p w14:paraId="1DF8FEF4"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 III. El Instituto o, en su caso, los Organismos garantes hayan resuelto anteriormente en definitiva sobre la materia del mismo;</w:t>
      </w:r>
    </w:p>
    <w:p w14:paraId="7459A457"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 IV. No se actualice alguna de las causales del recurso de revisión previstas en el artículo 104 de la presente Ley;</w:t>
      </w:r>
    </w:p>
    <w:p w14:paraId="2E02854F"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14:paraId="31C0EA29"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 VI. El recurrente modifique o amplíe su petición en el recurso de revisión, únicamente respecto de los nuevos contenidos, o </w:t>
      </w:r>
    </w:p>
    <w:p w14:paraId="50E40527" w14:textId="77777777" w:rsidR="003332A9" w:rsidRPr="00BC1643" w:rsidRDefault="00BE382A" w:rsidP="00B60C5F">
      <w:pPr>
        <w:widowControl w:val="0"/>
        <w:spacing w:line="240" w:lineRule="auto"/>
        <w:rPr>
          <w:i/>
          <w:color w:val="000000" w:themeColor="text1"/>
        </w:rPr>
      </w:pPr>
      <w:r w:rsidRPr="00BC1643">
        <w:rPr>
          <w:i/>
          <w:color w:val="000000" w:themeColor="text1"/>
        </w:rPr>
        <w:t>VII. El recurrente no acredite interés jurídico.</w:t>
      </w:r>
    </w:p>
    <w:p w14:paraId="56A69656" w14:textId="77777777" w:rsidR="003332A9" w:rsidRPr="00BC1643" w:rsidRDefault="003332A9" w:rsidP="00B60C5F">
      <w:pPr>
        <w:widowControl w:val="0"/>
        <w:rPr>
          <w:color w:val="000000" w:themeColor="text1"/>
        </w:rPr>
      </w:pPr>
    </w:p>
    <w:p w14:paraId="4FE25408"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Con base en lo establecido en el precepto de referencia, a la fecha que se resuelve no se actualizan las causales de improcedencia; ya que la Recurrente presentó su recurso dentro del término de quince días otorgado por la Ley; no se tiene conocimiento de que el Instituto o, en su caso, los Organismos garantes hayan resuelto anteriormente en definitiva sobre la materia del mismo; se actualizó la causal de procedencia establecida en la fracción II, del artículo 103, de la Ley General de Protección de Datos en Posesión de Sujetos  Obligados: no se tiene conocimiento de que se esté tramitando ante los tribunales competentes algún recurso o medio de defensa interpuesto por la Recurrente, o en su caso, por el tercero interesado, en contra del acto recurrido ante el Instituto o los Organismos garantes, el particular no amplió su solicitud a través de su medio de impugnación y no fue necesario que el Recurrente acreditara su interés jurídico, ya que es la titular de los datos personales solicitados.</w:t>
      </w:r>
    </w:p>
    <w:p w14:paraId="38BE9B3C" w14:textId="77777777" w:rsidR="003332A9" w:rsidRPr="00BC1643" w:rsidRDefault="003332A9" w:rsidP="00B60C5F">
      <w:pPr>
        <w:widowControl w:val="0"/>
        <w:rPr>
          <w:color w:val="000000" w:themeColor="text1"/>
        </w:rPr>
      </w:pPr>
    </w:p>
    <w:p w14:paraId="03562EF5"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Por otra parte, el artículo 113, de la Ley General de Protección de Datos en Posesión de Sujetos Obligados, vigente a la fecha de la solicitud de información,  consagra lo relativo al sobreseimiento, en los términos siguientes:</w:t>
      </w:r>
    </w:p>
    <w:p w14:paraId="622423B7" w14:textId="77777777" w:rsidR="003332A9" w:rsidRPr="00BC1643" w:rsidRDefault="00BE382A" w:rsidP="00B60C5F">
      <w:pPr>
        <w:widowControl w:val="0"/>
        <w:spacing w:line="240" w:lineRule="auto"/>
        <w:rPr>
          <w:i/>
          <w:color w:val="000000" w:themeColor="text1"/>
        </w:rPr>
      </w:pPr>
      <w:r w:rsidRPr="00BC1643">
        <w:rPr>
          <w:b/>
          <w:i/>
          <w:color w:val="000000" w:themeColor="text1"/>
        </w:rPr>
        <w:t xml:space="preserve">Artículo 113. </w:t>
      </w:r>
      <w:r w:rsidRPr="00BC1643">
        <w:rPr>
          <w:i/>
          <w:color w:val="000000" w:themeColor="text1"/>
        </w:rPr>
        <w:t xml:space="preserve">El recurso de revisión solo podrá ser sobreseído cuando: </w:t>
      </w:r>
    </w:p>
    <w:p w14:paraId="1F7B1B4B"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I. El recurrente se desista expresamente; </w:t>
      </w:r>
    </w:p>
    <w:p w14:paraId="50D2D0BB"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II. El recurrente fallezca; </w:t>
      </w:r>
    </w:p>
    <w:p w14:paraId="429E7086"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III. Admitido el recurso de revisión, se actualice alguna causal de improcedencia en los términos de la presente Ley; </w:t>
      </w:r>
    </w:p>
    <w:p w14:paraId="534F8F4F" w14:textId="77777777" w:rsidR="003332A9" w:rsidRPr="00BC1643" w:rsidRDefault="00BE382A" w:rsidP="00B60C5F">
      <w:pPr>
        <w:widowControl w:val="0"/>
        <w:spacing w:line="240" w:lineRule="auto"/>
        <w:rPr>
          <w:i/>
          <w:color w:val="000000" w:themeColor="text1"/>
        </w:rPr>
      </w:pPr>
      <w:r w:rsidRPr="00BC1643">
        <w:rPr>
          <w:i/>
          <w:color w:val="000000" w:themeColor="text1"/>
        </w:rPr>
        <w:t xml:space="preserve">IV. El responsable modifique o revoque su respuesta de tal manera que el recurso de revisión quede sin materia, o </w:t>
      </w:r>
    </w:p>
    <w:p w14:paraId="2E39A03E" w14:textId="77777777" w:rsidR="003332A9" w:rsidRPr="00BC1643" w:rsidRDefault="00BE382A" w:rsidP="00B60C5F">
      <w:pPr>
        <w:widowControl w:val="0"/>
        <w:spacing w:line="240" w:lineRule="auto"/>
        <w:rPr>
          <w:i/>
          <w:color w:val="000000" w:themeColor="text1"/>
        </w:rPr>
      </w:pPr>
      <w:r w:rsidRPr="00BC1643">
        <w:rPr>
          <w:i/>
          <w:color w:val="000000" w:themeColor="text1"/>
        </w:rPr>
        <w:t>V. Quede sin materia el recurso de revisión</w:t>
      </w:r>
    </w:p>
    <w:p w14:paraId="73C53C7E" w14:textId="77777777" w:rsidR="003332A9" w:rsidRPr="00BC1643" w:rsidRDefault="003332A9" w:rsidP="00B60C5F">
      <w:pPr>
        <w:widowControl w:val="0"/>
        <w:rPr>
          <w:color w:val="000000" w:themeColor="text1"/>
        </w:rPr>
      </w:pPr>
    </w:p>
    <w:p w14:paraId="70AEA30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Del análisis  realizado por este Instituto, no se actualiza ninguna de las causales de sobreseimiento mencionadas; ya que la Recurrente no se ha desistido del recurso, no existe constancia que permita inferir que el particular haya fallecido; asimismo, no se advierte que el recurso de revisión actualice alguna causal de improcedencia establecida en el artículo 112, de la Ley citada, asimismo el responsable no modificó su respuesta de tal manera que haya dejado sin materia el presente recurso de revisión ni que se haya quedado sin materia por alguna otra circunstancia, siendo oportuno entrar al estudio de fondo del presente asunto.</w:t>
      </w:r>
    </w:p>
    <w:p w14:paraId="76B17472" w14:textId="77777777" w:rsidR="003332A9" w:rsidRPr="00BC1643" w:rsidRDefault="003332A9" w:rsidP="00B60C5F">
      <w:pPr>
        <w:pBdr>
          <w:top w:val="nil"/>
          <w:left w:val="nil"/>
          <w:bottom w:val="nil"/>
          <w:right w:val="nil"/>
          <w:between w:val="nil"/>
        </w:pBdr>
        <w:rPr>
          <w:color w:val="000000" w:themeColor="text1"/>
        </w:rPr>
      </w:pPr>
    </w:p>
    <w:p w14:paraId="10CD3413" w14:textId="77777777" w:rsidR="003332A9" w:rsidRPr="00BC1643" w:rsidRDefault="00BE382A" w:rsidP="00B60C5F">
      <w:pPr>
        <w:pBdr>
          <w:top w:val="nil"/>
          <w:left w:val="nil"/>
          <w:bottom w:val="nil"/>
          <w:right w:val="nil"/>
          <w:between w:val="nil"/>
        </w:pBdr>
        <w:rPr>
          <w:color w:val="000000" w:themeColor="text1"/>
        </w:rPr>
      </w:pPr>
      <w:r w:rsidRPr="00BC1643">
        <w:rPr>
          <w:b/>
          <w:color w:val="000000" w:themeColor="text1"/>
        </w:rPr>
        <w:t>CUARTO. Estudio y resolución del asunto.</w:t>
      </w:r>
    </w:p>
    <w:p w14:paraId="2B537DB8"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VII y XI del artículo 129 de la Ley de Protección </w:t>
      </w:r>
      <w:r w:rsidRPr="00BC1643">
        <w:rPr>
          <w:color w:val="000000" w:themeColor="text1"/>
        </w:rPr>
        <w:lastRenderedPageBreak/>
        <w:t>de Datos Personales en Posesión de Sujetos Obligados del Estado de México y Municipios, resultando procedente la interposición del recurso de revisión cuando no se dé respuesta a una solicitud para el ejercicio de los derechos ARCO.</w:t>
      </w:r>
    </w:p>
    <w:p w14:paraId="3D0AB3E4" w14:textId="77777777" w:rsidR="003332A9" w:rsidRPr="00BC1643" w:rsidRDefault="003332A9" w:rsidP="00B60C5F">
      <w:pPr>
        <w:pBdr>
          <w:top w:val="nil"/>
          <w:left w:val="nil"/>
          <w:bottom w:val="nil"/>
          <w:right w:val="nil"/>
          <w:between w:val="nil"/>
        </w:pBdr>
        <w:rPr>
          <w:color w:val="000000" w:themeColor="text1"/>
        </w:rPr>
      </w:pPr>
    </w:p>
    <w:p w14:paraId="5EA40692"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Así las cosas, ante la omisión del Sujeto Obligado para dar respuesta al Recurrente, se advierte lo que en la doctrina se le conoce como </w:t>
      </w:r>
      <w:r w:rsidRPr="00BC1643">
        <w:rPr>
          <w:b/>
          <w:color w:val="000000" w:themeColor="text1"/>
          <w:u w:val="single"/>
        </w:rPr>
        <w:t>negativa ficta</w:t>
      </w:r>
      <w:r w:rsidRPr="00BC1643">
        <w:rPr>
          <w:color w:val="000000" w:themeColor="text1"/>
        </w:rPr>
        <w:t>, figura jurídica cuya esencia consiste en atribuir un efecto negativo al silencio de la autoridad administrativa frente a las instancias y solicitudes que hagan los particulares.</w:t>
      </w:r>
    </w:p>
    <w:p w14:paraId="559CF996" w14:textId="77777777" w:rsidR="003332A9" w:rsidRPr="00BC1643" w:rsidRDefault="003332A9" w:rsidP="00B60C5F">
      <w:pPr>
        <w:pBdr>
          <w:top w:val="nil"/>
          <w:left w:val="nil"/>
          <w:bottom w:val="nil"/>
          <w:right w:val="nil"/>
          <w:between w:val="nil"/>
        </w:pBdr>
        <w:rPr>
          <w:color w:val="000000" w:themeColor="text1"/>
        </w:rPr>
      </w:pPr>
    </w:p>
    <w:p w14:paraId="021FD493"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En este sentido la negativa ficta constituye una presunción legal, en el entendido de que donde no hubo respuesta por parte del Sujeto Obligado</w:t>
      </w:r>
      <w:r w:rsidRPr="00BC1643">
        <w:rPr>
          <w:b/>
          <w:color w:val="000000" w:themeColor="text1"/>
        </w:rPr>
        <w:t xml:space="preserve"> </w:t>
      </w:r>
      <w:r w:rsidRPr="00BC1643">
        <w:rPr>
          <w:color w:val="000000" w:themeColor="text1"/>
        </w:rPr>
        <w:t>existe, una resolución de rechazo ante la solicitud del ciudadano; ya que efectivamente, dicha figura se encuentra íntimamente vinculada con los derechos de acceso, rectificación, cancelación y oposición de datos personales, consagrados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A2AC028" w14:textId="77777777" w:rsidR="003332A9" w:rsidRPr="00BC1643" w:rsidRDefault="003332A9" w:rsidP="00B60C5F">
      <w:pPr>
        <w:pBdr>
          <w:top w:val="nil"/>
          <w:left w:val="nil"/>
          <w:bottom w:val="nil"/>
          <w:right w:val="nil"/>
          <w:between w:val="nil"/>
        </w:pBdr>
        <w:rPr>
          <w:color w:val="000000" w:themeColor="text1"/>
        </w:rPr>
      </w:pPr>
    </w:p>
    <w:p w14:paraId="751A6D36"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los datos personales implica que los titulares puedan acceder, solicitar y ser informados sobre sus datos personales en posesión de los sujetos obligados, como se establece en el artículo 98 de la Ley de Protección de Datos estatal, que a la letra estipula lo siguiente:</w:t>
      </w:r>
    </w:p>
    <w:p w14:paraId="591989D0"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b/>
          <w:i/>
          <w:color w:val="000000" w:themeColor="text1"/>
        </w:rPr>
        <w:lastRenderedPageBreak/>
        <w:t xml:space="preserve">Artículo 98. </w:t>
      </w:r>
      <w:r w:rsidRPr="00BC1643">
        <w:rPr>
          <w:rFonts w:eastAsia="Palatino Linotype" w:cs="Palatino Linotype"/>
          <w:b/>
          <w:i/>
          <w:color w:val="000000" w:themeColor="text1"/>
          <w:u w:val="single"/>
        </w:rPr>
        <w:t>El titular tiene derecho a acceder, solicitar y ser informado sobre sus datos personales en posesión de los sujetos obligados</w:t>
      </w:r>
      <w:r w:rsidRPr="00BC1643">
        <w:rPr>
          <w:rFonts w:eastAsia="Palatino Linotype" w:cs="Palatino Linotype"/>
          <w:i/>
          <w:color w:val="000000" w:themeColor="text1"/>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43C8D4F7" w14:textId="77777777" w:rsidR="003332A9" w:rsidRPr="00BC1643" w:rsidRDefault="003332A9" w:rsidP="00B60C5F">
      <w:pPr>
        <w:pBdr>
          <w:top w:val="nil"/>
          <w:left w:val="nil"/>
          <w:bottom w:val="nil"/>
          <w:right w:val="nil"/>
          <w:between w:val="nil"/>
        </w:pBdr>
        <w:spacing w:line="240" w:lineRule="auto"/>
        <w:rPr>
          <w:rFonts w:eastAsia="Palatino Linotype" w:cs="Palatino Linotype"/>
          <w:i/>
          <w:color w:val="000000" w:themeColor="text1"/>
        </w:rPr>
      </w:pPr>
    </w:p>
    <w:p w14:paraId="0A9EF0DC"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i/>
          <w:color w:val="000000" w:themeColor="text1"/>
        </w:rPr>
        <w:t>El responsable debe responder al ejercicio del derecho de acceso, tenga o no datos de carácter personal del interesado en su sistema de datos.</w:t>
      </w:r>
    </w:p>
    <w:p w14:paraId="0E8AD555" w14:textId="77777777" w:rsidR="003332A9" w:rsidRPr="00BC1643" w:rsidRDefault="003332A9" w:rsidP="00B60C5F">
      <w:pPr>
        <w:pBdr>
          <w:top w:val="nil"/>
          <w:left w:val="nil"/>
          <w:bottom w:val="nil"/>
          <w:right w:val="nil"/>
          <w:between w:val="nil"/>
        </w:pBdr>
        <w:spacing w:line="240" w:lineRule="auto"/>
        <w:rPr>
          <w:color w:val="000000" w:themeColor="text1"/>
        </w:rPr>
      </w:pPr>
    </w:p>
    <w:p w14:paraId="7F26D433"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Así que la obligación de los Sujetos Obligados de dar acceso a la solicitud de los particulares se tendrá por cumplida cuando se le haga entrega de los documentos solicitados, de acuerdo a lo señalado por el artículo 118 de la Ley local en la materia, que se reproduce de la siguiente forma:</w:t>
      </w:r>
    </w:p>
    <w:p w14:paraId="2C37D42B"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b/>
          <w:i/>
          <w:color w:val="000000" w:themeColor="text1"/>
        </w:rPr>
        <w:t>Artículo 118.</w:t>
      </w:r>
      <w:r w:rsidRPr="00BC1643">
        <w:rPr>
          <w:rFonts w:eastAsia="Palatino Linotype" w:cs="Palatino Linotype"/>
          <w:i/>
          <w:color w:val="000000" w:themeColor="text1"/>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p>
    <w:p w14:paraId="74D35214" w14:textId="77777777" w:rsidR="003332A9" w:rsidRPr="00BC1643" w:rsidRDefault="003332A9" w:rsidP="00B60C5F">
      <w:pPr>
        <w:pBdr>
          <w:top w:val="nil"/>
          <w:left w:val="nil"/>
          <w:bottom w:val="nil"/>
          <w:right w:val="nil"/>
          <w:between w:val="nil"/>
        </w:pBdr>
        <w:spacing w:line="240" w:lineRule="auto"/>
        <w:rPr>
          <w:rFonts w:eastAsia="Palatino Linotype" w:cs="Palatino Linotype"/>
          <w:i/>
          <w:color w:val="000000" w:themeColor="text1"/>
        </w:rPr>
      </w:pPr>
    </w:p>
    <w:p w14:paraId="6A00CF03"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i/>
          <w:color w:val="000000" w:themeColor="text1"/>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3C1288C5" w14:textId="77777777" w:rsidR="003332A9" w:rsidRPr="00BC1643" w:rsidRDefault="003332A9" w:rsidP="00B60C5F">
      <w:pPr>
        <w:pBdr>
          <w:top w:val="nil"/>
          <w:left w:val="nil"/>
          <w:bottom w:val="nil"/>
          <w:right w:val="nil"/>
          <w:between w:val="nil"/>
        </w:pBdr>
        <w:rPr>
          <w:color w:val="000000" w:themeColor="text1"/>
        </w:rPr>
      </w:pPr>
    </w:p>
    <w:p w14:paraId="2E15CFE0"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De lo anterior, conforme a las acciones del Sujeto Obligado, se establece que éste vulnera el derecho de acceso a la información pública del Recurrente, toda vez que no se dio respuesta a la solicitud del hoy Recurrente. </w:t>
      </w:r>
    </w:p>
    <w:p w14:paraId="15D483D8" w14:textId="77777777" w:rsidR="003332A9" w:rsidRPr="00BC1643" w:rsidRDefault="003332A9" w:rsidP="00B60C5F">
      <w:pPr>
        <w:pBdr>
          <w:top w:val="nil"/>
          <w:left w:val="nil"/>
          <w:bottom w:val="nil"/>
          <w:right w:val="nil"/>
          <w:between w:val="nil"/>
        </w:pBdr>
        <w:rPr>
          <w:color w:val="000000" w:themeColor="text1"/>
        </w:rPr>
      </w:pPr>
    </w:p>
    <w:p w14:paraId="14D2A32E"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este punto, es toral recordar que la </w:t>
      </w:r>
      <w:r w:rsidRPr="00BC1643">
        <w:rPr>
          <w:b/>
          <w:smallCaps/>
          <w:color w:val="000000" w:themeColor="text1"/>
        </w:rPr>
        <w:t>RECURRENTE</w:t>
      </w:r>
      <w:r w:rsidRPr="00BC1643">
        <w:rPr>
          <w:color w:val="000000" w:themeColor="text1"/>
        </w:rPr>
        <w:t>, solicito la siguiente información.</w:t>
      </w:r>
    </w:p>
    <w:p w14:paraId="6FCAC78B" w14:textId="77777777" w:rsidR="003332A9"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i/>
          <w:color w:val="000000" w:themeColor="text1"/>
        </w:rPr>
        <w:t xml:space="preserve">“requiero dos copias certificadas del acta de fecha 08 de octubre de 2024, contenida dentro del Juicio laboral SAT32/2024. (en la cual se declara como única y legitima beneficiaria a la hoy suscrita). del índice de la Sala auxiliar de Tlalnepantla de este sujeto obligado. junto al presente escrito exhibo </w:t>
      </w:r>
      <w:r w:rsidRPr="00BC1643">
        <w:rPr>
          <w:rFonts w:eastAsia="Palatino Linotype" w:cs="Palatino Linotype"/>
          <w:i/>
          <w:color w:val="000000" w:themeColor="text1"/>
        </w:rPr>
        <w:lastRenderedPageBreak/>
        <w:t>los documentos para acreditar mi personalidad, no omito manifestar que los documentos son menores a 20 fojas, por lo que procede su otorgamiento de forma gratuita.”</w:t>
      </w:r>
    </w:p>
    <w:p w14:paraId="1EAE9EEF" w14:textId="77777777" w:rsidR="00D24BF3" w:rsidRPr="00BC1643" w:rsidRDefault="00D24BF3" w:rsidP="00B60C5F">
      <w:pPr>
        <w:pBdr>
          <w:top w:val="nil"/>
          <w:left w:val="nil"/>
          <w:bottom w:val="nil"/>
          <w:right w:val="nil"/>
          <w:between w:val="nil"/>
        </w:pBdr>
        <w:spacing w:line="240" w:lineRule="auto"/>
        <w:rPr>
          <w:rFonts w:eastAsia="Palatino Linotype" w:cs="Palatino Linotype"/>
          <w:i/>
          <w:color w:val="000000" w:themeColor="text1"/>
        </w:rPr>
      </w:pPr>
    </w:p>
    <w:p w14:paraId="6BC978B6"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una aproximación inicial, vale la pena mencionar que el ejercicio de los derechos </w:t>
      </w:r>
      <w:r w:rsidRPr="00BC1643">
        <w:rPr>
          <w:b/>
          <w:color w:val="000000" w:themeColor="text1"/>
        </w:rPr>
        <w:t xml:space="preserve">ARCO </w:t>
      </w:r>
      <w:r w:rsidRPr="00BC1643">
        <w:rPr>
          <w:color w:val="000000" w:themeColor="text1"/>
        </w:rPr>
        <w:t xml:space="preserve">se encuentra regulado por el artículo 6 apartado A y 16 segundo párrafo de la Constitución de los Estados Unidos Mexicanos, el cual establece que: </w:t>
      </w:r>
    </w:p>
    <w:p w14:paraId="5535A3BB" w14:textId="05D71DE5" w:rsidR="00D24BF3" w:rsidRPr="00BC1643" w:rsidRDefault="00BE382A" w:rsidP="00B60C5F">
      <w:pPr>
        <w:widowControl w:val="0"/>
        <w:pBdr>
          <w:top w:val="nil"/>
          <w:left w:val="nil"/>
          <w:bottom w:val="nil"/>
          <w:right w:val="nil"/>
          <w:between w:val="nil"/>
        </w:pBdr>
        <w:spacing w:before="240" w:after="160"/>
        <w:rPr>
          <w:rFonts w:eastAsia="Palatino Linotype" w:cs="Palatino Linotype"/>
          <w:b/>
          <w:i/>
          <w:color w:val="000000" w:themeColor="text1"/>
        </w:rPr>
      </w:pPr>
      <w:r w:rsidRPr="00BC1643">
        <w:rPr>
          <w:rFonts w:eastAsia="Palatino Linotype" w:cs="Palatino Linotype"/>
          <w:i/>
          <w:color w:val="000000" w:themeColor="text1"/>
        </w:rPr>
        <w:t>“(…) Toda persona tiene derecho a la protección de sus datos personales</w:t>
      </w:r>
      <w:r w:rsidRPr="00BC1643">
        <w:rPr>
          <w:rFonts w:eastAsia="Palatino Linotype" w:cs="Palatino Linotype"/>
          <w:b/>
          <w:i/>
          <w:color w:val="000000" w:themeColor="text1"/>
        </w:rPr>
        <w:t xml:space="preserve">, </w:t>
      </w:r>
      <w:r w:rsidRPr="00BC1643">
        <w:rPr>
          <w:rFonts w:eastAsia="Palatino Linotype" w:cs="Palatino Linotype"/>
          <w:b/>
          <w:i/>
          <w:color w:val="000000" w:themeColor="text1"/>
          <w:u w:val="single"/>
        </w:rPr>
        <w:t>al acceso,</w:t>
      </w:r>
      <w:r w:rsidRPr="00BC1643">
        <w:rPr>
          <w:rFonts w:eastAsia="Palatino Linotype" w:cs="Palatino Linotype"/>
          <w:i/>
          <w:color w:val="000000" w:themeColor="text1"/>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BC1643">
        <w:rPr>
          <w:rFonts w:eastAsia="Palatino Linotype" w:cs="Palatino Linotype"/>
          <w:b/>
          <w:i/>
          <w:color w:val="000000" w:themeColor="text1"/>
        </w:rPr>
        <w:t>[Sic]</w:t>
      </w:r>
    </w:p>
    <w:p w14:paraId="762C1BB9" w14:textId="77777777" w:rsidR="003332A9"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este sentido, dichas prerrogativas se encuentran invariablemente ligadas a los principios de licitud, finalidad, lealtad, consentimiento, calidad, proporcionalidad, información y responsabilidad. </w:t>
      </w:r>
    </w:p>
    <w:p w14:paraId="2C1400B4" w14:textId="77777777" w:rsidR="00D24BF3" w:rsidRPr="00BC1643" w:rsidRDefault="00D24BF3" w:rsidP="00D24BF3">
      <w:pPr>
        <w:pBdr>
          <w:top w:val="nil"/>
          <w:left w:val="nil"/>
          <w:bottom w:val="nil"/>
          <w:right w:val="nil"/>
          <w:between w:val="nil"/>
        </w:pBdr>
        <w:tabs>
          <w:tab w:val="left" w:pos="0"/>
        </w:tabs>
        <w:rPr>
          <w:color w:val="000000" w:themeColor="text1"/>
        </w:rPr>
      </w:pPr>
    </w:p>
    <w:p w14:paraId="01DCB6AC"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Es así, como la finalidad de los derechos ARCO consiste en que en los que sus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artículos 122, 128 y 129 fracciones VI, XII y XIII de la Ley de Protección de Datos Personales en Posesión de Sujetos Obligados del Estado de México y Municipios, establecen como supuesto de procedencia la presentación del recurso por parte del titular o su representante y ante la negativa al acceso, rectificación, cancelación u oposición a los datos de personas fallecidas, para el caso en particular se podrá realizar mediante la acreditación o bien demostrando el interés jurídico o legítimo.</w:t>
      </w:r>
    </w:p>
    <w:p w14:paraId="0B5890D8" w14:textId="77777777" w:rsidR="003332A9" w:rsidRPr="00BC1643" w:rsidRDefault="003332A9" w:rsidP="00B60C5F">
      <w:pPr>
        <w:rPr>
          <w:color w:val="000000" w:themeColor="text1"/>
        </w:rPr>
      </w:pPr>
    </w:p>
    <w:p w14:paraId="5FB97653"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b/>
          <w:color w:val="000000" w:themeColor="text1"/>
        </w:rPr>
      </w:pPr>
      <w:r w:rsidRPr="00BC1643">
        <w:rPr>
          <w:color w:val="000000" w:themeColor="text1"/>
        </w:rPr>
        <w:lastRenderedPageBreak/>
        <w:t xml:space="preserve">En relación con lo anterior, respecto de la acreditación del solicitante, este remitió el documento electrónico </w:t>
      </w:r>
      <w:r w:rsidRPr="00BC1643">
        <w:rPr>
          <w:b/>
          <w:color w:val="000000" w:themeColor="text1"/>
        </w:rPr>
        <w:t>“</w:t>
      </w:r>
      <w:hyperlink r:id="rId10">
        <w:r w:rsidRPr="00BC1643">
          <w:rPr>
            <w:b/>
            <w:color w:val="000000" w:themeColor="text1"/>
          </w:rPr>
          <w:t>DEF_merged.pdf</w:t>
        </w:r>
      </w:hyperlink>
      <w:r w:rsidRPr="00BC1643">
        <w:rPr>
          <w:b/>
          <w:color w:val="000000" w:themeColor="text1"/>
        </w:rPr>
        <w:t xml:space="preserve">”, que contiene la Credencial para Votar de  la RECUREENTE </w:t>
      </w:r>
      <w:r w:rsidRPr="00BC1643">
        <w:rPr>
          <w:color w:val="000000" w:themeColor="text1"/>
        </w:rPr>
        <w:t>expedida por el Instituto Nacional Electoral, información que encuadra en los requisitos establecidos para el ejercicio de los derechos ARCO, que a la letra establece:</w:t>
      </w:r>
    </w:p>
    <w:p w14:paraId="68FD4667"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b/>
          <w:i/>
          <w:color w:val="000000" w:themeColor="text1"/>
        </w:rPr>
      </w:pPr>
      <w:r w:rsidRPr="00BC1643">
        <w:rPr>
          <w:rFonts w:eastAsia="Palatino Linotype" w:cs="Palatino Linotype"/>
          <w:b/>
          <w:i/>
          <w:color w:val="000000" w:themeColor="text1"/>
        </w:rPr>
        <w:t>“Requisitos de Solicitudes para el Ejercicio de los Derechos ARCO</w:t>
      </w:r>
    </w:p>
    <w:p w14:paraId="5782BC6D"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Artículo 110. La solicitud para el ejercicio de derechos ARCO, deberá contener:</w:t>
      </w:r>
    </w:p>
    <w:p w14:paraId="4D8387B9"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 xml:space="preserve">I. El nombre del titular y su domicilio, o cualquier otro medio para recibir notificaciones. </w:t>
      </w:r>
    </w:p>
    <w:p w14:paraId="49FAB426"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b/>
          <w:i/>
          <w:color w:val="000000" w:themeColor="text1"/>
          <w:u w:val="single"/>
        </w:rPr>
      </w:pPr>
      <w:r w:rsidRPr="00BC1643">
        <w:rPr>
          <w:rFonts w:eastAsia="Palatino Linotype" w:cs="Palatino Linotype"/>
          <w:b/>
          <w:i/>
          <w:color w:val="000000" w:themeColor="text1"/>
          <w:u w:val="single"/>
        </w:rPr>
        <w:t>II. Los documentos que acrediten la identidad del titular y en su caso, la personalidad e identidad de su representante.</w:t>
      </w:r>
    </w:p>
    <w:p w14:paraId="31DDFDE2"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III. De ser posible, el área responsable que trata los datos personales y ante el cual se presenta la solicitud.</w:t>
      </w:r>
    </w:p>
    <w:p w14:paraId="2C61860B"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IV. La descripción clara y precisa de los datos personales respecto de los que se busca ejercer alguno de los derechos ARCO, salvo que se trate del derecho de acceso.</w:t>
      </w:r>
    </w:p>
    <w:p w14:paraId="34601DA7"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V. La descripción del derecho ARCO que se pretende ejercer, o bien, lo que solicita el titular.</w:t>
      </w:r>
    </w:p>
    <w:p w14:paraId="665E5859"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VI. Cualquier otro elemento o documento que facilite la localización de los datos personales, en su caso.</w:t>
      </w:r>
    </w:p>
    <w:p w14:paraId="4C702F83"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Tratándose del requisito de la fracción I, si es el caso del domicilio no se localiza dentro del Estado de México, las notificaciones se efectuarán por estrados.</w:t>
      </w:r>
    </w:p>
    <w:p w14:paraId="06DBA4FC"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 xml:space="preserve">De manera adicional, el titular podrá aportar pruebas para acreditar la procedencia de su solicitud. </w:t>
      </w:r>
    </w:p>
    <w:p w14:paraId="33551CB5"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Tratándose de una solicitud de acceso a datos personales se señalará la modalidad en la que el titular prefiere se otorgue éste, la cual podrá ser por consulta directa, copias simples, certificadas, digitalizadas u otro tipo de medio electrónico.</w:t>
      </w:r>
    </w:p>
    <w:p w14:paraId="633B1854"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 xml:space="preserve">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r w:rsidRPr="00BC1643">
        <w:rPr>
          <w:rFonts w:eastAsia="Palatino Linotype" w:cs="Palatino Linotype"/>
          <w:b/>
          <w:i/>
          <w:color w:val="000000" w:themeColor="text1"/>
        </w:rPr>
        <w:t>[Sic]</w:t>
      </w:r>
    </w:p>
    <w:p w14:paraId="2FBF1292"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 xml:space="preserve">Ahora bien, antes del entrar al estudio, cabe precisar que </w:t>
      </w:r>
      <w:r w:rsidRPr="00BC1643">
        <w:rPr>
          <w:b/>
          <w:color w:val="000000" w:themeColor="text1"/>
        </w:rPr>
        <w:t>El Sujeto Obligad</w:t>
      </w:r>
      <w:r w:rsidRPr="00BC1643">
        <w:rPr>
          <w:color w:val="000000" w:themeColor="text1"/>
        </w:rPr>
        <w:t>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VII y XI del artículo 129 de la Ley de Protección de Datos Personales en Posesión de Sujetos Obligados del Estado de México y Municipios, resultando procedente la interposición del recurso de revisión cuando no se dé respuesta a una solicitud para el ejercicio de los derechos ARCO.</w:t>
      </w:r>
    </w:p>
    <w:p w14:paraId="503843AE" w14:textId="77777777" w:rsidR="003332A9" w:rsidRPr="00BC1643" w:rsidRDefault="003332A9" w:rsidP="00B60C5F">
      <w:pPr>
        <w:pBdr>
          <w:top w:val="nil"/>
          <w:left w:val="nil"/>
          <w:bottom w:val="nil"/>
          <w:right w:val="nil"/>
          <w:between w:val="nil"/>
        </w:pBdr>
        <w:rPr>
          <w:color w:val="000000" w:themeColor="text1"/>
        </w:rPr>
      </w:pPr>
    </w:p>
    <w:p w14:paraId="19893F7B"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Así las cosas, ante la omisión del Sujeto Obligado para dar respuesta al Recurrente, se advierte lo que en la doctrina se le conoce como </w:t>
      </w:r>
      <w:r w:rsidRPr="00BC1643">
        <w:rPr>
          <w:b/>
          <w:color w:val="000000" w:themeColor="text1"/>
          <w:u w:val="single"/>
        </w:rPr>
        <w:t>negativa ficta</w:t>
      </w:r>
      <w:r w:rsidRPr="00BC1643">
        <w:rPr>
          <w:color w:val="000000" w:themeColor="text1"/>
        </w:rPr>
        <w:t>, figura jurídica cuya esencia consiste en atribuir un efecto negativo al silencio de la autoridad administrativa frente a las instancias y solicitudes que hagan los particulares.</w:t>
      </w:r>
    </w:p>
    <w:p w14:paraId="41552049" w14:textId="77777777" w:rsidR="003332A9" w:rsidRPr="00BC1643" w:rsidRDefault="003332A9" w:rsidP="00B60C5F">
      <w:pPr>
        <w:pBdr>
          <w:top w:val="nil"/>
          <w:left w:val="nil"/>
          <w:bottom w:val="nil"/>
          <w:right w:val="nil"/>
          <w:between w:val="nil"/>
        </w:pBdr>
        <w:rPr>
          <w:color w:val="000000" w:themeColor="text1"/>
        </w:rPr>
      </w:pPr>
    </w:p>
    <w:p w14:paraId="79C458BF"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En este sentido la negativa ficta constituye una presunción legal, en el entendido de que donde no hubo respuesta por parte del Sujeto Obligado</w:t>
      </w:r>
      <w:r w:rsidRPr="00BC1643">
        <w:rPr>
          <w:b/>
          <w:color w:val="000000" w:themeColor="text1"/>
        </w:rPr>
        <w:t xml:space="preserve"> </w:t>
      </w:r>
      <w:r w:rsidRPr="00BC1643">
        <w:rPr>
          <w:color w:val="000000" w:themeColor="text1"/>
        </w:rPr>
        <w:t>existe, una resolución de rechazo ante la solicitud del ciudadano; ya que efectivamente, dicha figura se encuentra íntimamente vinculada con los derechos de acceso, rectificación, cancelación y oposición de datos personales, consagrados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C8D9B7B" w14:textId="77777777" w:rsidR="003332A9" w:rsidRPr="00BC1643" w:rsidRDefault="003332A9" w:rsidP="00B60C5F">
      <w:pPr>
        <w:pBdr>
          <w:top w:val="nil"/>
          <w:left w:val="nil"/>
          <w:bottom w:val="nil"/>
          <w:right w:val="nil"/>
          <w:between w:val="nil"/>
        </w:pBdr>
        <w:rPr>
          <w:color w:val="000000" w:themeColor="text1"/>
        </w:rPr>
      </w:pPr>
    </w:p>
    <w:p w14:paraId="5F92C6E0"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este sentido en el marco del derecho de acceso a la información pública, la figura de la negativa ficta brinda al ciudadano la oportunidad de inconformarse en los casos en </w:t>
      </w:r>
      <w:r w:rsidRPr="00BC1643">
        <w:rPr>
          <w:color w:val="000000" w:themeColor="text1"/>
        </w:rPr>
        <w:lastRenderedPageBreak/>
        <w:t>que estime violentado su derecho; en consecuencia, resulta indispensable subrayar que el derecho de acceso a los datos personales implica que los titulares puedan acceder, solicitar y ser informados sobre sus datos personales en posesión de los sujetos obligados, como se establece en el artículo 98 de la Ley de Protección de Datos estatal, que a la letra estipula lo siguiente:</w:t>
      </w:r>
    </w:p>
    <w:p w14:paraId="1CE46FB2"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i/>
          <w:color w:val="000000" w:themeColor="text1"/>
        </w:rPr>
        <w:t xml:space="preserve">“Artículo 98. </w:t>
      </w:r>
      <w:r w:rsidRPr="00BC1643">
        <w:rPr>
          <w:rFonts w:eastAsia="Palatino Linotype" w:cs="Palatino Linotype"/>
          <w:b/>
          <w:i/>
          <w:color w:val="000000" w:themeColor="text1"/>
          <w:u w:val="single"/>
        </w:rPr>
        <w:t>El titular tiene derecho a acceder, solicitar y ser informado sobre sus datos personales en posesión de los sujetos obligados</w:t>
      </w:r>
      <w:r w:rsidRPr="00BC1643">
        <w:rPr>
          <w:rFonts w:eastAsia="Palatino Linotype" w:cs="Palatino Linotype"/>
          <w:i/>
          <w:color w:val="000000" w:themeColor="text1"/>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029DBDDC"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b/>
          <w:i/>
          <w:color w:val="000000" w:themeColor="text1"/>
        </w:rPr>
      </w:pPr>
      <w:r w:rsidRPr="00BC1643">
        <w:rPr>
          <w:rFonts w:eastAsia="Palatino Linotype" w:cs="Palatino Linotype"/>
          <w:i/>
          <w:color w:val="000000" w:themeColor="text1"/>
        </w:rPr>
        <w:t xml:space="preserve">El responsable debe responder al ejercicio del derecho de acceso, tenga o no datos de carácter personal del interesado en su sistema de datos.” </w:t>
      </w:r>
      <w:r w:rsidRPr="00BC1643">
        <w:rPr>
          <w:rFonts w:eastAsia="Palatino Linotype" w:cs="Palatino Linotype"/>
          <w:b/>
          <w:i/>
          <w:color w:val="000000" w:themeColor="text1"/>
        </w:rPr>
        <w:t>(Sic)</w:t>
      </w:r>
    </w:p>
    <w:p w14:paraId="78894B41" w14:textId="77777777" w:rsidR="003332A9" w:rsidRPr="00BC1643" w:rsidRDefault="003332A9" w:rsidP="00B60C5F">
      <w:pPr>
        <w:pBdr>
          <w:top w:val="nil"/>
          <w:left w:val="nil"/>
          <w:bottom w:val="nil"/>
          <w:right w:val="nil"/>
          <w:between w:val="nil"/>
        </w:pBdr>
        <w:rPr>
          <w:color w:val="000000" w:themeColor="text1"/>
        </w:rPr>
      </w:pPr>
    </w:p>
    <w:p w14:paraId="4618EE82"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Así que la obligación de los Sujetos Obligados de dar acceso a la solicitud de los particulares se tendrá por cumplida cuando se le haga entrega de los documentos solicitados, de acuerdo a lo señalado por el artículo 118 de la Ley local en la materia, que se reproduce de la siguiente forma:</w:t>
      </w:r>
    </w:p>
    <w:p w14:paraId="4582BF60"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i/>
          <w:color w:val="000000" w:themeColor="text1"/>
        </w:rPr>
      </w:pPr>
      <w:r w:rsidRPr="00BC1643">
        <w:rPr>
          <w:rFonts w:eastAsia="Palatino Linotype" w:cs="Palatino Linotype"/>
          <w:b/>
          <w:i/>
          <w:color w:val="000000" w:themeColor="text1"/>
        </w:rPr>
        <w:t>“Artículo 118.</w:t>
      </w:r>
      <w:r w:rsidRPr="00BC1643">
        <w:rPr>
          <w:rFonts w:eastAsia="Palatino Linotype" w:cs="Palatino Linotype"/>
          <w:i/>
          <w:color w:val="000000" w:themeColor="text1"/>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p>
    <w:p w14:paraId="43F4B106" w14:textId="77777777" w:rsidR="003332A9" w:rsidRPr="00BC1643" w:rsidRDefault="003332A9" w:rsidP="00B60C5F">
      <w:pPr>
        <w:pBdr>
          <w:top w:val="nil"/>
          <w:left w:val="nil"/>
          <w:bottom w:val="nil"/>
          <w:right w:val="nil"/>
          <w:between w:val="nil"/>
        </w:pBdr>
        <w:spacing w:before="240" w:after="160" w:line="240" w:lineRule="auto"/>
        <w:rPr>
          <w:rFonts w:eastAsia="Palatino Linotype" w:cs="Palatino Linotype"/>
          <w:i/>
          <w:color w:val="000000" w:themeColor="text1"/>
        </w:rPr>
      </w:pPr>
    </w:p>
    <w:p w14:paraId="1D380348" w14:textId="77777777" w:rsidR="003332A9" w:rsidRPr="00BC1643" w:rsidRDefault="00BE382A" w:rsidP="00B60C5F">
      <w:pPr>
        <w:pBdr>
          <w:top w:val="nil"/>
          <w:left w:val="nil"/>
          <w:bottom w:val="nil"/>
          <w:right w:val="nil"/>
          <w:between w:val="nil"/>
        </w:pBdr>
        <w:spacing w:before="240" w:after="160" w:line="240" w:lineRule="auto"/>
        <w:rPr>
          <w:rFonts w:eastAsia="Palatino Linotype" w:cs="Palatino Linotype"/>
          <w:b/>
          <w:i/>
          <w:color w:val="000000" w:themeColor="text1"/>
        </w:rPr>
      </w:pPr>
      <w:r w:rsidRPr="00BC1643">
        <w:rPr>
          <w:rFonts w:eastAsia="Palatino Linotype" w:cs="Palatino Linotype"/>
          <w:i/>
          <w:color w:val="000000" w:themeColor="text1"/>
        </w:rPr>
        <w:t xml:space="preserve">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r w:rsidRPr="00BC1643">
        <w:rPr>
          <w:rFonts w:eastAsia="Palatino Linotype" w:cs="Palatino Linotype"/>
          <w:b/>
          <w:i/>
          <w:color w:val="000000" w:themeColor="text1"/>
        </w:rPr>
        <w:t>(Sic)</w:t>
      </w:r>
    </w:p>
    <w:p w14:paraId="08E29B4E" w14:textId="77777777" w:rsidR="003332A9" w:rsidRPr="00BC1643" w:rsidRDefault="003332A9" w:rsidP="00B60C5F">
      <w:pPr>
        <w:pBdr>
          <w:top w:val="nil"/>
          <w:left w:val="nil"/>
          <w:bottom w:val="nil"/>
          <w:right w:val="nil"/>
          <w:between w:val="nil"/>
        </w:pBdr>
        <w:rPr>
          <w:color w:val="000000" w:themeColor="text1"/>
        </w:rPr>
      </w:pPr>
    </w:p>
    <w:p w14:paraId="786CB103"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 xml:space="preserve">De lo anterior, conforme a las acciones del Sujeto Obligado, se establece que éste vulnera el derecho de acceso a la información pública del Recurrente, toda vez que no se dio respuesta a la solicitud de datos personales del hoy Recurrente. </w:t>
      </w:r>
    </w:p>
    <w:p w14:paraId="7CCFAA56" w14:textId="77777777" w:rsidR="003332A9" w:rsidRPr="00BC1643" w:rsidRDefault="003332A9" w:rsidP="00B60C5F">
      <w:pPr>
        <w:pBdr>
          <w:top w:val="nil"/>
          <w:left w:val="nil"/>
          <w:bottom w:val="nil"/>
          <w:right w:val="nil"/>
          <w:between w:val="nil"/>
        </w:pBdr>
        <w:tabs>
          <w:tab w:val="left" w:pos="0"/>
        </w:tabs>
        <w:rPr>
          <w:color w:val="000000" w:themeColor="text1"/>
        </w:rPr>
      </w:pPr>
    </w:p>
    <w:p w14:paraId="45C694F6" w14:textId="3BEE140F"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Ahora bien en cuanto a la información solicitada consistente en </w:t>
      </w:r>
      <w:r w:rsidRPr="00BC1643">
        <w:rPr>
          <w:b/>
          <w:i/>
          <w:color w:val="000000" w:themeColor="text1"/>
        </w:rPr>
        <w:t xml:space="preserve">“copias certificadas del acta de fecha 08 de octubre de 2024, contenida dentro del Juicio laboral SAT32/2024. (en la cual se declara como única y legitima beneficiaria a la hoy suscrita)”, </w:t>
      </w:r>
      <w:r w:rsidRPr="00BC1643">
        <w:rPr>
          <w:color w:val="000000" w:themeColor="text1"/>
        </w:rPr>
        <w:t xml:space="preserve">se hace el siguiente </w:t>
      </w:r>
      <w:r w:rsidR="00B60C5F" w:rsidRPr="00BC1643">
        <w:rPr>
          <w:color w:val="000000" w:themeColor="text1"/>
        </w:rPr>
        <w:t>análisis</w:t>
      </w:r>
      <w:r w:rsidRPr="00BC1643">
        <w:rPr>
          <w:color w:val="000000" w:themeColor="text1"/>
        </w:rPr>
        <w:t xml:space="preserve"> en cuanto a las atribuciones del porque el </w:t>
      </w:r>
      <w:r w:rsidRPr="00BC1643">
        <w:rPr>
          <w:b/>
          <w:color w:val="000000" w:themeColor="text1"/>
        </w:rPr>
        <w:t xml:space="preserve">SUJETO OBLIGADO </w:t>
      </w:r>
      <w:r w:rsidRPr="00BC1643">
        <w:rPr>
          <w:color w:val="000000" w:themeColor="text1"/>
        </w:rPr>
        <w:t xml:space="preserve">debe de contar con la información solicitada. </w:t>
      </w:r>
    </w:p>
    <w:p w14:paraId="6E4D749C" w14:textId="77777777" w:rsidR="003332A9" w:rsidRPr="00BC1643" w:rsidRDefault="003332A9" w:rsidP="00B60C5F">
      <w:pPr>
        <w:pBdr>
          <w:top w:val="nil"/>
          <w:left w:val="nil"/>
          <w:bottom w:val="nil"/>
          <w:right w:val="nil"/>
          <w:between w:val="nil"/>
        </w:pBdr>
        <w:spacing w:line="240" w:lineRule="auto"/>
        <w:rPr>
          <w:rFonts w:eastAsia="Times New Roman" w:cs="Times New Roman"/>
          <w:color w:val="000000" w:themeColor="text1"/>
        </w:rPr>
      </w:pPr>
    </w:p>
    <w:p w14:paraId="2C7F7D4F" w14:textId="77777777" w:rsidR="003332A9"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esa línea, el Manual de Organización del Tribunal Estatal de Conciliación y Arbitraje, contiene un extracto de la Ley del Trabajo de los Servidores Públicos del Estado y Municipios quien regula que el Tribunal es competente de lo siguiente. </w:t>
      </w:r>
    </w:p>
    <w:p w14:paraId="31DF3433" w14:textId="77777777" w:rsidR="00FA243D" w:rsidRDefault="00FA243D" w:rsidP="00FA243D">
      <w:pPr>
        <w:pStyle w:val="Prrafodelista"/>
        <w:rPr>
          <w:color w:val="000000" w:themeColor="text1"/>
        </w:rPr>
      </w:pPr>
    </w:p>
    <w:p w14:paraId="01BFB068" w14:textId="77777777" w:rsidR="00FA243D" w:rsidRPr="00BC1643" w:rsidRDefault="00FA243D" w:rsidP="00FA243D">
      <w:pPr>
        <w:pBdr>
          <w:top w:val="nil"/>
          <w:left w:val="nil"/>
          <w:bottom w:val="nil"/>
          <w:right w:val="nil"/>
          <w:between w:val="nil"/>
        </w:pBdr>
        <w:tabs>
          <w:tab w:val="left" w:pos="0"/>
        </w:tabs>
        <w:rPr>
          <w:color w:val="000000" w:themeColor="text1"/>
        </w:rPr>
      </w:pPr>
    </w:p>
    <w:p w14:paraId="6C6B3988" w14:textId="77777777" w:rsidR="003332A9" w:rsidRPr="00BC1643" w:rsidRDefault="00BE382A" w:rsidP="00B60C5F">
      <w:pPr>
        <w:pBdr>
          <w:top w:val="nil"/>
          <w:left w:val="nil"/>
          <w:bottom w:val="nil"/>
          <w:right w:val="nil"/>
          <w:between w:val="nil"/>
        </w:pBdr>
        <w:tabs>
          <w:tab w:val="left" w:pos="0"/>
        </w:tabs>
        <w:jc w:val="center"/>
        <w:rPr>
          <w:color w:val="000000" w:themeColor="text1"/>
        </w:rPr>
      </w:pPr>
      <w:r w:rsidRPr="00BC1643">
        <w:rPr>
          <w:noProof/>
          <w:color w:val="000000" w:themeColor="text1"/>
          <w:lang w:val="es-MX"/>
        </w:rPr>
        <w:drawing>
          <wp:inline distT="0" distB="0" distL="0" distR="0" wp14:anchorId="35D3AAC4" wp14:editId="144B03F6">
            <wp:extent cx="4776497" cy="2090867"/>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776497" cy="2090867"/>
                    </a:xfrm>
                    <a:prstGeom prst="rect">
                      <a:avLst/>
                    </a:prstGeom>
                    <a:ln/>
                  </pic:spPr>
                </pic:pic>
              </a:graphicData>
            </a:graphic>
          </wp:inline>
        </w:drawing>
      </w:r>
    </w:p>
    <w:p w14:paraId="378464EF" w14:textId="77777777" w:rsidR="00B60C5F" w:rsidRPr="00BC1643" w:rsidRDefault="00B60C5F" w:rsidP="00B60C5F">
      <w:pPr>
        <w:pBdr>
          <w:top w:val="nil"/>
          <w:left w:val="nil"/>
          <w:bottom w:val="nil"/>
          <w:right w:val="nil"/>
          <w:between w:val="nil"/>
        </w:pBdr>
        <w:tabs>
          <w:tab w:val="left" w:pos="0"/>
        </w:tabs>
        <w:rPr>
          <w:color w:val="000000" w:themeColor="text1"/>
        </w:rPr>
      </w:pPr>
    </w:p>
    <w:p w14:paraId="688B0346"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De lo anterior, se colige que el Tribunal Estatal de Conciliación y Arbitraje es competente para conocer y resolver los conflictos laborales individuales y colectivos. </w:t>
      </w:r>
    </w:p>
    <w:p w14:paraId="380991C9" w14:textId="77777777" w:rsidR="003332A9" w:rsidRPr="00BC1643" w:rsidRDefault="003332A9" w:rsidP="00B60C5F">
      <w:pPr>
        <w:pBdr>
          <w:top w:val="nil"/>
          <w:left w:val="nil"/>
          <w:bottom w:val="nil"/>
          <w:right w:val="nil"/>
          <w:between w:val="nil"/>
        </w:pBdr>
        <w:tabs>
          <w:tab w:val="left" w:pos="0"/>
        </w:tabs>
        <w:rPr>
          <w:color w:val="000000" w:themeColor="text1"/>
        </w:rPr>
      </w:pPr>
    </w:p>
    <w:p w14:paraId="622AA170" w14:textId="77777777" w:rsidR="003332A9"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 xml:space="preserve">Seguidamente, el Manual de Organización establece que el Tribunal Estatal de Conciliación y Arbitraje, se integrará por un Pleno quien tendrá las siguientes facultades y obligaciones. </w:t>
      </w:r>
    </w:p>
    <w:p w14:paraId="344A24B9" w14:textId="77777777" w:rsidR="00513EBE" w:rsidRDefault="00513EBE" w:rsidP="00513EBE">
      <w:pPr>
        <w:pStyle w:val="Prrafodelista"/>
        <w:rPr>
          <w:color w:val="000000" w:themeColor="text1"/>
        </w:rPr>
      </w:pPr>
    </w:p>
    <w:p w14:paraId="06ADCB10" w14:textId="77777777" w:rsidR="003332A9" w:rsidRDefault="00BE382A" w:rsidP="00B60C5F">
      <w:pPr>
        <w:pBdr>
          <w:top w:val="nil"/>
          <w:left w:val="nil"/>
          <w:bottom w:val="nil"/>
          <w:right w:val="nil"/>
          <w:between w:val="nil"/>
        </w:pBdr>
        <w:tabs>
          <w:tab w:val="left" w:pos="0"/>
        </w:tabs>
        <w:jc w:val="center"/>
        <w:rPr>
          <w:color w:val="000000" w:themeColor="text1"/>
        </w:rPr>
      </w:pPr>
      <w:r w:rsidRPr="00BC1643">
        <w:rPr>
          <w:noProof/>
          <w:color w:val="000000" w:themeColor="text1"/>
          <w:lang w:val="es-MX"/>
        </w:rPr>
        <w:drawing>
          <wp:inline distT="0" distB="0" distL="0" distR="0" wp14:anchorId="1CE3B748" wp14:editId="66FB007F">
            <wp:extent cx="4559344" cy="1812422"/>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559344" cy="1812422"/>
                    </a:xfrm>
                    <a:prstGeom prst="rect">
                      <a:avLst/>
                    </a:prstGeom>
                    <a:ln/>
                  </pic:spPr>
                </pic:pic>
              </a:graphicData>
            </a:graphic>
          </wp:inline>
        </w:drawing>
      </w:r>
    </w:p>
    <w:p w14:paraId="34377ADA" w14:textId="77777777" w:rsidR="00513EBE" w:rsidRPr="00BC1643" w:rsidRDefault="00513EBE" w:rsidP="00B60C5F">
      <w:pPr>
        <w:pBdr>
          <w:top w:val="nil"/>
          <w:left w:val="nil"/>
          <w:bottom w:val="nil"/>
          <w:right w:val="nil"/>
          <w:between w:val="nil"/>
        </w:pBdr>
        <w:tabs>
          <w:tab w:val="left" w:pos="0"/>
        </w:tabs>
        <w:jc w:val="center"/>
        <w:rPr>
          <w:color w:val="000000" w:themeColor="text1"/>
        </w:rPr>
      </w:pPr>
    </w:p>
    <w:p w14:paraId="5453DCEF"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De lo referido, se precisa que el Pleno del Tribunal Estatal de Conciliación y Arbitraje, conoce y resuelve de los asuntos de su competencia mediante resoluciones y acuerdos. </w:t>
      </w:r>
    </w:p>
    <w:p w14:paraId="304F988A" w14:textId="77777777" w:rsidR="003332A9" w:rsidRPr="00BC1643" w:rsidRDefault="003332A9" w:rsidP="00B60C5F">
      <w:pPr>
        <w:pBdr>
          <w:top w:val="nil"/>
          <w:left w:val="nil"/>
          <w:bottom w:val="nil"/>
          <w:right w:val="nil"/>
          <w:between w:val="nil"/>
        </w:pBdr>
        <w:tabs>
          <w:tab w:val="left" w:pos="0"/>
        </w:tabs>
        <w:rPr>
          <w:color w:val="000000" w:themeColor="text1"/>
        </w:rPr>
      </w:pPr>
    </w:p>
    <w:p w14:paraId="789BA632"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esa línea, el Manual de Organización del Tribunal Estatal de Conciliación y Arbitraje, regula que el Pleno tiene las siguientes funciones. </w:t>
      </w:r>
    </w:p>
    <w:p w14:paraId="0643B19F" w14:textId="77777777" w:rsidR="003332A9" w:rsidRPr="00BC1643" w:rsidRDefault="00BE382A" w:rsidP="00B60C5F">
      <w:pPr>
        <w:pBdr>
          <w:top w:val="nil"/>
          <w:left w:val="nil"/>
          <w:bottom w:val="nil"/>
          <w:right w:val="nil"/>
          <w:between w:val="nil"/>
        </w:pBdr>
        <w:tabs>
          <w:tab w:val="left" w:pos="0"/>
        </w:tabs>
        <w:jc w:val="center"/>
        <w:rPr>
          <w:color w:val="000000" w:themeColor="text1"/>
        </w:rPr>
      </w:pPr>
      <w:r w:rsidRPr="00BC1643">
        <w:rPr>
          <w:noProof/>
          <w:color w:val="000000" w:themeColor="text1"/>
          <w:lang w:val="es-MX"/>
        </w:rPr>
        <w:drawing>
          <wp:inline distT="0" distB="0" distL="0" distR="0" wp14:anchorId="464F02F2" wp14:editId="6030CC96">
            <wp:extent cx="4671427" cy="2515115"/>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671427" cy="2515115"/>
                    </a:xfrm>
                    <a:prstGeom prst="rect">
                      <a:avLst/>
                    </a:prstGeom>
                    <a:ln/>
                  </pic:spPr>
                </pic:pic>
              </a:graphicData>
            </a:graphic>
          </wp:inline>
        </w:drawing>
      </w:r>
    </w:p>
    <w:p w14:paraId="21E59ED3" w14:textId="77777777" w:rsidR="00B60C5F" w:rsidRPr="00BC1643" w:rsidRDefault="00B60C5F" w:rsidP="00B60C5F">
      <w:pPr>
        <w:pBdr>
          <w:top w:val="nil"/>
          <w:left w:val="nil"/>
          <w:bottom w:val="nil"/>
          <w:right w:val="nil"/>
          <w:between w:val="nil"/>
        </w:pBdr>
        <w:tabs>
          <w:tab w:val="left" w:pos="0"/>
        </w:tabs>
        <w:rPr>
          <w:color w:val="000000" w:themeColor="text1"/>
        </w:rPr>
      </w:pPr>
    </w:p>
    <w:p w14:paraId="6E01D223"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 xml:space="preserve">De lo anterior, se colige que el Pleno del Tribunal Estatal de Conciliación y Arbitraje, resuelve sobre los conflictos laborales entre los servidores públicos y los Poderes del Estado, Municipios y Organismos Públicos de Carácter Estatal, emitiendo resoluciones y conociendo de los juicios de su competencia. </w:t>
      </w:r>
    </w:p>
    <w:p w14:paraId="56E77D74" w14:textId="77777777" w:rsidR="003332A9" w:rsidRPr="00BC1643" w:rsidRDefault="003332A9" w:rsidP="00B60C5F">
      <w:pPr>
        <w:pBdr>
          <w:top w:val="nil"/>
          <w:left w:val="nil"/>
          <w:bottom w:val="nil"/>
          <w:right w:val="nil"/>
          <w:between w:val="nil"/>
        </w:pBdr>
        <w:tabs>
          <w:tab w:val="left" w:pos="0"/>
        </w:tabs>
        <w:rPr>
          <w:color w:val="000000" w:themeColor="text1"/>
        </w:rPr>
      </w:pPr>
    </w:p>
    <w:p w14:paraId="09C4A4FC"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Seguidamente de la integración del Tribunal Estatal de Conciliación y Arbitraje, se observa que cuenta con la Secretaría General Jurídica y Consultiva, quien tiene las siguientes funciones. </w:t>
      </w:r>
    </w:p>
    <w:p w14:paraId="2D4C64F3" w14:textId="77777777" w:rsidR="003332A9" w:rsidRPr="00BC1643" w:rsidRDefault="00BE382A" w:rsidP="00B60C5F">
      <w:pPr>
        <w:pBdr>
          <w:top w:val="nil"/>
          <w:left w:val="nil"/>
          <w:bottom w:val="nil"/>
          <w:right w:val="nil"/>
          <w:between w:val="nil"/>
        </w:pBdr>
        <w:tabs>
          <w:tab w:val="left" w:pos="0"/>
        </w:tabs>
        <w:jc w:val="center"/>
        <w:rPr>
          <w:color w:val="000000" w:themeColor="text1"/>
        </w:rPr>
      </w:pPr>
      <w:r w:rsidRPr="00BC1643">
        <w:rPr>
          <w:noProof/>
          <w:color w:val="000000" w:themeColor="text1"/>
          <w:lang w:val="es-MX"/>
        </w:rPr>
        <w:drawing>
          <wp:inline distT="0" distB="0" distL="0" distR="0" wp14:anchorId="4B258C0E" wp14:editId="7A7ACEB2">
            <wp:extent cx="4879282" cy="1658267"/>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879282" cy="1658267"/>
                    </a:xfrm>
                    <a:prstGeom prst="rect">
                      <a:avLst/>
                    </a:prstGeom>
                    <a:ln/>
                  </pic:spPr>
                </pic:pic>
              </a:graphicData>
            </a:graphic>
          </wp:inline>
        </w:drawing>
      </w:r>
      <w:r w:rsidRPr="00BC1643">
        <w:rPr>
          <w:noProof/>
          <w:color w:val="000000" w:themeColor="text1"/>
          <w:lang w:val="es-MX"/>
        </w:rPr>
        <w:drawing>
          <wp:anchor distT="0" distB="0" distL="114300" distR="114300" simplePos="0" relativeHeight="251659264" behindDoc="0" locked="0" layoutInCell="1" hidden="0" allowOverlap="1" wp14:anchorId="54588C28" wp14:editId="6405C05B">
            <wp:simplePos x="0" y="0"/>
            <wp:positionH relativeFrom="column">
              <wp:posOffset>419042</wp:posOffset>
            </wp:positionH>
            <wp:positionV relativeFrom="paragraph">
              <wp:posOffset>1801940</wp:posOffset>
            </wp:positionV>
            <wp:extent cx="4912314" cy="2075174"/>
            <wp:effectExtent l="0" t="0" r="0" b="0"/>
            <wp:wrapNone/>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912314" cy="2075174"/>
                    </a:xfrm>
                    <a:prstGeom prst="rect">
                      <a:avLst/>
                    </a:prstGeom>
                    <a:ln/>
                  </pic:spPr>
                </pic:pic>
              </a:graphicData>
            </a:graphic>
          </wp:anchor>
        </w:drawing>
      </w:r>
    </w:p>
    <w:p w14:paraId="66C98C80" w14:textId="77777777" w:rsidR="003332A9" w:rsidRPr="00BC1643" w:rsidRDefault="003332A9" w:rsidP="00B60C5F">
      <w:pPr>
        <w:pBdr>
          <w:top w:val="nil"/>
          <w:left w:val="nil"/>
          <w:bottom w:val="nil"/>
          <w:right w:val="nil"/>
          <w:between w:val="nil"/>
        </w:pBdr>
        <w:spacing w:line="240" w:lineRule="auto"/>
        <w:rPr>
          <w:rFonts w:eastAsia="Times New Roman" w:cs="Times New Roman"/>
          <w:color w:val="000000" w:themeColor="text1"/>
        </w:rPr>
      </w:pPr>
    </w:p>
    <w:p w14:paraId="5D1FFC9D" w14:textId="77777777" w:rsidR="003332A9" w:rsidRPr="00BC1643" w:rsidRDefault="003332A9" w:rsidP="00B60C5F">
      <w:pPr>
        <w:pBdr>
          <w:top w:val="nil"/>
          <w:left w:val="nil"/>
          <w:bottom w:val="nil"/>
          <w:right w:val="nil"/>
          <w:between w:val="nil"/>
        </w:pBdr>
        <w:tabs>
          <w:tab w:val="left" w:pos="0"/>
        </w:tabs>
        <w:rPr>
          <w:color w:val="000000" w:themeColor="text1"/>
        </w:rPr>
      </w:pPr>
    </w:p>
    <w:p w14:paraId="2F2B0561" w14:textId="77777777" w:rsidR="003332A9" w:rsidRPr="00BC1643" w:rsidRDefault="003332A9" w:rsidP="00B60C5F">
      <w:pPr>
        <w:pBdr>
          <w:top w:val="nil"/>
          <w:left w:val="nil"/>
          <w:bottom w:val="nil"/>
          <w:right w:val="nil"/>
          <w:between w:val="nil"/>
        </w:pBdr>
        <w:tabs>
          <w:tab w:val="left" w:pos="0"/>
        </w:tabs>
        <w:rPr>
          <w:color w:val="000000" w:themeColor="text1"/>
        </w:rPr>
      </w:pPr>
    </w:p>
    <w:p w14:paraId="207A14C2" w14:textId="77777777" w:rsidR="003332A9" w:rsidRPr="00BC1643" w:rsidRDefault="003332A9" w:rsidP="00B60C5F">
      <w:pPr>
        <w:pBdr>
          <w:top w:val="nil"/>
          <w:left w:val="nil"/>
          <w:bottom w:val="nil"/>
          <w:right w:val="nil"/>
          <w:between w:val="nil"/>
        </w:pBdr>
        <w:tabs>
          <w:tab w:val="left" w:pos="0"/>
        </w:tabs>
        <w:rPr>
          <w:color w:val="000000" w:themeColor="text1"/>
        </w:rPr>
      </w:pPr>
    </w:p>
    <w:p w14:paraId="067B2B00" w14:textId="77777777" w:rsidR="003332A9" w:rsidRPr="00BC1643" w:rsidRDefault="003332A9" w:rsidP="00B60C5F">
      <w:pPr>
        <w:pBdr>
          <w:top w:val="nil"/>
          <w:left w:val="nil"/>
          <w:bottom w:val="nil"/>
          <w:right w:val="nil"/>
          <w:between w:val="nil"/>
        </w:pBdr>
        <w:tabs>
          <w:tab w:val="left" w:pos="0"/>
        </w:tabs>
        <w:rPr>
          <w:color w:val="000000" w:themeColor="text1"/>
        </w:rPr>
      </w:pPr>
    </w:p>
    <w:p w14:paraId="3E2D4E48" w14:textId="77777777" w:rsidR="003332A9" w:rsidRPr="00BC1643" w:rsidRDefault="003332A9" w:rsidP="00B60C5F">
      <w:pPr>
        <w:pBdr>
          <w:top w:val="nil"/>
          <w:left w:val="nil"/>
          <w:bottom w:val="nil"/>
          <w:right w:val="nil"/>
          <w:between w:val="nil"/>
        </w:pBdr>
        <w:tabs>
          <w:tab w:val="left" w:pos="0"/>
        </w:tabs>
        <w:rPr>
          <w:color w:val="000000" w:themeColor="text1"/>
        </w:rPr>
      </w:pPr>
    </w:p>
    <w:p w14:paraId="6B20EB3B" w14:textId="77777777" w:rsidR="003332A9" w:rsidRDefault="003332A9" w:rsidP="00B60C5F">
      <w:pPr>
        <w:pBdr>
          <w:top w:val="nil"/>
          <w:left w:val="nil"/>
          <w:bottom w:val="nil"/>
          <w:right w:val="nil"/>
          <w:between w:val="nil"/>
        </w:pBdr>
        <w:tabs>
          <w:tab w:val="left" w:pos="0"/>
        </w:tabs>
        <w:rPr>
          <w:color w:val="000000" w:themeColor="text1"/>
        </w:rPr>
      </w:pPr>
    </w:p>
    <w:p w14:paraId="1B6F95F7" w14:textId="77777777" w:rsidR="00513EBE" w:rsidRDefault="00513EBE" w:rsidP="00B60C5F">
      <w:pPr>
        <w:pBdr>
          <w:top w:val="nil"/>
          <w:left w:val="nil"/>
          <w:bottom w:val="nil"/>
          <w:right w:val="nil"/>
          <w:between w:val="nil"/>
        </w:pBdr>
        <w:tabs>
          <w:tab w:val="left" w:pos="0"/>
        </w:tabs>
        <w:rPr>
          <w:color w:val="000000" w:themeColor="text1"/>
        </w:rPr>
      </w:pPr>
    </w:p>
    <w:p w14:paraId="22D8E685" w14:textId="77777777" w:rsidR="00513EBE" w:rsidRPr="00BC1643" w:rsidRDefault="00513EBE" w:rsidP="00B60C5F">
      <w:pPr>
        <w:pBdr>
          <w:top w:val="nil"/>
          <w:left w:val="nil"/>
          <w:bottom w:val="nil"/>
          <w:right w:val="nil"/>
          <w:between w:val="nil"/>
        </w:pBdr>
        <w:tabs>
          <w:tab w:val="left" w:pos="0"/>
        </w:tabs>
        <w:rPr>
          <w:color w:val="000000" w:themeColor="text1"/>
        </w:rPr>
      </w:pPr>
    </w:p>
    <w:p w14:paraId="68ED36C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De lo anterior, se debe de precisar que la Secretaría General, Jurídica y Consultiva, cuida que se emitan en forma oportuna loas acuerdos que deban de recaer a las promociones presentadas por las partes, en este caso la </w:t>
      </w:r>
      <w:r w:rsidRPr="00BC1643">
        <w:rPr>
          <w:b/>
          <w:color w:val="000000" w:themeColor="text1"/>
        </w:rPr>
        <w:t xml:space="preserve">RECURRENTE, </w:t>
      </w:r>
      <w:r w:rsidRPr="00BC1643">
        <w:rPr>
          <w:color w:val="000000" w:themeColor="text1"/>
        </w:rPr>
        <w:t xml:space="preserve">por lo que, se fija </w:t>
      </w:r>
      <w:r w:rsidRPr="00BC1643">
        <w:rPr>
          <w:color w:val="000000" w:themeColor="text1"/>
        </w:rPr>
        <w:lastRenderedPageBreak/>
        <w:t xml:space="preserve">que dicha Secretaría puede el servidor públicos habilitado que pueda tener el acuerdo solicitado por la </w:t>
      </w:r>
      <w:r w:rsidRPr="00BC1643">
        <w:rPr>
          <w:b/>
          <w:color w:val="000000" w:themeColor="text1"/>
        </w:rPr>
        <w:t xml:space="preserve">RECURRENTE. </w:t>
      </w:r>
    </w:p>
    <w:p w14:paraId="6F5B9CB3" w14:textId="77777777" w:rsidR="003332A9" w:rsidRPr="00BC1643" w:rsidRDefault="003332A9" w:rsidP="00B60C5F">
      <w:pPr>
        <w:pBdr>
          <w:top w:val="nil"/>
          <w:left w:val="nil"/>
          <w:bottom w:val="nil"/>
          <w:right w:val="nil"/>
          <w:between w:val="nil"/>
        </w:pBdr>
        <w:tabs>
          <w:tab w:val="left" w:pos="0"/>
        </w:tabs>
        <w:rPr>
          <w:color w:val="000000" w:themeColor="text1"/>
        </w:rPr>
      </w:pPr>
    </w:p>
    <w:p w14:paraId="28977D82"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De lo expuesto anteriormente, se determina que el </w:t>
      </w:r>
      <w:r w:rsidRPr="00BC1643">
        <w:rPr>
          <w:b/>
          <w:color w:val="000000" w:themeColor="text1"/>
        </w:rPr>
        <w:t xml:space="preserve">SUJETO OBLIGADO </w:t>
      </w:r>
      <w:r w:rsidRPr="00BC1643">
        <w:rPr>
          <w:color w:val="000000" w:themeColor="text1"/>
        </w:rPr>
        <w:t xml:space="preserve">si cuenta las facultades para contar con la información solicitada por la </w:t>
      </w:r>
      <w:r w:rsidRPr="00BC1643">
        <w:rPr>
          <w:b/>
          <w:color w:val="000000" w:themeColor="text1"/>
        </w:rPr>
        <w:t xml:space="preserve">RECURRENTE, </w:t>
      </w:r>
      <w:r w:rsidRPr="00BC1643">
        <w:rPr>
          <w:color w:val="000000" w:themeColor="text1"/>
        </w:rPr>
        <w:t xml:space="preserve">por lo que, para colmar el derecho de acceso a la información se deberá de atender la solicitud de información y entregar el acuerdo referido en la solicitud de información. </w:t>
      </w:r>
    </w:p>
    <w:p w14:paraId="56B6AF14" w14:textId="77777777" w:rsidR="003332A9" w:rsidRPr="00BC1643" w:rsidRDefault="003332A9" w:rsidP="00B60C5F">
      <w:pPr>
        <w:pBdr>
          <w:top w:val="nil"/>
          <w:left w:val="nil"/>
          <w:bottom w:val="nil"/>
          <w:right w:val="nil"/>
          <w:between w:val="nil"/>
        </w:pBdr>
        <w:spacing w:line="240" w:lineRule="auto"/>
        <w:rPr>
          <w:rFonts w:eastAsia="Times New Roman" w:cs="Times New Roman"/>
          <w:color w:val="000000" w:themeColor="text1"/>
        </w:rPr>
      </w:pPr>
    </w:p>
    <w:p w14:paraId="39677DB7"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Ahora bien, en atención al sentido en que se resuelve el presente medio de impugnación, este Instituto no omite señalar que en caso de que la información solicitada  no obres en los archivos del </w:t>
      </w:r>
      <w:r w:rsidRPr="00BC1643">
        <w:rPr>
          <w:b/>
          <w:color w:val="000000" w:themeColor="text1"/>
        </w:rPr>
        <w:t>SUJETO OBLIGADO</w:t>
      </w:r>
      <w:r w:rsidRPr="00BC1643">
        <w:rPr>
          <w:color w:val="000000" w:themeColor="text1"/>
        </w:rPr>
        <w:t>, deberá entregar el Acuerdo del Comité de Transparencia, en donde conste la declaratoria de inexistencia de la misma, con fundamento en lo dispuesto en el artículo 113 de la Ley de Protección de Datos Personales estatal.</w:t>
      </w:r>
    </w:p>
    <w:p w14:paraId="524E9B17" w14:textId="77777777" w:rsidR="003332A9" w:rsidRPr="00BC1643" w:rsidRDefault="003332A9" w:rsidP="00B60C5F">
      <w:pPr>
        <w:rPr>
          <w:color w:val="000000" w:themeColor="text1"/>
        </w:rPr>
      </w:pPr>
    </w:p>
    <w:p w14:paraId="2CA09161"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En tal caso, la declaratoria a que se ha hecho referencia deberá realizarse, conforme a lo dispuesto en los artículos 94 fracciones III y VIII, 113 de la Ley de Protección de Datos Personales en Posesión de Sujetos Obligados del Estado de México y Municipio; 169 y 170 de la Ley de Transparencia y Acceso a la Información Pública del Estado de México y Municipios de aplicación supletoria; preceptos que establecen la forma en que los sujetos obligados deben dar curso a las declaratorias de inexistencia.</w:t>
      </w:r>
    </w:p>
    <w:p w14:paraId="26F60FC8" w14:textId="77777777" w:rsidR="003332A9" w:rsidRPr="00BC1643" w:rsidRDefault="003332A9" w:rsidP="00B60C5F">
      <w:pPr>
        <w:rPr>
          <w:color w:val="000000" w:themeColor="text1"/>
        </w:rPr>
      </w:pPr>
    </w:p>
    <w:p w14:paraId="48C82174"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Resulta aplicable el criterio de interpretación en el orden administrativo número 0008-19 emitido por Acuerdo del Pleno del Instituto de Transparencia y Acceso a la Información Pública del Estado de México y Municipios, que a la letra dice:</w:t>
      </w:r>
    </w:p>
    <w:p w14:paraId="78D5EB2D" w14:textId="77777777" w:rsidR="003332A9" w:rsidRPr="00BC1643" w:rsidRDefault="00BE382A" w:rsidP="00B60C5F">
      <w:pPr>
        <w:pBdr>
          <w:top w:val="nil"/>
          <w:left w:val="nil"/>
          <w:bottom w:val="nil"/>
          <w:right w:val="nil"/>
          <w:between w:val="nil"/>
        </w:pBdr>
        <w:spacing w:line="240" w:lineRule="auto"/>
        <w:rPr>
          <w:rFonts w:eastAsia="Palatino Linotype" w:cs="Palatino Linotype"/>
          <w:i/>
          <w:color w:val="000000" w:themeColor="text1"/>
        </w:rPr>
      </w:pPr>
      <w:r w:rsidRPr="00BC1643">
        <w:rPr>
          <w:rFonts w:eastAsia="Palatino Linotype" w:cs="Palatino Linotype"/>
          <w:b/>
          <w:i/>
          <w:color w:val="000000" w:themeColor="text1"/>
        </w:rPr>
        <w:lastRenderedPageBreak/>
        <w:t xml:space="preserve">INEXISTENCIA DE LA INFORMACIÓN. SUPUESTOS PARA EMITIR LA RESOLUCIÓN DE LA. </w:t>
      </w:r>
      <w:r w:rsidRPr="00BC1643">
        <w:rPr>
          <w:rFonts w:eastAsia="Palatino Linotype" w:cs="Palatino Linotype"/>
          <w:i/>
          <w:color w:val="000000" w:themeColor="text1"/>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1AC1D8D" w14:textId="77777777" w:rsidR="003332A9" w:rsidRPr="00BC1643" w:rsidRDefault="003332A9" w:rsidP="00B60C5F">
      <w:pPr>
        <w:rPr>
          <w:color w:val="000000" w:themeColor="text1"/>
        </w:rPr>
      </w:pPr>
    </w:p>
    <w:p w14:paraId="02F67BF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En mérito de todo lo expuesto, ante lo </w:t>
      </w:r>
      <w:r w:rsidRPr="00BC1643">
        <w:rPr>
          <w:b/>
          <w:color w:val="000000" w:themeColor="text1"/>
        </w:rPr>
        <w:t>fundado</w:t>
      </w:r>
      <w:r w:rsidRPr="00BC1643">
        <w:rPr>
          <w:color w:val="000000" w:themeColor="text1"/>
        </w:rPr>
        <w:t xml:space="preserve"> de las razones o motivos de inconformidad hechos valer por el Recurrente, este Instituto estima que lo dable es ordenar al Sujeto Obligado dé trámite y respuesta a la solicitud de acceso a datos personales la información, atendiendo lo señalado en el presente Considerando.</w:t>
      </w:r>
    </w:p>
    <w:p w14:paraId="44FEB974" w14:textId="77777777" w:rsidR="003332A9" w:rsidRPr="00BC1643" w:rsidRDefault="003332A9" w:rsidP="00B60C5F">
      <w:pPr>
        <w:rPr>
          <w:color w:val="000000" w:themeColor="text1"/>
        </w:rPr>
      </w:pPr>
    </w:p>
    <w:p w14:paraId="7B1D613E" w14:textId="77777777" w:rsidR="009F3D7C" w:rsidRPr="00BC1643" w:rsidRDefault="009F3D7C"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Ahora bien, de ser el caso que la información solicitada por la </w:t>
      </w:r>
      <w:r w:rsidRPr="00BC1643">
        <w:rPr>
          <w:b/>
          <w:color w:val="000000" w:themeColor="text1"/>
        </w:rPr>
        <w:t xml:space="preserve">RECURRENTE </w:t>
      </w:r>
      <w:r w:rsidRPr="00BC1643">
        <w:rPr>
          <w:color w:val="000000" w:themeColor="text1"/>
        </w:rPr>
        <w:t xml:space="preserve">no obre en los archivos del </w:t>
      </w:r>
      <w:r w:rsidRPr="00BC1643">
        <w:rPr>
          <w:b/>
          <w:color w:val="000000" w:themeColor="text1"/>
        </w:rPr>
        <w:t xml:space="preserve">SUJETO OBLIGADO </w:t>
      </w:r>
      <w:r w:rsidRPr="00BC1643">
        <w:rPr>
          <w:color w:val="000000" w:themeColor="text1"/>
        </w:rPr>
        <w:t xml:space="preserve">por no haberse generado, poseído o administrado, bastará con sé que se haga del conocimiento de la </w:t>
      </w:r>
      <w:r w:rsidRPr="00BC1643">
        <w:rPr>
          <w:b/>
          <w:color w:val="000000" w:themeColor="text1"/>
        </w:rPr>
        <w:t xml:space="preserve">RECURRENTE </w:t>
      </w:r>
      <w:r w:rsidRPr="00BC1643">
        <w:rPr>
          <w:color w:val="000000" w:themeColor="text1"/>
        </w:rPr>
        <w:t xml:space="preserve">de acuerdo con el artículo 19 párrafo segundo de la Ley de Transparencia y Acceso a la Información Pública del Estado de México y Municipios. </w:t>
      </w:r>
    </w:p>
    <w:p w14:paraId="31289105" w14:textId="77777777" w:rsidR="009F3D7C" w:rsidRPr="00BC1643" w:rsidRDefault="009F3D7C" w:rsidP="00B60C5F">
      <w:pPr>
        <w:pBdr>
          <w:top w:val="nil"/>
          <w:left w:val="nil"/>
          <w:bottom w:val="nil"/>
          <w:right w:val="nil"/>
          <w:between w:val="nil"/>
        </w:pBdr>
        <w:tabs>
          <w:tab w:val="left" w:pos="0"/>
        </w:tabs>
        <w:rPr>
          <w:color w:val="000000" w:themeColor="text1"/>
        </w:rPr>
      </w:pPr>
    </w:p>
    <w:p w14:paraId="2ABF9A3A" w14:textId="77777777" w:rsidR="003332A9" w:rsidRPr="00BC1643" w:rsidRDefault="009F3D7C"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Por otro lado</w:t>
      </w:r>
      <w:r w:rsidR="00BE382A" w:rsidRPr="00BC1643">
        <w:rPr>
          <w:color w:val="000000" w:themeColor="text1"/>
        </w:rPr>
        <w:t xml:space="preserve">, es necesario señalar que el recurso de revisión previsto en la Ley de Protección de Datos local no es la vía idónea para investigar y sancionar a servidores </w:t>
      </w:r>
      <w:r w:rsidR="00BE382A" w:rsidRPr="00BC1643">
        <w:rPr>
          <w:color w:val="000000" w:themeColor="text1"/>
        </w:rPr>
        <w:lastRenderedPageBreak/>
        <w:t xml:space="preserve">públicos con motivo de la falta de respuesta a solicitudes de ejercicio de los derechos ARCO; no obstante, ante la vulneración del derecho de acceso a datos personales y de conformidad con las razones o motivos de inconformidad expuestos al momento de interponer este medio de impugnación, resulta procedente dar vista a la Secretaría Técnica del Pleno, para que en el ejercicio de las competencias reservadas integre y remita al Órgano de Control Interno competente, un expediente formado con motivo de las presuntas infracciones de carácter omisivo cometidas en detrimento al derecho del ejercicio de los derechos ARCO. </w:t>
      </w:r>
    </w:p>
    <w:p w14:paraId="138C756B" w14:textId="77777777" w:rsidR="003332A9" w:rsidRPr="00BC1643" w:rsidRDefault="003332A9" w:rsidP="00B60C5F">
      <w:pPr>
        <w:pBdr>
          <w:top w:val="nil"/>
          <w:left w:val="nil"/>
          <w:bottom w:val="nil"/>
          <w:right w:val="nil"/>
          <w:between w:val="nil"/>
        </w:pBdr>
        <w:rPr>
          <w:color w:val="000000" w:themeColor="text1"/>
        </w:rPr>
      </w:pPr>
    </w:p>
    <w:p w14:paraId="0E815541"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Protección de Datos Personales en Posesión de Sujetos Obligados del Estado de México, específicamente en sus artículos 137 último párrafo y 165, que señalan lo siguiente:</w:t>
      </w:r>
    </w:p>
    <w:p w14:paraId="0FBD5FE1" w14:textId="77777777" w:rsidR="003332A9" w:rsidRPr="00BC1643" w:rsidRDefault="00BE382A" w:rsidP="00B60C5F">
      <w:pPr>
        <w:spacing w:line="240" w:lineRule="auto"/>
        <w:rPr>
          <w:i/>
          <w:color w:val="000000" w:themeColor="text1"/>
        </w:rPr>
      </w:pPr>
      <w:r w:rsidRPr="00BC1643">
        <w:rPr>
          <w:b/>
          <w:i/>
          <w:color w:val="000000" w:themeColor="text1"/>
        </w:rPr>
        <w:t>Artículo 137.</w:t>
      </w:r>
      <w:r w:rsidRPr="00BC1643">
        <w:rPr>
          <w:i/>
          <w:color w:val="000000" w:themeColor="text1"/>
        </w:rPr>
        <w:t xml:space="preserve"> (…)</w:t>
      </w:r>
    </w:p>
    <w:p w14:paraId="6F13E705" w14:textId="77777777" w:rsidR="003332A9" w:rsidRPr="00BC1643" w:rsidRDefault="003332A9" w:rsidP="00B60C5F">
      <w:pPr>
        <w:spacing w:line="240" w:lineRule="auto"/>
        <w:rPr>
          <w:i/>
          <w:color w:val="000000" w:themeColor="text1"/>
        </w:rPr>
      </w:pPr>
    </w:p>
    <w:p w14:paraId="69929211" w14:textId="77777777" w:rsidR="003332A9" w:rsidRPr="00BC1643" w:rsidRDefault="00BE382A" w:rsidP="00B60C5F">
      <w:pPr>
        <w:spacing w:line="240" w:lineRule="auto"/>
        <w:rPr>
          <w:i/>
          <w:color w:val="000000" w:themeColor="text1"/>
        </w:rPr>
      </w:pPr>
      <w:r w:rsidRPr="00BC1643">
        <w:rPr>
          <w:i/>
          <w:color w:val="000000" w:themeColor="text1"/>
        </w:rPr>
        <w:t>Cuando el Instituto determine durante la sustanciación del recurso de revisión que se pudo haber incurrido en una probable responsabilidad por el incumplimiento a las obligaciones previstas en la presente Ley y demás disposiciones que resulten aplicables en la materia, deberán hacerlo del conocimiento del órgano interno de control o de la instancia competente del responsable para que ésta inicie, en su caso, el Procedimiento de Responsabilidad respectivo.</w:t>
      </w:r>
    </w:p>
    <w:p w14:paraId="36FA7BB4" w14:textId="77777777" w:rsidR="003332A9" w:rsidRPr="00BC1643" w:rsidRDefault="003332A9" w:rsidP="00B60C5F">
      <w:pPr>
        <w:spacing w:line="240" w:lineRule="auto"/>
        <w:rPr>
          <w:i/>
          <w:color w:val="000000" w:themeColor="text1"/>
        </w:rPr>
      </w:pPr>
    </w:p>
    <w:p w14:paraId="426886F3" w14:textId="77777777" w:rsidR="003332A9" w:rsidRPr="00BC1643" w:rsidRDefault="00BE382A" w:rsidP="00B60C5F">
      <w:pPr>
        <w:spacing w:line="240" w:lineRule="auto"/>
        <w:rPr>
          <w:i/>
          <w:color w:val="000000" w:themeColor="text1"/>
        </w:rPr>
      </w:pPr>
      <w:r w:rsidRPr="00BC1643">
        <w:rPr>
          <w:b/>
          <w:i/>
          <w:color w:val="000000" w:themeColor="text1"/>
        </w:rPr>
        <w:t>Artículo 165.</w:t>
      </w:r>
      <w:r w:rsidRPr="00BC1643">
        <w:rPr>
          <w:i/>
          <w:color w:val="000000" w:themeColor="text1"/>
        </w:rPr>
        <w:t xml:space="preserve"> Serán causas de responsabilidad administrativa de las y los servidores públicos por incumplimiento de las obligaciones establecidas en la presente Ley, las siguientes::</w:t>
      </w:r>
    </w:p>
    <w:p w14:paraId="3F0DFAF5" w14:textId="77777777" w:rsidR="003332A9" w:rsidRPr="00BC1643" w:rsidRDefault="003332A9" w:rsidP="00B60C5F">
      <w:pPr>
        <w:spacing w:line="240" w:lineRule="auto"/>
        <w:rPr>
          <w:i/>
          <w:color w:val="000000" w:themeColor="text1"/>
        </w:rPr>
      </w:pPr>
    </w:p>
    <w:p w14:paraId="16616B50" w14:textId="77777777" w:rsidR="003332A9" w:rsidRPr="00BC1643" w:rsidRDefault="00BE382A" w:rsidP="00B60C5F">
      <w:pPr>
        <w:spacing w:line="240" w:lineRule="auto"/>
        <w:rPr>
          <w:b/>
          <w:i/>
          <w:color w:val="000000" w:themeColor="text1"/>
        </w:rPr>
      </w:pPr>
      <w:r w:rsidRPr="00BC1643">
        <w:rPr>
          <w:b/>
          <w:i/>
          <w:color w:val="000000" w:themeColor="text1"/>
        </w:rPr>
        <w:t>I. Actuar con negligencia, dolo o mala fe en la sustanciación de las solicitudes de acceso, rectificación, cancelación u oposición de datos personales, así como los demás derechos previstos por esta Ley.</w:t>
      </w:r>
    </w:p>
    <w:p w14:paraId="325E9B87" w14:textId="77777777" w:rsidR="003332A9" w:rsidRPr="00BC1643" w:rsidRDefault="00BE382A" w:rsidP="00B60C5F">
      <w:pPr>
        <w:spacing w:line="240" w:lineRule="auto"/>
        <w:rPr>
          <w:i/>
          <w:color w:val="000000" w:themeColor="text1"/>
        </w:rPr>
      </w:pPr>
      <w:r w:rsidRPr="00BC1643">
        <w:rPr>
          <w:i/>
          <w:color w:val="000000" w:themeColor="text1"/>
        </w:rPr>
        <w:t>(…)</w:t>
      </w:r>
    </w:p>
    <w:p w14:paraId="72815E1C" w14:textId="77777777" w:rsidR="003332A9" w:rsidRPr="00BC1643" w:rsidRDefault="00BE382A" w:rsidP="00B60C5F">
      <w:pPr>
        <w:spacing w:line="240" w:lineRule="auto"/>
        <w:rPr>
          <w:b/>
          <w:i/>
          <w:color w:val="000000" w:themeColor="text1"/>
        </w:rPr>
      </w:pPr>
      <w:r w:rsidRPr="00BC1643">
        <w:rPr>
          <w:b/>
          <w:i/>
          <w:color w:val="000000" w:themeColor="text1"/>
        </w:rPr>
        <w:lastRenderedPageBreak/>
        <w:t>XXI. Incumplir los plazos de atención previstos en la presente Ley para responder las solicitudes para el ejercicio de los derechos ARCO o para hacer efectivo el derecho que se trate.</w:t>
      </w:r>
    </w:p>
    <w:p w14:paraId="680450BB" w14:textId="77777777" w:rsidR="003332A9" w:rsidRPr="00BC1643" w:rsidRDefault="00BE382A" w:rsidP="00B60C5F">
      <w:pPr>
        <w:spacing w:line="240" w:lineRule="auto"/>
        <w:rPr>
          <w:i/>
          <w:color w:val="000000" w:themeColor="text1"/>
        </w:rPr>
      </w:pPr>
      <w:r w:rsidRPr="00BC1643">
        <w:rPr>
          <w:i/>
          <w:color w:val="000000" w:themeColor="text1"/>
        </w:rPr>
        <w:t>(…)</w:t>
      </w:r>
    </w:p>
    <w:p w14:paraId="0899F9D1" w14:textId="77777777" w:rsidR="003332A9" w:rsidRPr="00BC1643" w:rsidRDefault="003332A9" w:rsidP="00B60C5F">
      <w:pPr>
        <w:pBdr>
          <w:top w:val="nil"/>
          <w:left w:val="nil"/>
          <w:bottom w:val="nil"/>
          <w:right w:val="nil"/>
          <w:between w:val="nil"/>
        </w:pBdr>
        <w:rPr>
          <w:color w:val="000000" w:themeColor="text1"/>
        </w:rPr>
      </w:pPr>
    </w:p>
    <w:p w14:paraId="16117F46"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De manera complementaria a lo anterior, es conveniente señalar que la fracción XXVII, del artículo 19 del Reglamento Interior del Instituto de Transparencia, Acceso a la Información y Protección de Datos Personales, dispone lo siguiente:</w:t>
      </w:r>
    </w:p>
    <w:p w14:paraId="66A595A3" w14:textId="77777777" w:rsidR="003332A9" w:rsidRPr="00BC1643" w:rsidRDefault="00BE382A" w:rsidP="00B60C5F">
      <w:pPr>
        <w:spacing w:line="240" w:lineRule="auto"/>
        <w:rPr>
          <w:i/>
          <w:color w:val="000000" w:themeColor="text1"/>
        </w:rPr>
      </w:pPr>
      <w:r w:rsidRPr="00BC1643">
        <w:rPr>
          <w:b/>
          <w:i/>
          <w:color w:val="000000" w:themeColor="text1"/>
        </w:rPr>
        <w:t>Artículo 19.</w:t>
      </w:r>
      <w:r w:rsidRPr="00BC1643">
        <w:rPr>
          <w:i/>
          <w:color w:val="000000" w:themeColor="text1"/>
        </w:rPr>
        <w:t xml:space="preserve"> Corresponde a la Secretaría Técnica del Pleno ejercer las atribuciones siguientes:</w:t>
      </w:r>
    </w:p>
    <w:p w14:paraId="796A74CA" w14:textId="77777777" w:rsidR="003332A9" w:rsidRPr="00BC1643" w:rsidRDefault="00BE382A" w:rsidP="00B60C5F">
      <w:pPr>
        <w:tabs>
          <w:tab w:val="left" w:pos="2386"/>
        </w:tabs>
        <w:spacing w:line="240" w:lineRule="auto"/>
        <w:rPr>
          <w:i/>
          <w:color w:val="000000" w:themeColor="text1"/>
        </w:rPr>
      </w:pPr>
      <w:r w:rsidRPr="00BC1643">
        <w:rPr>
          <w:i/>
          <w:color w:val="000000" w:themeColor="text1"/>
        </w:rPr>
        <w:t>(…)</w:t>
      </w:r>
      <w:r w:rsidRPr="00BC1643">
        <w:rPr>
          <w:i/>
          <w:color w:val="000000" w:themeColor="text1"/>
        </w:rPr>
        <w:tab/>
      </w:r>
    </w:p>
    <w:p w14:paraId="040F5CC7" w14:textId="77777777" w:rsidR="003332A9" w:rsidRPr="00BC1643" w:rsidRDefault="00BE382A" w:rsidP="00B60C5F">
      <w:pPr>
        <w:spacing w:line="240" w:lineRule="auto"/>
        <w:rPr>
          <w:i/>
          <w:color w:val="000000" w:themeColor="text1"/>
        </w:rPr>
      </w:pPr>
      <w:r w:rsidRPr="00BC1643">
        <w:rPr>
          <w:b/>
          <w:i/>
          <w:color w:val="000000" w:themeColor="text1"/>
        </w:rPr>
        <w:t>XXVII.</w:t>
      </w:r>
      <w:r w:rsidRPr="00BC1643">
        <w:rPr>
          <w:i/>
          <w:color w:val="000000" w:themeColor="text1"/>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5C66E747" w14:textId="77777777" w:rsidR="003332A9" w:rsidRPr="00BC1643" w:rsidRDefault="00BE382A" w:rsidP="00B60C5F">
      <w:pPr>
        <w:spacing w:line="240" w:lineRule="auto"/>
        <w:rPr>
          <w:i/>
          <w:color w:val="000000" w:themeColor="text1"/>
        </w:rPr>
      </w:pPr>
      <w:r w:rsidRPr="00BC1643">
        <w:rPr>
          <w:i/>
          <w:color w:val="000000" w:themeColor="text1"/>
        </w:rPr>
        <w:t>(…)</w:t>
      </w:r>
    </w:p>
    <w:p w14:paraId="72C37657" w14:textId="77777777" w:rsidR="003332A9" w:rsidRPr="00BC1643" w:rsidRDefault="003332A9" w:rsidP="00B60C5F">
      <w:pPr>
        <w:pBdr>
          <w:top w:val="nil"/>
          <w:left w:val="nil"/>
          <w:bottom w:val="nil"/>
          <w:right w:val="nil"/>
          <w:between w:val="nil"/>
        </w:pBdr>
        <w:rPr>
          <w:color w:val="000000" w:themeColor="text1"/>
        </w:rPr>
      </w:pPr>
    </w:p>
    <w:p w14:paraId="4F9FE8DB" w14:textId="77777777" w:rsidR="003332A9"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Por lo que, es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la materia, con fundamento en su artículo 137, el cual estipula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5AE26361" w14:textId="77777777" w:rsidR="00FA243D" w:rsidRPr="00BC1643" w:rsidRDefault="00FA243D" w:rsidP="00FA243D">
      <w:pPr>
        <w:pBdr>
          <w:top w:val="nil"/>
          <w:left w:val="nil"/>
          <w:bottom w:val="nil"/>
          <w:right w:val="nil"/>
          <w:between w:val="nil"/>
        </w:pBdr>
        <w:tabs>
          <w:tab w:val="left" w:pos="0"/>
        </w:tabs>
        <w:rPr>
          <w:color w:val="000000" w:themeColor="text1"/>
        </w:rPr>
      </w:pPr>
    </w:p>
    <w:p w14:paraId="6ED30BBD"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 xml:space="preserve">Por último, es necesario señalar que la modalidad elegida por la </w:t>
      </w:r>
      <w:r w:rsidRPr="00BC1643">
        <w:rPr>
          <w:b/>
          <w:color w:val="000000" w:themeColor="text1"/>
        </w:rPr>
        <w:t xml:space="preserve">RECURRENTE  </w:t>
      </w:r>
      <w:r w:rsidRPr="00BC1643">
        <w:rPr>
          <w:color w:val="000000" w:themeColor="text1"/>
        </w:rPr>
        <w:t xml:space="preserve">para la entrega de la información fue la de </w:t>
      </w:r>
      <w:r w:rsidRPr="00BC1643">
        <w:rPr>
          <w:b/>
          <w:color w:val="000000" w:themeColor="text1"/>
        </w:rPr>
        <w:t>copias certificadas</w:t>
      </w:r>
      <w:r w:rsidRPr="00BC1643">
        <w:rPr>
          <w:color w:val="000000" w:themeColor="text1"/>
        </w:rPr>
        <w:t>, por lo que, es necesario señalar que dicha modalidad de entrega recae en el supuesto previsto en el artículo 174 fracciones I, III y párrafo segundo de la Ley de Transparencia y Acceso a la Información Pública del Estado de México y Municipios, a saber:</w:t>
      </w:r>
    </w:p>
    <w:p w14:paraId="219CEF24" w14:textId="77777777" w:rsidR="003332A9" w:rsidRPr="00BC1643" w:rsidRDefault="00BE382A" w:rsidP="00B60C5F">
      <w:pPr>
        <w:tabs>
          <w:tab w:val="left" w:pos="1843"/>
          <w:tab w:val="left" w:pos="7088"/>
          <w:tab w:val="left" w:pos="7371"/>
          <w:tab w:val="left" w:pos="7513"/>
        </w:tabs>
        <w:spacing w:before="120" w:after="120" w:line="240" w:lineRule="auto"/>
        <w:rPr>
          <w:i/>
          <w:color w:val="000000" w:themeColor="text1"/>
        </w:rPr>
      </w:pPr>
      <w:r w:rsidRPr="00BC1643">
        <w:rPr>
          <w:b/>
          <w:i/>
          <w:color w:val="000000" w:themeColor="text1"/>
        </w:rPr>
        <w:t>“Artículo 174.</w:t>
      </w:r>
      <w:r w:rsidRPr="00BC1643">
        <w:rPr>
          <w:i/>
          <w:color w:val="000000" w:themeColor="text1"/>
        </w:rPr>
        <w:t xml:space="preserve"> En caso de existir costos para obtener la información deberán cubrirse de manera previa a la entrega y no podrán ser superiores a la suma de: </w:t>
      </w:r>
    </w:p>
    <w:p w14:paraId="1C8EF393" w14:textId="77777777" w:rsidR="003332A9" w:rsidRPr="00BC1643" w:rsidRDefault="00BE382A" w:rsidP="00B60C5F">
      <w:pPr>
        <w:tabs>
          <w:tab w:val="left" w:pos="1843"/>
          <w:tab w:val="left" w:pos="7088"/>
          <w:tab w:val="left" w:pos="7371"/>
          <w:tab w:val="left" w:pos="7513"/>
        </w:tabs>
        <w:spacing w:before="120" w:after="120" w:line="240" w:lineRule="auto"/>
        <w:rPr>
          <w:i/>
          <w:color w:val="000000" w:themeColor="text1"/>
        </w:rPr>
      </w:pPr>
      <w:r w:rsidRPr="00BC1643">
        <w:rPr>
          <w:b/>
          <w:i/>
          <w:color w:val="000000" w:themeColor="text1"/>
        </w:rPr>
        <w:t>I.</w:t>
      </w:r>
      <w:r w:rsidRPr="00BC1643">
        <w:rPr>
          <w:i/>
          <w:color w:val="000000" w:themeColor="text1"/>
        </w:rPr>
        <w:t xml:space="preserve"> El costo de los materiales utilizados en la reproducción de la información;</w:t>
      </w:r>
    </w:p>
    <w:p w14:paraId="33230A6C" w14:textId="77777777" w:rsidR="003332A9" w:rsidRPr="00BC1643" w:rsidRDefault="00BE382A" w:rsidP="00B60C5F">
      <w:pPr>
        <w:tabs>
          <w:tab w:val="left" w:pos="1843"/>
          <w:tab w:val="left" w:pos="7088"/>
          <w:tab w:val="left" w:pos="7371"/>
          <w:tab w:val="left" w:pos="7513"/>
        </w:tabs>
        <w:spacing w:before="120" w:after="120" w:line="240" w:lineRule="auto"/>
        <w:rPr>
          <w:i/>
          <w:color w:val="000000" w:themeColor="text1"/>
        </w:rPr>
      </w:pPr>
      <w:r w:rsidRPr="00BC1643">
        <w:rPr>
          <w:i/>
          <w:color w:val="000000" w:themeColor="text1"/>
        </w:rPr>
        <w:t>...</w:t>
      </w:r>
    </w:p>
    <w:p w14:paraId="625397AA" w14:textId="77777777" w:rsidR="003332A9" w:rsidRPr="00BC1643" w:rsidRDefault="00BE382A" w:rsidP="00B60C5F">
      <w:pPr>
        <w:tabs>
          <w:tab w:val="left" w:pos="1843"/>
          <w:tab w:val="left" w:pos="7088"/>
          <w:tab w:val="left" w:pos="7371"/>
          <w:tab w:val="left" w:pos="7513"/>
        </w:tabs>
        <w:spacing w:before="120" w:after="120" w:line="240" w:lineRule="auto"/>
        <w:rPr>
          <w:i/>
          <w:color w:val="000000" w:themeColor="text1"/>
        </w:rPr>
      </w:pPr>
      <w:r w:rsidRPr="00BC1643">
        <w:rPr>
          <w:b/>
          <w:i/>
          <w:color w:val="000000" w:themeColor="text1"/>
        </w:rPr>
        <w:t>III.</w:t>
      </w:r>
      <w:r w:rsidRPr="00BC1643">
        <w:rPr>
          <w:i/>
          <w:color w:val="000000" w:themeColor="text1"/>
        </w:rPr>
        <w:t xml:space="preserve"> El pago de la certificación de los documentos, cuando proceda.</w:t>
      </w:r>
    </w:p>
    <w:p w14:paraId="3BEE4B12" w14:textId="77777777" w:rsidR="003332A9" w:rsidRPr="00BC1643" w:rsidRDefault="00BE382A" w:rsidP="00B60C5F">
      <w:pPr>
        <w:tabs>
          <w:tab w:val="left" w:pos="1843"/>
          <w:tab w:val="left" w:pos="7088"/>
          <w:tab w:val="left" w:pos="7371"/>
          <w:tab w:val="left" w:pos="7513"/>
        </w:tabs>
        <w:spacing w:before="120" w:after="120" w:line="240" w:lineRule="auto"/>
        <w:rPr>
          <w:i/>
          <w:color w:val="000000" w:themeColor="text1"/>
        </w:rPr>
      </w:pPr>
      <w:r w:rsidRPr="00BC1643">
        <w:rPr>
          <w:b/>
          <w:i/>
          <w:color w:val="000000" w:themeColor="text1"/>
        </w:rPr>
        <w:t>.</w:t>
      </w:r>
      <w:r w:rsidRPr="00BC1643">
        <w:rPr>
          <w:i/>
          <w:color w:val="000000" w:themeColor="text1"/>
        </w:rPr>
        <w:t>..</w:t>
      </w:r>
    </w:p>
    <w:p w14:paraId="3FC2C41C" w14:textId="77777777" w:rsidR="003332A9" w:rsidRPr="00BC1643" w:rsidRDefault="00BE382A" w:rsidP="00B60C5F">
      <w:pPr>
        <w:tabs>
          <w:tab w:val="left" w:pos="1843"/>
          <w:tab w:val="left" w:pos="7088"/>
          <w:tab w:val="left" w:pos="7371"/>
          <w:tab w:val="left" w:pos="7513"/>
        </w:tabs>
        <w:spacing w:before="120" w:after="120" w:line="240" w:lineRule="auto"/>
        <w:rPr>
          <w:i/>
          <w:color w:val="000000" w:themeColor="text1"/>
        </w:rPr>
      </w:pPr>
      <w:r w:rsidRPr="00BC1643">
        <w:rPr>
          <w:i/>
          <w:color w:val="000000" w:themeColor="text1"/>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BC1643">
        <w:rPr>
          <w:color w:val="000000" w:themeColor="text1"/>
        </w:rPr>
        <w:t>.</w:t>
      </w:r>
      <w:r w:rsidRPr="00BC1643">
        <w:rPr>
          <w:i/>
          <w:color w:val="000000" w:themeColor="text1"/>
        </w:rPr>
        <w:t>”</w:t>
      </w:r>
    </w:p>
    <w:p w14:paraId="2DEA4675" w14:textId="77777777" w:rsidR="003332A9" w:rsidRPr="00BC1643" w:rsidRDefault="003332A9" w:rsidP="00B60C5F">
      <w:pPr>
        <w:pBdr>
          <w:top w:val="nil"/>
          <w:left w:val="nil"/>
          <w:bottom w:val="nil"/>
          <w:right w:val="nil"/>
          <w:between w:val="nil"/>
        </w:pBdr>
        <w:rPr>
          <w:color w:val="000000" w:themeColor="text1"/>
        </w:rPr>
      </w:pPr>
    </w:p>
    <w:p w14:paraId="0F9DB9A5"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Seguidamente,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30E798D4" w14:textId="77777777" w:rsidR="003332A9" w:rsidRPr="00BC1643" w:rsidRDefault="003332A9" w:rsidP="00B60C5F">
      <w:pPr>
        <w:pBdr>
          <w:top w:val="nil"/>
          <w:left w:val="nil"/>
          <w:bottom w:val="nil"/>
          <w:right w:val="nil"/>
          <w:between w:val="nil"/>
        </w:pBdr>
        <w:tabs>
          <w:tab w:val="left" w:pos="0"/>
        </w:tabs>
        <w:rPr>
          <w:color w:val="000000" w:themeColor="text1"/>
        </w:rPr>
      </w:pPr>
    </w:p>
    <w:p w14:paraId="3FDEC51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w:t>
      </w:r>
      <w:r w:rsidRPr="00BC1643">
        <w:rPr>
          <w:color w:val="000000" w:themeColor="text1"/>
        </w:rPr>
        <w:lastRenderedPageBreak/>
        <w:t xml:space="preserve">aprovechamientos, ingresos derivados de la coordinación hacendaria, e ingresos provenientes de financiamientos, establecidos en la Ley de ingresos. </w:t>
      </w:r>
    </w:p>
    <w:p w14:paraId="603C1FE1" w14:textId="77777777" w:rsidR="003332A9" w:rsidRPr="00BC1643" w:rsidRDefault="003332A9" w:rsidP="00B60C5F">
      <w:pPr>
        <w:pBdr>
          <w:top w:val="nil"/>
          <w:left w:val="nil"/>
          <w:bottom w:val="nil"/>
          <w:right w:val="nil"/>
          <w:between w:val="nil"/>
        </w:pBdr>
        <w:spacing w:line="240" w:lineRule="auto"/>
        <w:rPr>
          <w:rFonts w:eastAsia="Times New Roman" w:cs="Times New Roman"/>
          <w:color w:val="000000" w:themeColor="text1"/>
        </w:rPr>
      </w:pPr>
    </w:p>
    <w:p w14:paraId="7A3D45D2"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14:paraId="1BAC721E" w14:textId="77777777" w:rsidR="003332A9" w:rsidRPr="00BC1643" w:rsidRDefault="003332A9" w:rsidP="00B60C5F">
      <w:pPr>
        <w:ind w:firstLine="1"/>
        <w:rPr>
          <w:color w:val="000000" w:themeColor="text1"/>
        </w:rPr>
      </w:pPr>
    </w:p>
    <w:p w14:paraId="41A2A0DF"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 la parte </w:t>
      </w:r>
      <w:r w:rsidRPr="00BC1643">
        <w:rPr>
          <w:b/>
          <w:color w:val="000000" w:themeColor="text1"/>
        </w:rPr>
        <w:t>Recurrente</w:t>
      </w:r>
      <w:r w:rsidRPr="00BC1643">
        <w:rPr>
          <w:color w:val="000000" w:themeColor="text1"/>
        </w:rPr>
        <w:t xml:space="preserve"> a realizar el pago establecido en el artículo 73 del Código Financiero. </w:t>
      </w:r>
    </w:p>
    <w:p w14:paraId="170258CA" w14:textId="77777777" w:rsidR="003332A9" w:rsidRDefault="00BE382A" w:rsidP="00B60C5F">
      <w:pPr>
        <w:ind w:firstLine="1"/>
        <w:jc w:val="center"/>
        <w:rPr>
          <w:color w:val="000000" w:themeColor="text1"/>
        </w:rPr>
      </w:pPr>
      <w:r w:rsidRPr="00BC1643">
        <w:rPr>
          <w:noProof/>
          <w:color w:val="000000" w:themeColor="text1"/>
          <w:lang w:val="es-MX"/>
        </w:rPr>
        <w:drawing>
          <wp:inline distT="0" distB="0" distL="0" distR="0" wp14:anchorId="4BB15D7E" wp14:editId="6E5C7CF8">
            <wp:extent cx="4541803" cy="2026029"/>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4541803" cy="2026029"/>
                    </a:xfrm>
                    <a:prstGeom prst="rect">
                      <a:avLst/>
                    </a:prstGeom>
                    <a:ln/>
                  </pic:spPr>
                </pic:pic>
              </a:graphicData>
            </a:graphic>
          </wp:inline>
        </w:drawing>
      </w:r>
    </w:p>
    <w:p w14:paraId="3A0B6714" w14:textId="77777777" w:rsidR="00FA243D" w:rsidRPr="00BC1643" w:rsidRDefault="00FA243D" w:rsidP="00B60C5F">
      <w:pPr>
        <w:ind w:firstLine="1"/>
        <w:jc w:val="center"/>
        <w:rPr>
          <w:color w:val="000000" w:themeColor="text1"/>
        </w:rPr>
      </w:pPr>
    </w:p>
    <w:p w14:paraId="518815A4"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Como se advierte, los derechos por la certificación de la primera hoja, equivalen a $109 pesos mientras que los derechos para cada una de las subsecuentes equivalen a $53 pesos. </w:t>
      </w:r>
    </w:p>
    <w:p w14:paraId="6CB31336" w14:textId="77777777" w:rsidR="003332A9" w:rsidRPr="00BC1643" w:rsidRDefault="003332A9" w:rsidP="00B60C5F">
      <w:pPr>
        <w:rPr>
          <w:color w:val="000000" w:themeColor="text1"/>
        </w:rPr>
      </w:pPr>
    </w:p>
    <w:p w14:paraId="2CF4E845"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 xml:space="preserve">En este sentido, si la información solicitada sobre pasa las veinte fojas la </w:t>
      </w:r>
      <w:r w:rsidRPr="00BC1643">
        <w:rPr>
          <w:b/>
          <w:color w:val="000000" w:themeColor="text1"/>
        </w:rPr>
        <w:t xml:space="preserve">RECURRENTE </w:t>
      </w:r>
      <w:r w:rsidRPr="00BC1643">
        <w:rPr>
          <w:color w:val="000000" w:themeColor="text1"/>
        </w:rPr>
        <w:t>deberá realizar el pago correspondiente.</w:t>
      </w:r>
    </w:p>
    <w:p w14:paraId="4A7F570A" w14:textId="77777777" w:rsidR="003332A9" w:rsidRPr="00BC1643" w:rsidRDefault="003332A9" w:rsidP="00B60C5F">
      <w:pPr>
        <w:rPr>
          <w:color w:val="000000" w:themeColor="text1"/>
        </w:rPr>
      </w:pPr>
    </w:p>
    <w:p w14:paraId="123AE869"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b/>
          <w:color w:val="000000" w:themeColor="text1"/>
          <w:u w:val="single"/>
        </w:rPr>
      </w:pPr>
      <w:r w:rsidRPr="00BC1643">
        <w:rPr>
          <w:color w:val="000000" w:themeColor="text1"/>
        </w:rPr>
        <w:t>Asimismo, se precisa que 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Obligados deberán hacer del conocimiento de los particulares</w:t>
      </w:r>
      <w:r w:rsidRPr="00BC1643">
        <w:rPr>
          <w:b/>
          <w:color w:val="000000" w:themeColor="text1"/>
        </w:rPr>
        <w:t xml:space="preserve"> </w:t>
      </w:r>
      <w:r w:rsidRPr="00BC1643">
        <w:rPr>
          <w:color w:val="000000" w:themeColor="text1"/>
        </w:rPr>
        <w:t>previamente</w:t>
      </w:r>
      <w:r w:rsidRPr="00BC1643">
        <w:rPr>
          <w:b/>
          <w:color w:val="000000" w:themeColor="text1"/>
        </w:rPr>
        <w:t>, el costo total por la reproducción y certificación de la información requerida,</w:t>
      </w:r>
      <w:r w:rsidRPr="00BC1643">
        <w:rPr>
          <w:color w:val="000000" w:themeColor="text1"/>
        </w:rPr>
        <w:t xml:space="preserve"> </w:t>
      </w:r>
      <w:r w:rsidRPr="00BC1643">
        <w:rPr>
          <w:b/>
          <w:color w:val="000000" w:themeColor="text1"/>
        </w:rPr>
        <w:t xml:space="preserve">así como el procedimiento para la entrega de la misma en el que se establezca: procedimiento para realizar el pago correspondiente, lugar, día y horarios en los que podrá presentarse a recoger las copias certificadas y el nombre del o los servidores públicos que le atenderán. </w:t>
      </w:r>
    </w:p>
    <w:p w14:paraId="78F2CC72" w14:textId="77777777" w:rsidR="003332A9" w:rsidRPr="00BC1643" w:rsidRDefault="003332A9" w:rsidP="00B60C5F">
      <w:pPr>
        <w:rPr>
          <w:b/>
          <w:color w:val="000000" w:themeColor="text1"/>
        </w:rPr>
      </w:pPr>
    </w:p>
    <w:p w14:paraId="159A3C7C"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Asimismo, no debe perderse de vista el contenido del artículo 166 de la Ley de Transparencia y Acceso a la Información Pública del Estado de México y Municipios, que señala a la literalidad lo siguiente:</w:t>
      </w:r>
    </w:p>
    <w:p w14:paraId="334B2213" w14:textId="77777777" w:rsidR="003332A9" w:rsidRPr="00BC1643" w:rsidRDefault="00BE382A" w:rsidP="00B60C5F">
      <w:pPr>
        <w:spacing w:after="120" w:line="240" w:lineRule="auto"/>
        <w:rPr>
          <w:i/>
          <w:color w:val="000000" w:themeColor="text1"/>
        </w:rPr>
      </w:pPr>
      <w:r w:rsidRPr="00BC1643">
        <w:rPr>
          <w:i/>
          <w:color w:val="000000" w:themeColor="text1"/>
        </w:rPr>
        <w:t>“</w:t>
      </w:r>
      <w:r w:rsidRPr="00BC1643">
        <w:rPr>
          <w:b/>
          <w:i/>
          <w:color w:val="000000" w:themeColor="text1"/>
        </w:rPr>
        <w:t>Artículo 166</w:t>
      </w:r>
      <w:r w:rsidRPr="00BC1643">
        <w:rPr>
          <w:i/>
          <w:color w:val="000000" w:themeColor="text1"/>
        </w:rPr>
        <w:t xml:space="preserve">. La obligación de acceso a la información pública se tendrá por cumplida </w:t>
      </w:r>
      <w:r w:rsidRPr="00BC1643">
        <w:rPr>
          <w:b/>
          <w:i/>
          <w:color w:val="000000" w:themeColor="text1"/>
        </w:rPr>
        <w:t xml:space="preserve">cuando el solicitante tenga a su disposición la información requerida, </w:t>
      </w:r>
      <w:r w:rsidRPr="00BC1643">
        <w:rPr>
          <w:i/>
          <w:color w:val="000000" w:themeColor="text1"/>
        </w:rPr>
        <w:t>o cuando realice la consulta de la misma en el lugar en el que ésta se localice.</w:t>
      </w:r>
    </w:p>
    <w:p w14:paraId="64671116" w14:textId="77777777" w:rsidR="003332A9" w:rsidRPr="00BC1643" w:rsidRDefault="00BE382A" w:rsidP="00B60C5F">
      <w:pPr>
        <w:spacing w:before="120" w:after="120" w:line="240" w:lineRule="auto"/>
        <w:rPr>
          <w:b/>
          <w:i/>
          <w:color w:val="000000" w:themeColor="text1"/>
        </w:rPr>
      </w:pPr>
      <w:r w:rsidRPr="00BC1643">
        <w:rPr>
          <w:b/>
          <w:i/>
          <w:color w:val="000000" w:themeColor="text1"/>
          <w:u w:val="single"/>
        </w:rPr>
        <w:t>La Unidad de Transparencia tendrá disponible la información solicitada</w:t>
      </w:r>
      <w:r w:rsidRPr="00BC1643">
        <w:rPr>
          <w:b/>
          <w:i/>
          <w:color w:val="000000" w:themeColor="text1"/>
        </w:rPr>
        <w:t>, durante un plazo mínimo de sesenta días hábiles, contado a partir de que el solicitante hubiere realizado, en su caso, el pago respectivo, el cual deberá efectuarse en un plazo no mayor a treinta días hábiles.</w:t>
      </w:r>
    </w:p>
    <w:p w14:paraId="61075F31" w14:textId="77777777" w:rsidR="003332A9" w:rsidRPr="00BC1643" w:rsidRDefault="00BE382A" w:rsidP="00B60C5F">
      <w:pPr>
        <w:spacing w:before="120" w:after="120" w:line="240" w:lineRule="auto"/>
        <w:rPr>
          <w:i/>
          <w:color w:val="000000" w:themeColor="text1"/>
        </w:rPr>
      </w:pPr>
      <w:r w:rsidRPr="00BC1643">
        <w:rPr>
          <w:i/>
          <w:color w:val="000000" w:themeColor="text1"/>
        </w:rPr>
        <w:lastRenderedPageBreak/>
        <w:t>Transcurridos dichos plazos, si los solicitantes no acuden a recibir la información requerida los sujetos obligados darán por concluida la solicitud y procederán, de ser el caso, a la destrucción del material en el que se reprodujo la información.</w:t>
      </w:r>
    </w:p>
    <w:p w14:paraId="72DBD1B6" w14:textId="77777777" w:rsidR="003332A9" w:rsidRPr="00BC1643" w:rsidRDefault="00BE382A" w:rsidP="00B60C5F">
      <w:pPr>
        <w:spacing w:before="120" w:after="120" w:line="240" w:lineRule="auto"/>
        <w:rPr>
          <w:i/>
          <w:color w:val="000000" w:themeColor="text1"/>
        </w:rPr>
      </w:pPr>
      <w:r w:rsidRPr="00BC1643">
        <w:rPr>
          <w:i/>
          <w:color w:val="000000" w:themeColor="text1"/>
        </w:rPr>
        <w:t>Cuando el sujeto obligado no entregue la respuesta a la solicitud dentro del plazo previsto en la Ley, la solicitud se entenderá negada y el solicitante podrá interponer el recurso de revisión previsto en este ordenamiento.</w:t>
      </w:r>
    </w:p>
    <w:p w14:paraId="76091712" w14:textId="77777777" w:rsidR="003332A9" w:rsidRPr="00BC1643" w:rsidRDefault="00BE382A" w:rsidP="00B60C5F">
      <w:pPr>
        <w:spacing w:before="120" w:after="120" w:line="240" w:lineRule="auto"/>
        <w:rPr>
          <w:i/>
          <w:color w:val="000000" w:themeColor="text1"/>
        </w:rPr>
      </w:pPr>
      <w:r w:rsidRPr="00BC1643">
        <w:rPr>
          <w:i/>
          <w:color w:val="000000" w:themeColor="text1"/>
        </w:rPr>
        <w:t>Una vez entregada la información, el solicitante acusará recibo por escrito, dándose por terminado el trámite de acceso a la información.”</w:t>
      </w:r>
    </w:p>
    <w:p w14:paraId="55C6F35E" w14:textId="77777777" w:rsidR="003332A9" w:rsidRPr="00BC1643" w:rsidRDefault="003332A9" w:rsidP="00B60C5F">
      <w:pPr>
        <w:spacing w:before="120" w:after="120" w:line="240" w:lineRule="auto"/>
        <w:rPr>
          <w:i/>
          <w:color w:val="000000" w:themeColor="text1"/>
        </w:rPr>
      </w:pPr>
    </w:p>
    <w:p w14:paraId="4C73314B"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Razón por la cual,</w:t>
      </w:r>
      <w:r w:rsidRPr="00BC1643">
        <w:rPr>
          <w:b/>
          <w:color w:val="000000" w:themeColor="text1"/>
        </w:rPr>
        <w:t xml:space="preserve"> </w:t>
      </w:r>
      <w:r w:rsidRPr="00BC1643">
        <w:rPr>
          <w:color w:val="000000" w:themeColor="text1"/>
        </w:rPr>
        <w:t xml:space="preserve">para dar cumplimiento a la presente resolución, el </w:t>
      </w:r>
      <w:r w:rsidRPr="00BC1643">
        <w:rPr>
          <w:b/>
          <w:color w:val="000000" w:themeColor="text1"/>
        </w:rPr>
        <w:t>SUJETO OBLIGADO</w:t>
      </w:r>
      <w:r w:rsidRPr="00BC1643">
        <w:rPr>
          <w:color w:val="000000" w:themeColor="text1"/>
        </w:rPr>
        <w:t xml:space="preserve"> deberá hacer del conocimiento de la parte </w:t>
      </w:r>
      <w:r w:rsidRPr="00BC1643">
        <w:rPr>
          <w:b/>
          <w:color w:val="000000" w:themeColor="text1"/>
        </w:rPr>
        <w:t>RECURRENTE</w:t>
      </w:r>
      <w:r w:rsidRPr="00BC1643">
        <w:rPr>
          <w:color w:val="000000" w:themeColor="text1"/>
        </w:rPr>
        <w:t xml:space="preserve">, vía </w:t>
      </w:r>
      <w:r w:rsidR="00400847" w:rsidRPr="00BC1643">
        <w:rPr>
          <w:color w:val="000000" w:themeColor="text1"/>
        </w:rPr>
        <w:t>SARCOEM</w:t>
      </w:r>
      <w:r w:rsidRPr="00BC1643">
        <w:rPr>
          <w:color w:val="000000" w:themeColor="text1"/>
        </w:rPr>
        <w:t xml:space="preserve">, </w:t>
      </w:r>
      <w:r w:rsidRPr="00BC1643">
        <w:rPr>
          <w:b/>
          <w:color w:val="000000" w:themeColor="text1"/>
          <w:u w:val="single"/>
        </w:rPr>
        <w:t>el costo por la reproducción y certificación de la información requerida</w:t>
      </w:r>
      <w:r w:rsidRPr="00BC1643">
        <w:rPr>
          <w:color w:val="000000" w:themeColor="text1"/>
        </w:rPr>
        <w:t>, así 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14:paraId="7A36E368" w14:textId="77777777" w:rsidR="003332A9" w:rsidRPr="00BC1643" w:rsidRDefault="003332A9" w:rsidP="00B60C5F">
      <w:pPr>
        <w:spacing w:after="40"/>
        <w:rPr>
          <w:color w:val="000000" w:themeColor="text1"/>
        </w:rPr>
      </w:pPr>
    </w:p>
    <w:p w14:paraId="26BF12D4"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 xml:space="preserve">Ahora bien, conviene señalar que si bien dicha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la información la certificación </w:t>
      </w:r>
      <w:r w:rsidRPr="00BC1643">
        <w:rPr>
          <w:b/>
          <w:color w:val="000000" w:themeColor="text1"/>
        </w:rPr>
        <w:t>únicamente por efecto constata que la copia certificada que se entrega es una reproducción fiel del documento -original o copia simple- que obra en los archivos de la dependencia</w:t>
      </w:r>
      <w:r w:rsidRPr="00BC1643">
        <w:rPr>
          <w:color w:val="000000" w:themeColor="text1"/>
        </w:rPr>
        <w:t xml:space="preserve"> o entidad requerida, en ese orden de ideas, </w:t>
      </w:r>
      <w:r w:rsidRPr="00BC1643">
        <w:rPr>
          <w:b/>
          <w:color w:val="000000" w:themeColor="text1"/>
          <w:u w:val="single"/>
        </w:rPr>
        <w:t>la certificación, para efectos de acceso a la información, no tiene como propósito que el documento certificado haga las veces de un original,</w:t>
      </w:r>
      <w:r w:rsidRPr="00BC1643">
        <w:rPr>
          <w:color w:val="000000" w:themeColor="text1"/>
        </w:rPr>
        <w:t xml:space="preserve"> sino dejar evidencia de que los documentos obran en los archivos de los sujetos obligados, tal cual se encuentran, lo cual deberá quedar precisado en la leyenda de certificación correspondiente. </w:t>
      </w:r>
    </w:p>
    <w:p w14:paraId="03E6EE14"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lastRenderedPageBreak/>
        <w:t xml:space="preserve">Sirve de fundamentación a lo antes expresado, el criterio 06/2017 vigente a la fecha de la solicitud de información, emitido por el Instituto Nacional de Transparencia, Acceso a la Información y Protección de Datos Personales: </w:t>
      </w:r>
    </w:p>
    <w:p w14:paraId="66553B6A" w14:textId="77777777" w:rsidR="003332A9" w:rsidRPr="00BC1643" w:rsidRDefault="00BE382A" w:rsidP="00B60C5F">
      <w:pPr>
        <w:spacing w:line="240" w:lineRule="auto"/>
        <w:rPr>
          <w:i/>
          <w:color w:val="000000" w:themeColor="text1"/>
        </w:rPr>
      </w:pPr>
      <w:r w:rsidRPr="00BC1643">
        <w:rPr>
          <w:b/>
          <w:i/>
          <w:color w:val="000000" w:themeColor="text1"/>
        </w:rPr>
        <w:t xml:space="preserve">Copias certificadas, como modalidad de entrega en la Ley Federal de Transparencia y Acceso a la Información Pública corrobora que el documento es una copia fiel del que obra en los archivos del sujeto obligado. </w:t>
      </w:r>
      <w:r w:rsidRPr="00BC1643">
        <w:rPr>
          <w:i/>
          <w:color w:val="000000" w:themeColor="text1"/>
        </w:rPr>
        <w:t>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6ED5445F" w14:textId="77777777" w:rsidR="003332A9" w:rsidRPr="00BC1643" w:rsidRDefault="003332A9" w:rsidP="00B60C5F">
      <w:pPr>
        <w:rPr>
          <w:i/>
          <w:color w:val="000000" w:themeColor="text1"/>
        </w:rPr>
      </w:pPr>
    </w:p>
    <w:p w14:paraId="06ACDBD0" w14:textId="77777777" w:rsidR="003332A9" w:rsidRPr="00BC1643"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Por las circunstancias específicas de haber sido solicitada la información de manera certificada, ésta tiene que ser entregada/remitida de manera física a efecto de satisfacer dicha modalidad.</w:t>
      </w:r>
    </w:p>
    <w:p w14:paraId="3079723C" w14:textId="77777777" w:rsidR="003332A9" w:rsidRPr="00BC1643" w:rsidRDefault="003332A9" w:rsidP="00B60C5F">
      <w:pPr>
        <w:pBdr>
          <w:top w:val="nil"/>
          <w:left w:val="nil"/>
          <w:bottom w:val="nil"/>
          <w:right w:val="nil"/>
          <w:between w:val="nil"/>
        </w:pBdr>
        <w:spacing w:line="240" w:lineRule="auto"/>
        <w:rPr>
          <w:rFonts w:eastAsia="Times New Roman" w:cs="Times New Roman"/>
          <w:color w:val="000000" w:themeColor="text1"/>
        </w:rPr>
      </w:pPr>
    </w:p>
    <w:p w14:paraId="3E204010" w14:textId="37E2E8CD" w:rsidR="003332A9" w:rsidRDefault="00BE382A" w:rsidP="00B60C5F">
      <w:pPr>
        <w:numPr>
          <w:ilvl w:val="0"/>
          <w:numId w:val="1"/>
        </w:numPr>
        <w:pBdr>
          <w:top w:val="nil"/>
          <w:left w:val="nil"/>
          <w:bottom w:val="nil"/>
          <w:right w:val="nil"/>
          <w:between w:val="nil"/>
        </w:pBdr>
        <w:tabs>
          <w:tab w:val="left" w:pos="0"/>
        </w:tabs>
        <w:ind w:left="0" w:firstLine="0"/>
        <w:rPr>
          <w:color w:val="000000" w:themeColor="text1"/>
        </w:rPr>
      </w:pPr>
      <w:r w:rsidRPr="00BC1643">
        <w:rPr>
          <w:color w:val="000000" w:themeColor="text1"/>
        </w:rPr>
        <w:t>Así, con fundamento en lo prescrito en los artículos 5, trigésimo tercero y trigésimo cuarto, fracciones IV y V de la Constitución Política del Estado Libre y Soberano de México y los artículos 2 fracción II, 11, 81, 82 fracciones I y III, 127, 128, 129, 133 y 137 de la Ley de Protección de Datos Personales en Posesión de Sujetos Obligados del Estado de México; 185 y 188 de la Ley de Transparencia y Acceso a la Información Pública del Estado de México y Municipios de aplicación supletoria en materia del ejercicios de los derechos de acceso, rectificación, cancelación y oposición de datos personales, este Pleno:</w:t>
      </w:r>
      <w:r w:rsidR="00FA243D">
        <w:rPr>
          <w:color w:val="000000" w:themeColor="text1"/>
        </w:rPr>
        <w:t>----------------</w:t>
      </w:r>
    </w:p>
    <w:p w14:paraId="6EF50D26" w14:textId="77777777" w:rsidR="00FA243D" w:rsidRDefault="00FA243D" w:rsidP="00FA243D">
      <w:pPr>
        <w:pStyle w:val="Prrafodelista"/>
        <w:rPr>
          <w:color w:val="000000" w:themeColor="text1"/>
        </w:rPr>
      </w:pPr>
    </w:p>
    <w:p w14:paraId="1709D31F" w14:textId="77777777" w:rsidR="00FA243D" w:rsidRPr="00BC1643" w:rsidRDefault="00FA243D" w:rsidP="00FA243D">
      <w:pPr>
        <w:pBdr>
          <w:top w:val="nil"/>
          <w:left w:val="nil"/>
          <w:bottom w:val="nil"/>
          <w:right w:val="nil"/>
          <w:between w:val="nil"/>
        </w:pBdr>
        <w:tabs>
          <w:tab w:val="left" w:pos="0"/>
        </w:tabs>
        <w:rPr>
          <w:color w:val="000000" w:themeColor="text1"/>
        </w:rPr>
      </w:pPr>
    </w:p>
    <w:p w14:paraId="382C4787" w14:textId="77777777" w:rsidR="003332A9" w:rsidRPr="00BC1643" w:rsidRDefault="00BE382A" w:rsidP="00B60C5F">
      <w:pPr>
        <w:jc w:val="center"/>
        <w:rPr>
          <w:b/>
          <w:color w:val="000000" w:themeColor="text1"/>
        </w:rPr>
      </w:pPr>
      <w:r w:rsidRPr="00BC1643">
        <w:rPr>
          <w:b/>
          <w:color w:val="000000" w:themeColor="text1"/>
        </w:rPr>
        <w:lastRenderedPageBreak/>
        <w:t>R E S U E L V E</w:t>
      </w:r>
    </w:p>
    <w:p w14:paraId="15C0CF07" w14:textId="77777777" w:rsidR="003332A9" w:rsidRPr="00BC1643" w:rsidRDefault="003332A9" w:rsidP="00B60C5F">
      <w:pPr>
        <w:rPr>
          <w:color w:val="000000" w:themeColor="text1"/>
        </w:rPr>
      </w:pPr>
    </w:p>
    <w:p w14:paraId="20D2EFE0" w14:textId="08CA2718" w:rsidR="003332A9" w:rsidRPr="00BC1643" w:rsidRDefault="00BE382A" w:rsidP="00B60C5F">
      <w:pPr>
        <w:rPr>
          <w:color w:val="000000" w:themeColor="text1"/>
        </w:rPr>
      </w:pPr>
      <w:r w:rsidRPr="00BC1643">
        <w:rPr>
          <w:b/>
          <w:color w:val="000000" w:themeColor="text1"/>
        </w:rPr>
        <w:t>PRIMERO.</w:t>
      </w:r>
      <w:r w:rsidRPr="00BC1643">
        <w:rPr>
          <w:color w:val="000000" w:themeColor="text1"/>
        </w:rPr>
        <w:t xml:space="preserve"> Resultan fundadas las razones o motivos de </w:t>
      </w:r>
      <w:r w:rsidR="006311A4" w:rsidRPr="00BC1643">
        <w:rPr>
          <w:color w:val="000000" w:themeColor="text1"/>
        </w:rPr>
        <w:t xml:space="preserve">inconformidad hechos valer por </w:t>
      </w:r>
      <w:r w:rsidRPr="00BC1643">
        <w:rPr>
          <w:color w:val="000000" w:themeColor="text1"/>
        </w:rPr>
        <w:t>l</w:t>
      </w:r>
      <w:r w:rsidR="006311A4" w:rsidRPr="00BC1643">
        <w:rPr>
          <w:color w:val="000000" w:themeColor="text1"/>
        </w:rPr>
        <w:t>a</w:t>
      </w:r>
      <w:r w:rsidRPr="00BC1643">
        <w:rPr>
          <w:color w:val="000000" w:themeColor="text1"/>
        </w:rPr>
        <w:t xml:space="preserve"> Recurrente</w:t>
      </w:r>
      <w:r w:rsidRPr="00BC1643">
        <w:rPr>
          <w:b/>
          <w:color w:val="000000" w:themeColor="text1"/>
        </w:rPr>
        <w:t>,</w:t>
      </w:r>
      <w:r w:rsidRPr="00BC1643">
        <w:rPr>
          <w:color w:val="000000" w:themeColor="text1"/>
        </w:rPr>
        <w:t xml:space="preserve"> en términos del </w:t>
      </w:r>
      <w:r w:rsidRPr="00BC1643">
        <w:rPr>
          <w:b/>
          <w:color w:val="000000" w:themeColor="text1"/>
        </w:rPr>
        <w:t xml:space="preserve">Considerando CUARTO </w:t>
      </w:r>
      <w:r w:rsidRPr="00BC1643">
        <w:rPr>
          <w:color w:val="000000" w:themeColor="text1"/>
        </w:rPr>
        <w:t>de la presente resolución.</w:t>
      </w:r>
    </w:p>
    <w:p w14:paraId="57491DEB" w14:textId="77777777" w:rsidR="003332A9" w:rsidRPr="00BC1643" w:rsidRDefault="003332A9" w:rsidP="00B60C5F">
      <w:pPr>
        <w:rPr>
          <w:color w:val="000000" w:themeColor="text1"/>
        </w:rPr>
      </w:pPr>
    </w:p>
    <w:p w14:paraId="2B0DAD65" w14:textId="4FBC946B" w:rsidR="003332A9" w:rsidRPr="00BC1643" w:rsidRDefault="00BE382A" w:rsidP="00B60C5F">
      <w:pPr>
        <w:rPr>
          <w:color w:val="000000" w:themeColor="text1"/>
        </w:rPr>
      </w:pPr>
      <w:r w:rsidRPr="00BC1643">
        <w:rPr>
          <w:b/>
          <w:color w:val="000000" w:themeColor="text1"/>
        </w:rPr>
        <w:t xml:space="preserve">SEGUNDO. </w:t>
      </w:r>
      <w:r w:rsidRPr="00BC1643">
        <w:rPr>
          <w:color w:val="000000" w:themeColor="text1"/>
        </w:rPr>
        <w:t>Se</w:t>
      </w:r>
      <w:r w:rsidRPr="00BC1643">
        <w:rPr>
          <w:b/>
          <w:color w:val="000000" w:themeColor="text1"/>
        </w:rPr>
        <w:t xml:space="preserve"> ORDENA </w:t>
      </w:r>
      <w:r w:rsidRPr="00BC1643">
        <w:rPr>
          <w:color w:val="000000" w:themeColor="text1"/>
        </w:rPr>
        <w:t>al Sujeto Obligado que</w:t>
      </w:r>
      <w:r w:rsidRPr="00BC1643">
        <w:rPr>
          <w:b/>
          <w:color w:val="000000" w:themeColor="text1"/>
        </w:rPr>
        <w:t xml:space="preserve"> </w:t>
      </w:r>
      <w:r w:rsidRPr="00BC1643">
        <w:rPr>
          <w:color w:val="000000" w:themeColor="text1"/>
        </w:rPr>
        <w:t xml:space="preserve">atienda la solicitud de acceso a datos personales </w:t>
      </w:r>
      <w:r w:rsidRPr="00BC1643">
        <w:rPr>
          <w:b/>
          <w:color w:val="000000" w:themeColor="text1"/>
        </w:rPr>
        <w:t xml:space="preserve">00004/TRIECA/AD/2024 </w:t>
      </w:r>
      <w:r w:rsidRPr="00BC1643">
        <w:rPr>
          <w:color w:val="000000" w:themeColor="text1"/>
        </w:rPr>
        <w:t xml:space="preserve">en términos del </w:t>
      </w:r>
      <w:r w:rsidRPr="00BC1643">
        <w:rPr>
          <w:b/>
          <w:color w:val="000000" w:themeColor="text1"/>
        </w:rPr>
        <w:t xml:space="preserve">Considerando CUARTO </w:t>
      </w:r>
      <w:r w:rsidRPr="00BC1643">
        <w:rPr>
          <w:color w:val="000000" w:themeColor="text1"/>
        </w:rPr>
        <w:t xml:space="preserve">de esta resolución; en copias certificadas (sin costo) de resultar aplicable, previa acreditación de identidad, de lo siguiente: </w:t>
      </w:r>
    </w:p>
    <w:p w14:paraId="46C1BA2E" w14:textId="77777777" w:rsidR="003332A9" w:rsidRPr="00BC1643" w:rsidRDefault="003332A9" w:rsidP="00B60C5F">
      <w:pPr>
        <w:rPr>
          <w:b/>
          <w:color w:val="000000" w:themeColor="text1"/>
        </w:rPr>
      </w:pPr>
    </w:p>
    <w:p w14:paraId="11106349" w14:textId="77777777" w:rsidR="003332A9" w:rsidRPr="00BC1643" w:rsidRDefault="00BE382A" w:rsidP="00B60C5F">
      <w:pPr>
        <w:pStyle w:val="Prrafodelista"/>
        <w:numPr>
          <w:ilvl w:val="0"/>
          <w:numId w:val="2"/>
        </w:numPr>
        <w:ind w:left="0"/>
        <w:rPr>
          <w:rFonts w:ascii="Palatino Linotype" w:hAnsi="Palatino Linotype"/>
          <w:b/>
          <w:color w:val="000000" w:themeColor="text1"/>
        </w:rPr>
      </w:pPr>
      <w:r w:rsidRPr="00BC1643">
        <w:rPr>
          <w:rFonts w:ascii="Palatino Linotype" w:eastAsia="Palatino Linotype" w:hAnsi="Palatino Linotype" w:cs="Palatino Linotype"/>
          <w:b/>
          <w:color w:val="000000" w:themeColor="text1"/>
        </w:rPr>
        <w:t xml:space="preserve">Acta de fecha ocho de octubre de dos mil veinticuatro, contenida dentro del Juicio Laboral SAT32/2024 del índice de la Sala Auxiliar de Tlalnepantla. </w:t>
      </w:r>
    </w:p>
    <w:p w14:paraId="3CBDA290" w14:textId="77777777" w:rsidR="003332A9" w:rsidRPr="00BC1643" w:rsidRDefault="003332A9" w:rsidP="00B60C5F">
      <w:pPr>
        <w:rPr>
          <w:color w:val="000000" w:themeColor="text1"/>
        </w:rPr>
      </w:pPr>
    </w:p>
    <w:p w14:paraId="52124D3F" w14:textId="18D17617" w:rsidR="003332A9" w:rsidRPr="00BC1643" w:rsidRDefault="00BE382A" w:rsidP="00B60C5F">
      <w:pPr>
        <w:rPr>
          <w:color w:val="000000" w:themeColor="text1"/>
        </w:rPr>
      </w:pPr>
      <w:r w:rsidRPr="00BC1643">
        <w:rPr>
          <w:color w:val="000000" w:themeColor="text1"/>
        </w:rPr>
        <w:t>Para la acreditación de la identidad y entrega de la documentación, la Unidad de Transparencia deberá indicar a</w:t>
      </w:r>
      <w:r w:rsidR="006311A4" w:rsidRPr="00BC1643">
        <w:rPr>
          <w:color w:val="000000" w:themeColor="text1"/>
        </w:rPr>
        <w:t xml:space="preserve"> </w:t>
      </w:r>
      <w:r w:rsidRPr="00BC1643">
        <w:rPr>
          <w:color w:val="000000" w:themeColor="text1"/>
        </w:rPr>
        <w:t>l</w:t>
      </w:r>
      <w:r w:rsidR="006311A4" w:rsidRPr="00BC1643">
        <w:rPr>
          <w:color w:val="000000" w:themeColor="text1"/>
        </w:rPr>
        <w:t>a</w:t>
      </w:r>
      <w:r w:rsidRPr="00BC1643">
        <w:rPr>
          <w:color w:val="000000" w:themeColor="text1"/>
        </w:rPr>
        <w:t xml:space="preserve"> RECURRENTE, a través del </w:t>
      </w:r>
      <w:r w:rsidR="00400847" w:rsidRPr="00BC1643">
        <w:rPr>
          <w:color w:val="000000" w:themeColor="text1"/>
        </w:rPr>
        <w:t>SARCOEM</w:t>
      </w:r>
      <w:r w:rsidRPr="00BC1643">
        <w:rPr>
          <w:color w:val="000000" w:themeColor="text1"/>
        </w:rPr>
        <w:t xml:space="preserve">, los días, horarios, y ubicación, así como el nombre del servidor público que le atenderá, a efecto de corroborar que exista identidad entre la solicitante, de Acceso a Datos Personales y la identificación exhibida a través del </w:t>
      </w:r>
      <w:r w:rsidR="00400847" w:rsidRPr="00BC1643">
        <w:rPr>
          <w:color w:val="000000" w:themeColor="text1"/>
        </w:rPr>
        <w:t>SARCOEM</w:t>
      </w:r>
      <w:r w:rsidRPr="00BC1643">
        <w:rPr>
          <w:color w:val="000000" w:themeColor="text1"/>
        </w:rPr>
        <w:t>.</w:t>
      </w:r>
    </w:p>
    <w:p w14:paraId="232A490C" w14:textId="77777777" w:rsidR="009F3D7C" w:rsidRPr="00BC1643" w:rsidRDefault="009F3D7C" w:rsidP="00B60C5F">
      <w:pPr>
        <w:rPr>
          <w:color w:val="000000" w:themeColor="text1"/>
        </w:rPr>
      </w:pPr>
    </w:p>
    <w:p w14:paraId="28411F10" w14:textId="77777777" w:rsidR="003332A9" w:rsidRPr="00BC1643" w:rsidRDefault="009F3D7C" w:rsidP="00B60C5F">
      <w:pPr>
        <w:rPr>
          <w:color w:val="000000" w:themeColor="text1"/>
        </w:rPr>
      </w:pPr>
      <w:r w:rsidRPr="00BC1643">
        <w:rPr>
          <w:color w:val="000000" w:themeColor="text1"/>
        </w:rPr>
        <w:t xml:space="preserve">De ser el caso que la información solicitada por la </w:t>
      </w:r>
      <w:r w:rsidRPr="00BC1643">
        <w:rPr>
          <w:b/>
          <w:color w:val="000000" w:themeColor="text1"/>
        </w:rPr>
        <w:t xml:space="preserve">RECURRENTE </w:t>
      </w:r>
      <w:r w:rsidRPr="00BC1643">
        <w:rPr>
          <w:color w:val="000000" w:themeColor="text1"/>
        </w:rPr>
        <w:t xml:space="preserve">no obre en los archivos del </w:t>
      </w:r>
      <w:r w:rsidRPr="00BC1643">
        <w:rPr>
          <w:b/>
          <w:color w:val="000000" w:themeColor="text1"/>
        </w:rPr>
        <w:t xml:space="preserve">SUJETO OBLIGADO </w:t>
      </w:r>
      <w:r w:rsidRPr="00BC1643">
        <w:rPr>
          <w:color w:val="000000" w:themeColor="text1"/>
        </w:rPr>
        <w:t xml:space="preserve">por no haberse generado, poseído o administrado, bastará con sé que se haga del conocimiento de la </w:t>
      </w:r>
      <w:r w:rsidRPr="00BC1643">
        <w:rPr>
          <w:b/>
          <w:color w:val="000000" w:themeColor="text1"/>
        </w:rPr>
        <w:t xml:space="preserve">RECURRENTE </w:t>
      </w:r>
      <w:r w:rsidRPr="00BC1643">
        <w:rPr>
          <w:color w:val="000000" w:themeColor="text1"/>
        </w:rPr>
        <w:t xml:space="preserve">de acuerdo con el artículo 19 párrafo segundo de la Ley de Transparencia y Acceso a la Información Pública del Estado de México y Municipios. </w:t>
      </w:r>
    </w:p>
    <w:p w14:paraId="65516A26" w14:textId="77777777" w:rsidR="003332A9" w:rsidRPr="00BC1643" w:rsidRDefault="003332A9" w:rsidP="00B60C5F">
      <w:pPr>
        <w:pBdr>
          <w:top w:val="nil"/>
          <w:left w:val="nil"/>
          <w:bottom w:val="nil"/>
          <w:right w:val="nil"/>
          <w:between w:val="nil"/>
        </w:pBdr>
        <w:spacing w:line="240" w:lineRule="auto"/>
        <w:rPr>
          <w:rFonts w:eastAsia="Times New Roman" w:cs="Times New Roman"/>
          <w:color w:val="000000" w:themeColor="text1"/>
        </w:rPr>
      </w:pPr>
    </w:p>
    <w:p w14:paraId="7F621CA0" w14:textId="77777777" w:rsidR="003332A9" w:rsidRPr="00BC1643" w:rsidRDefault="00BE382A" w:rsidP="00B60C5F">
      <w:pPr>
        <w:rPr>
          <w:color w:val="000000" w:themeColor="text1"/>
        </w:rPr>
      </w:pPr>
      <w:r w:rsidRPr="00BC1643">
        <w:rPr>
          <w:b/>
          <w:color w:val="000000" w:themeColor="text1"/>
        </w:rPr>
        <w:t xml:space="preserve">TERCERO. NOTIFÍQUESE POR SARCOEM. </w:t>
      </w:r>
      <w:r w:rsidRPr="00BC1643">
        <w:rPr>
          <w:color w:val="000000" w:themeColor="text1"/>
        </w:rPr>
        <w:t xml:space="preserve">la presente resolución al Titular de la Unidad de Transparencia del Sujeto Obligado, para que conforme al artículo 137, segundo </w:t>
      </w:r>
      <w:r w:rsidRPr="00BC1643">
        <w:rPr>
          <w:color w:val="000000" w:themeColor="text1"/>
        </w:rPr>
        <w:lastRenderedPageBreak/>
        <w:t xml:space="preserve">párrafo y 141 de la Ley de Protección de Datos Personales en Posesión de Sujetos Obligados del Estado de México y Municipios, </w:t>
      </w:r>
      <w:r w:rsidRPr="00BC1643">
        <w:rPr>
          <w:b/>
          <w:color w:val="000000" w:themeColor="text1"/>
        </w:rPr>
        <w:t>dé cumplimiento a lo ordenado dentro del plazo de diez días hábiles</w:t>
      </w:r>
      <w:r w:rsidRPr="00BC1643">
        <w:rPr>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F12ABF" w14:textId="77777777" w:rsidR="003332A9" w:rsidRPr="00BC1643" w:rsidRDefault="003332A9" w:rsidP="00B60C5F">
      <w:pPr>
        <w:rPr>
          <w:color w:val="000000" w:themeColor="text1"/>
        </w:rPr>
      </w:pPr>
    </w:p>
    <w:p w14:paraId="0AB7E8FB" w14:textId="77777777" w:rsidR="006311A4" w:rsidRPr="00BC1643" w:rsidRDefault="00BE382A" w:rsidP="00B60C5F">
      <w:pPr>
        <w:rPr>
          <w:color w:val="000000" w:themeColor="text1"/>
        </w:rPr>
      </w:pPr>
      <w:r w:rsidRPr="00BC1643">
        <w:rPr>
          <w:b/>
          <w:color w:val="000000" w:themeColor="text1"/>
        </w:rPr>
        <w:t xml:space="preserve">CUARTO. NOTIFÍQUESE POR SARCOEM </w:t>
      </w:r>
      <w:r w:rsidRPr="00BC1643">
        <w:rPr>
          <w:color w:val="000000" w:themeColor="text1"/>
        </w:rPr>
        <w:t>a la persona Rec</w:t>
      </w:r>
      <w:r w:rsidR="006311A4" w:rsidRPr="00BC1643">
        <w:rPr>
          <w:color w:val="000000" w:themeColor="text1"/>
        </w:rPr>
        <w:t>urrente la presente Resolución.</w:t>
      </w:r>
    </w:p>
    <w:p w14:paraId="3FC33CFE" w14:textId="77777777" w:rsidR="006311A4" w:rsidRPr="00BC1643" w:rsidRDefault="006311A4" w:rsidP="00B60C5F">
      <w:pPr>
        <w:rPr>
          <w:color w:val="000000" w:themeColor="text1"/>
        </w:rPr>
      </w:pPr>
    </w:p>
    <w:p w14:paraId="4C01CEB5" w14:textId="579BAB6C" w:rsidR="003332A9" w:rsidRPr="00BC1643" w:rsidRDefault="006311A4" w:rsidP="00B60C5F">
      <w:pPr>
        <w:rPr>
          <w:color w:val="000000" w:themeColor="text1"/>
        </w:rPr>
      </w:pPr>
      <w:r w:rsidRPr="00BC1643">
        <w:rPr>
          <w:b/>
          <w:color w:val="000000" w:themeColor="text1"/>
        </w:rPr>
        <w:t xml:space="preserve">QUINTO. </w:t>
      </w:r>
      <w:r w:rsidRPr="00BC1643">
        <w:rPr>
          <w:color w:val="000000" w:themeColor="text1"/>
        </w:rPr>
        <w:t>A</w:t>
      </w:r>
      <w:r w:rsidR="00BE382A" w:rsidRPr="00BC1643">
        <w:rPr>
          <w:color w:val="000000" w:themeColor="text1"/>
        </w:rPr>
        <w:t>simismo</w:t>
      </w:r>
      <w:r w:rsidRPr="00BC1643">
        <w:rPr>
          <w:color w:val="000000" w:themeColor="text1"/>
        </w:rPr>
        <w:t xml:space="preserve"> </w:t>
      </w:r>
      <w:r w:rsidR="00BE382A" w:rsidRPr="00BC1643">
        <w:rPr>
          <w:color w:val="000000" w:themeColor="text1"/>
        </w:rPr>
        <w:t>se hace de</w:t>
      </w:r>
      <w:r w:rsidRPr="00BC1643">
        <w:rPr>
          <w:color w:val="000000" w:themeColor="text1"/>
        </w:rPr>
        <w:t xml:space="preserve">l conocimiento de </w:t>
      </w:r>
      <w:r w:rsidRPr="00BC1643">
        <w:rPr>
          <w:b/>
          <w:color w:val="000000" w:themeColor="text1"/>
        </w:rPr>
        <w:t>la RECURRENTE</w:t>
      </w:r>
      <w:r w:rsidRPr="00BC1643">
        <w:rPr>
          <w:color w:val="000000" w:themeColor="text1"/>
        </w:rPr>
        <w:t xml:space="preserve"> </w:t>
      </w:r>
      <w:r w:rsidR="00BE382A" w:rsidRPr="00BC1643">
        <w:rPr>
          <w:color w:val="000000" w:themeColor="text1"/>
        </w:rPr>
        <w:t>que de conformidad con lo establecido en el artículo 142 de la Ley de Protección de Datos Personales en Posesión de Sujetos Obligados del Estado de México y Municipios</w:t>
      </w:r>
      <w:r w:rsidR="00BE382A" w:rsidRPr="00BC1643">
        <w:rPr>
          <w:b/>
          <w:color w:val="000000" w:themeColor="text1"/>
        </w:rPr>
        <w:t xml:space="preserve"> </w:t>
      </w:r>
      <w:r w:rsidR="00BE382A" w:rsidRPr="00BC1643">
        <w:rPr>
          <w:color w:val="000000" w:themeColor="text1"/>
        </w:rPr>
        <w:t>podrá promover el Juicio de Amparo, en términos de las leyes aplicables.</w:t>
      </w:r>
    </w:p>
    <w:p w14:paraId="7C63D030" w14:textId="77777777" w:rsidR="003332A9" w:rsidRPr="00BC1643" w:rsidRDefault="003332A9" w:rsidP="00B60C5F">
      <w:pPr>
        <w:rPr>
          <w:color w:val="000000" w:themeColor="text1"/>
        </w:rPr>
      </w:pPr>
    </w:p>
    <w:p w14:paraId="1C36CADC" w14:textId="0FCCE8D4" w:rsidR="003332A9" w:rsidRPr="00BC1643" w:rsidRDefault="00FA243D" w:rsidP="00B60C5F">
      <w:pPr>
        <w:pBdr>
          <w:top w:val="nil"/>
          <w:left w:val="nil"/>
          <w:bottom w:val="nil"/>
          <w:right w:val="nil"/>
          <w:between w:val="nil"/>
        </w:pBdr>
        <w:rPr>
          <w:color w:val="000000" w:themeColor="text1"/>
        </w:rPr>
      </w:pPr>
      <w:bookmarkStart w:id="1" w:name="_heading=h.gjdgxs" w:colFirst="0" w:colLast="0"/>
      <w:bookmarkEnd w:id="1"/>
      <w:r>
        <w:rPr>
          <w:b/>
          <w:color w:val="000000" w:themeColor="text1"/>
        </w:rPr>
        <w:t>SEXTO</w:t>
      </w:r>
      <w:r w:rsidR="00BE382A" w:rsidRPr="00BC1643">
        <w:rPr>
          <w:b/>
          <w:color w:val="000000" w:themeColor="text1"/>
        </w:rPr>
        <w:t xml:space="preserve">. Gírese </w:t>
      </w:r>
      <w:r w:rsidR="00BE382A" w:rsidRPr="00BC1643">
        <w:rPr>
          <w:color w:val="000000" w:themeColor="text1"/>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BE382A" w:rsidRPr="00BC1643">
        <w:rPr>
          <w:b/>
          <w:color w:val="000000" w:themeColor="text1"/>
        </w:rPr>
        <w:t xml:space="preserve"> Considerando CUARTO </w:t>
      </w:r>
      <w:r w:rsidR="00BE382A" w:rsidRPr="00BC1643">
        <w:rPr>
          <w:color w:val="000000" w:themeColor="text1"/>
        </w:rPr>
        <w:t>de la presente resolución.</w:t>
      </w:r>
    </w:p>
    <w:p w14:paraId="7D11127D" w14:textId="77777777" w:rsidR="003332A9" w:rsidRPr="00BC1643" w:rsidRDefault="003332A9" w:rsidP="00B60C5F">
      <w:pPr>
        <w:rPr>
          <w:color w:val="000000" w:themeColor="text1"/>
        </w:rPr>
      </w:pPr>
    </w:p>
    <w:p w14:paraId="12FF4AEF" w14:textId="173BA1E6" w:rsidR="003332A9" w:rsidRPr="00B60C5F" w:rsidRDefault="006311A4" w:rsidP="00B60C5F">
      <w:pPr>
        <w:pBdr>
          <w:top w:val="nil"/>
          <w:left w:val="nil"/>
          <w:bottom w:val="nil"/>
          <w:right w:val="nil"/>
          <w:between w:val="nil"/>
        </w:pBdr>
        <w:rPr>
          <w:color w:val="000000" w:themeColor="text1"/>
        </w:rPr>
      </w:pPr>
      <w:r w:rsidRPr="00BC1643">
        <w:rPr>
          <w:color w:val="000000" w:themeColor="text1"/>
        </w:rPr>
        <w:lastRenderedPageBreak/>
        <w:t xml:space="preserve">ASÍ LO RESUELVE, POR </w:t>
      </w:r>
      <w:r w:rsidR="008C341B" w:rsidRPr="00BC1643">
        <w:rPr>
          <w:color w:val="000000" w:themeColor="text1"/>
        </w:rPr>
        <w:t xml:space="preserve">MAYORÍA </w:t>
      </w:r>
      <w:r w:rsidRPr="00BC1643">
        <w:rPr>
          <w:color w:val="000000" w:themeColor="text1"/>
        </w:rPr>
        <w:t>DE VOTOS, EL PLENO DEL INSTITUTO DE TRANSPARENCIA, ACCESO A LA INFORMACIÓN PÚBLICA Y PROTECCIÓN DE DATOS PERSONALES DEL ESTADO DE MÉXICO Y MUNICIPIOS, CONFORMADO POR LOS COMISIONADOS JOSÉ MARTÍNEZ VILCHIS</w:t>
      </w:r>
      <w:r w:rsidR="008C341B" w:rsidRPr="00BC1643">
        <w:rPr>
          <w:color w:val="000000" w:themeColor="text1"/>
        </w:rPr>
        <w:t xml:space="preserve"> EMITIENDO VOTO PARTICULAR CONCURRENTE</w:t>
      </w:r>
      <w:r w:rsidRPr="00BC1643">
        <w:rPr>
          <w:color w:val="000000" w:themeColor="text1"/>
        </w:rPr>
        <w:t>, MARÍA DEL ROSARIO MEJÍA AYALA, SHARON CRISTINA MORALES MARTÍNEZ, LUIS GUSTAVO PARRA NORIEGA</w:t>
      </w:r>
      <w:r w:rsidR="008C341B" w:rsidRPr="00BC1643">
        <w:rPr>
          <w:color w:val="000000" w:themeColor="text1"/>
        </w:rPr>
        <w:t xml:space="preserve"> EMITIENDO VOTO DISIDENTE </w:t>
      </w:r>
      <w:r w:rsidRPr="00BC1643">
        <w:rPr>
          <w:color w:val="000000" w:themeColor="text1"/>
        </w:rPr>
        <w:t>Y GUADALUPE RAMÍREZ PEÑA</w:t>
      </w:r>
      <w:r w:rsidR="008C341B" w:rsidRPr="00BC1643">
        <w:rPr>
          <w:color w:val="000000" w:themeColor="text1"/>
        </w:rPr>
        <w:t xml:space="preserve"> EMITIENDO VOTO PARTICULAR CONCURRENTE</w:t>
      </w:r>
      <w:r w:rsidRPr="00BC1643">
        <w:rPr>
          <w:color w:val="000000" w:themeColor="text1"/>
        </w:rPr>
        <w:t>; EN LA VIGÉSIMA SESIÓN ORDINARIA, CELEBRADA EL CUATRO (04) DE JUNIO DE DOS MIL VEINTICINCO, ANTE EL SECRETARIO TÉCNICO DEL PLENO ALEXIS TAPIA RAMÍREZ.</w:t>
      </w:r>
    </w:p>
    <w:p w14:paraId="66EA80AC" w14:textId="77777777" w:rsidR="003332A9" w:rsidRPr="00B60C5F" w:rsidRDefault="003332A9" w:rsidP="00B60C5F">
      <w:pPr>
        <w:pBdr>
          <w:top w:val="nil"/>
          <w:left w:val="nil"/>
          <w:bottom w:val="nil"/>
          <w:right w:val="nil"/>
          <w:between w:val="nil"/>
        </w:pBdr>
        <w:rPr>
          <w:color w:val="000000" w:themeColor="text1"/>
        </w:rPr>
      </w:pPr>
    </w:p>
    <w:p w14:paraId="4D573C1F" w14:textId="77777777" w:rsidR="003332A9" w:rsidRPr="00B60C5F" w:rsidRDefault="003332A9" w:rsidP="00B60C5F">
      <w:pPr>
        <w:pBdr>
          <w:top w:val="nil"/>
          <w:left w:val="nil"/>
          <w:bottom w:val="nil"/>
          <w:right w:val="nil"/>
          <w:between w:val="nil"/>
        </w:pBdr>
        <w:rPr>
          <w:color w:val="000000" w:themeColor="text1"/>
        </w:rPr>
      </w:pPr>
    </w:p>
    <w:p w14:paraId="26AA51D9" w14:textId="77777777" w:rsidR="003332A9" w:rsidRPr="00B60C5F" w:rsidRDefault="003332A9" w:rsidP="00B60C5F">
      <w:pPr>
        <w:pBdr>
          <w:top w:val="nil"/>
          <w:left w:val="nil"/>
          <w:bottom w:val="nil"/>
          <w:right w:val="nil"/>
          <w:between w:val="nil"/>
        </w:pBdr>
        <w:rPr>
          <w:color w:val="000000" w:themeColor="text1"/>
        </w:rPr>
      </w:pPr>
    </w:p>
    <w:p w14:paraId="6F12AA7A" w14:textId="77777777" w:rsidR="003332A9" w:rsidRPr="00B60C5F" w:rsidRDefault="003332A9" w:rsidP="00B60C5F">
      <w:pPr>
        <w:pBdr>
          <w:top w:val="nil"/>
          <w:left w:val="nil"/>
          <w:bottom w:val="nil"/>
          <w:right w:val="nil"/>
          <w:between w:val="nil"/>
        </w:pBdr>
        <w:rPr>
          <w:color w:val="000000" w:themeColor="text1"/>
        </w:rPr>
      </w:pPr>
    </w:p>
    <w:p w14:paraId="3A22F073" w14:textId="77777777" w:rsidR="003332A9" w:rsidRPr="00B60C5F" w:rsidRDefault="003332A9" w:rsidP="00B60C5F">
      <w:pPr>
        <w:pBdr>
          <w:top w:val="nil"/>
          <w:left w:val="nil"/>
          <w:bottom w:val="nil"/>
          <w:right w:val="nil"/>
          <w:between w:val="nil"/>
        </w:pBdr>
        <w:rPr>
          <w:color w:val="000000" w:themeColor="text1"/>
        </w:rPr>
      </w:pPr>
    </w:p>
    <w:p w14:paraId="696F356E" w14:textId="77777777" w:rsidR="003332A9" w:rsidRDefault="003332A9" w:rsidP="00B60C5F">
      <w:pPr>
        <w:pBdr>
          <w:top w:val="nil"/>
          <w:left w:val="nil"/>
          <w:bottom w:val="nil"/>
          <w:right w:val="nil"/>
          <w:between w:val="nil"/>
        </w:pBdr>
        <w:rPr>
          <w:color w:val="000000" w:themeColor="text1"/>
        </w:rPr>
      </w:pPr>
    </w:p>
    <w:p w14:paraId="76104239" w14:textId="77777777" w:rsidR="00513EBE" w:rsidRDefault="00513EBE" w:rsidP="00B60C5F">
      <w:pPr>
        <w:pBdr>
          <w:top w:val="nil"/>
          <w:left w:val="nil"/>
          <w:bottom w:val="nil"/>
          <w:right w:val="nil"/>
          <w:between w:val="nil"/>
        </w:pBdr>
        <w:rPr>
          <w:color w:val="000000" w:themeColor="text1"/>
        </w:rPr>
      </w:pPr>
    </w:p>
    <w:p w14:paraId="68C9709A" w14:textId="77777777" w:rsidR="00513EBE" w:rsidRDefault="00513EBE" w:rsidP="00B60C5F">
      <w:pPr>
        <w:pBdr>
          <w:top w:val="nil"/>
          <w:left w:val="nil"/>
          <w:bottom w:val="nil"/>
          <w:right w:val="nil"/>
          <w:between w:val="nil"/>
        </w:pBdr>
        <w:rPr>
          <w:color w:val="000000" w:themeColor="text1"/>
        </w:rPr>
      </w:pPr>
    </w:p>
    <w:p w14:paraId="12F1B35E" w14:textId="77777777" w:rsidR="00513EBE" w:rsidRDefault="00513EBE" w:rsidP="00B60C5F">
      <w:pPr>
        <w:pBdr>
          <w:top w:val="nil"/>
          <w:left w:val="nil"/>
          <w:bottom w:val="nil"/>
          <w:right w:val="nil"/>
          <w:between w:val="nil"/>
        </w:pBdr>
        <w:rPr>
          <w:color w:val="000000" w:themeColor="text1"/>
        </w:rPr>
      </w:pPr>
    </w:p>
    <w:p w14:paraId="5D7AD472" w14:textId="77777777" w:rsidR="00513EBE" w:rsidRDefault="00513EBE" w:rsidP="00B60C5F">
      <w:pPr>
        <w:pBdr>
          <w:top w:val="nil"/>
          <w:left w:val="nil"/>
          <w:bottom w:val="nil"/>
          <w:right w:val="nil"/>
          <w:between w:val="nil"/>
        </w:pBdr>
        <w:rPr>
          <w:color w:val="000000" w:themeColor="text1"/>
        </w:rPr>
      </w:pPr>
    </w:p>
    <w:p w14:paraId="4C34F533" w14:textId="77777777" w:rsidR="00513EBE" w:rsidRDefault="00513EBE" w:rsidP="00B60C5F">
      <w:pPr>
        <w:pBdr>
          <w:top w:val="nil"/>
          <w:left w:val="nil"/>
          <w:bottom w:val="nil"/>
          <w:right w:val="nil"/>
          <w:between w:val="nil"/>
        </w:pBdr>
        <w:rPr>
          <w:color w:val="000000" w:themeColor="text1"/>
        </w:rPr>
      </w:pPr>
    </w:p>
    <w:p w14:paraId="26AF92ED" w14:textId="77777777" w:rsidR="00513EBE" w:rsidRDefault="00513EBE" w:rsidP="00B60C5F">
      <w:pPr>
        <w:pBdr>
          <w:top w:val="nil"/>
          <w:left w:val="nil"/>
          <w:bottom w:val="nil"/>
          <w:right w:val="nil"/>
          <w:between w:val="nil"/>
        </w:pBdr>
        <w:rPr>
          <w:color w:val="000000" w:themeColor="text1"/>
        </w:rPr>
      </w:pPr>
    </w:p>
    <w:p w14:paraId="38A44911" w14:textId="77777777" w:rsidR="00513EBE" w:rsidRDefault="00513EBE" w:rsidP="00B60C5F">
      <w:pPr>
        <w:pBdr>
          <w:top w:val="nil"/>
          <w:left w:val="nil"/>
          <w:bottom w:val="nil"/>
          <w:right w:val="nil"/>
          <w:between w:val="nil"/>
        </w:pBdr>
        <w:rPr>
          <w:color w:val="000000" w:themeColor="text1"/>
        </w:rPr>
      </w:pPr>
    </w:p>
    <w:p w14:paraId="1193E925" w14:textId="77777777" w:rsidR="00513EBE" w:rsidRDefault="00513EBE" w:rsidP="00B60C5F">
      <w:pPr>
        <w:pBdr>
          <w:top w:val="nil"/>
          <w:left w:val="nil"/>
          <w:bottom w:val="nil"/>
          <w:right w:val="nil"/>
          <w:between w:val="nil"/>
        </w:pBdr>
        <w:rPr>
          <w:color w:val="000000" w:themeColor="text1"/>
        </w:rPr>
      </w:pPr>
    </w:p>
    <w:p w14:paraId="7263ED5B" w14:textId="77777777" w:rsidR="00513EBE" w:rsidRDefault="00513EBE" w:rsidP="00B60C5F">
      <w:pPr>
        <w:pBdr>
          <w:top w:val="nil"/>
          <w:left w:val="nil"/>
          <w:bottom w:val="nil"/>
          <w:right w:val="nil"/>
          <w:between w:val="nil"/>
        </w:pBdr>
        <w:rPr>
          <w:color w:val="000000" w:themeColor="text1"/>
        </w:rPr>
      </w:pPr>
    </w:p>
    <w:p w14:paraId="7E95AFBF" w14:textId="77777777" w:rsidR="00513EBE" w:rsidRDefault="00513EBE" w:rsidP="00B60C5F">
      <w:pPr>
        <w:pBdr>
          <w:top w:val="nil"/>
          <w:left w:val="nil"/>
          <w:bottom w:val="nil"/>
          <w:right w:val="nil"/>
          <w:between w:val="nil"/>
        </w:pBdr>
        <w:rPr>
          <w:color w:val="000000" w:themeColor="text1"/>
        </w:rPr>
      </w:pPr>
    </w:p>
    <w:p w14:paraId="4F841D9C" w14:textId="77777777" w:rsidR="00513EBE" w:rsidRDefault="00513EBE" w:rsidP="00B60C5F">
      <w:pPr>
        <w:pBdr>
          <w:top w:val="nil"/>
          <w:left w:val="nil"/>
          <w:bottom w:val="nil"/>
          <w:right w:val="nil"/>
          <w:between w:val="nil"/>
        </w:pBdr>
        <w:rPr>
          <w:color w:val="000000" w:themeColor="text1"/>
        </w:rPr>
      </w:pPr>
    </w:p>
    <w:p w14:paraId="1A70C0D1" w14:textId="77777777" w:rsidR="00513EBE" w:rsidRDefault="00513EBE" w:rsidP="00B60C5F">
      <w:pPr>
        <w:pBdr>
          <w:top w:val="nil"/>
          <w:left w:val="nil"/>
          <w:bottom w:val="nil"/>
          <w:right w:val="nil"/>
          <w:between w:val="nil"/>
        </w:pBdr>
        <w:rPr>
          <w:color w:val="000000" w:themeColor="text1"/>
        </w:rPr>
      </w:pPr>
    </w:p>
    <w:p w14:paraId="72A1CEEA" w14:textId="77777777" w:rsidR="00513EBE" w:rsidRDefault="00513EBE" w:rsidP="00B60C5F">
      <w:pPr>
        <w:pBdr>
          <w:top w:val="nil"/>
          <w:left w:val="nil"/>
          <w:bottom w:val="nil"/>
          <w:right w:val="nil"/>
          <w:between w:val="nil"/>
        </w:pBdr>
        <w:rPr>
          <w:color w:val="000000" w:themeColor="text1"/>
        </w:rPr>
      </w:pPr>
    </w:p>
    <w:p w14:paraId="448BE1AA" w14:textId="77777777" w:rsidR="00513EBE" w:rsidRDefault="00513EBE" w:rsidP="00B60C5F">
      <w:pPr>
        <w:pBdr>
          <w:top w:val="nil"/>
          <w:left w:val="nil"/>
          <w:bottom w:val="nil"/>
          <w:right w:val="nil"/>
          <w:between w:val="nil"/>
        </w:pBdr>
        <w:rPr>
          <w:color w:val="000000" w:themeColor="text1"/>
        </w:rPr>
      </w:pPr>
    </w:p>
    <w:p w14:paraId="455D1DEF" w14:textId="77777777" w:rsidR="00513EBE" w:rsidRDefault="00513EBE" w:rsidP="00B60C5F">
      <w:pPr>
        <w:pBdr>
          <w:top w:val="nil"/>
          <w:left w:val="nil"/>
          <w:bottom w:val="nil"/>
          <w:right w:val="nil"/>
          <w:between w:val="nil"/>
        </w:pBdr>
        <w:rPr>
          <w:color w:val="000000" w:themeColor="text1"/>
        </w:rPr>
      </w:pPr>
    </w:p>
    <w:p w14:paraId="2052383C" w14:textId="77777777" w:rsidR="00513EBE" w:rsidRPr="00B60C5F" w:rsidRDefault="00513EBE" w:rsidP="00B60C5F">
      <w:pPr>
        <w:pBdr>
          <w:top w:val="nil"/>
          <w:left w:val="nil"/>
          <w:bottom w:val="nil"/>
          <w:right w:val="nil"/>
          <w:between w:val="nil"/>
        </w:pBdr>
        <w:rPr>
          <w:color w:val="000000" w:themeColor="text1"/>
        </w:rPr>
      </w:pPr>
    </w:p>
    <w:p w14:paraId="6A61AC01" w14:textId="77777777" w:rsidR="003332A9" w:rsidRPr="00B60C5F" w:rsidRDefault="003332A9" w:rsidP="00B60C5F">
      <w:pPr>
        <w:pBdr>
          <w:top w:val="nil"/>
          <w:left w:val="nil"/>
          <w:bottom w:val="nil"/>
          <w:right w:val="nil"/>
          <w:between w:val="nil"/>
        </w:pBdr>
        <w:rPr>
          <w:color w:val="000000" w:themeColor="text1"/>
        </w:rPr>
      </w:pPr>
    </w:p>
    <w:p w14:paraId="4010838C" w14:textId="77777777" w:rsidR="003332A9" w:rsidRPr="00B60C5F" w:rsidRDefault="003332A9" w:rsidP="00B60C5F">
      <w:pPr>
        <w:pBdr>
          <w:top w:val="nil"/>
          <w:left w:val="nil"/>
          <w:bottom w:val="nil"/>
          <w:right w:val="nil"/>
          <w:between w:val="nil"/>
        </w:pBdr>
        <w:rPr>
          <w:color w:val="000000" w:themeColor="text1"/>
        </w:rPr>
      </w:pPr>
    </w:p>
    <w:p w14:paraId="54935BE3" w14:textId="77777777" w:rsidR="003332A9" w:rsidRPr="00B60C5F" w:rsidRDefault="003332A9" w:rsidP="00B60C5F">
      <w:pPr>
        <w:pBdr>
          <w:top w:val="nil"/>
          <w:left w:val="nil"/>
          <w:bottom w:val="nil"/>
          <w:right w:val="nil"/>
          <w:between w:val="nil"/>
        </w:pBdr>
        <w:rPr>
          <w:color w:val="000000" w:themeColor="text1"/>
        </w:rPr>
      </w:pPr>
    </w:p>
    <w:p w14:paraId="3438FEFD" w14:textId="77777777" w:rsidR="003332A9" w:rsidRPr="00B60C5F" w:rsidRDefault="003332A9" w:rsidP="00B60C5F">
      <w:pPr>
        <w:rPr>
          <w:color w:val="000000" w:themeColor="text1"/>
        </w:rPr>
      </w:pPr>
    </w:p>
    <w:p w14:paraId="099AFC7E" w14:textId="77777777" w:rsidR="003332A9" w:rsidRPr="00B60C5F" w:rsidRDefault="003332A9" w:rsidP="00B60C5F">
      <w:pPr>
        <w:rPr>
          <w:color w:val="000000" w:themeColor="text1"/>
        </w:rPr>
      </w:pPr>
    </w:p>
    <w:sectPr w:rsidR="003332A9" w:rsidRPr="00B60C5F" w:rsidSect="00D24BF3">
      <w:headerReference w:type="even" r:id="rId17"/>
      <w:headerReference w:type="default" r:id="rId18"/>
      <w:footerReference w:type="default" r:id="rId19"/>
      <w:headerReference w:type="first" r:id="rId20"/>
      <w:footerReference w:type="first" r:id="rId21"/>
      <w:pgSz w:w="12240" w:h="15840"/>
      <w:pgMar w:top="2108" w:right="1041" w:bottom="1134" w:left="175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236AF" w14:textId="77777777" w:rsidR="00004C6F" w:rsidRDefault="00004C6F">
      <w:pPr>
        <w:spacing w:line="240" w:lineRule="auto"/>
      </w:pPr>
      <w:r>
        <w:separator/>
      </w:r>
    </w:p>
  </w:endnote>
  <w:endnote w:type="continuationSeparator" w:id="0">
    <w:p w14:paraId="1C61E971" w14:textId="77777777" w:rsidR="00004C6F" w:rsidRDefault="00004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6424" w14:textId="77777777" w:rsidR="003332A9" w:rsidRDefault="00BE382A">
    <w:pPr>
      <w:pBdr>
        <w:top w:val="nil"/>
        <w:left w:val="nil"/>
        <w:bottom w:val="nil"/>
        <w:right w:val="nil"/>
        <w:between w:val="nil"/>
      </w:pBdr>
      <w:tabs>
        <w:tab w:val="center" w:pos="4419"/>
        <w:tab w:val="right" w:pos="8838"/>
      </w:tabs>
      <w:spacing w:line="240" w:lineRule="auto"/>
      <w:jc w:val="right"/>
      <w:rPr>
        <w:rFonts w:eastAsia="Palatino Linotype" w:cs="Palatino Linotype"/>
        <w:color w:val="000000"/>
        <w:sz w:val="20"/>
        <w:szCs w:val="20"/>
      </w:rPr>
    </w:pPr>
    <w:r>
      <w:rPr>
        <w:rFonts w:eastAsia="Palatino Linotype" w:cs="Palatino Linotype"/>
        <w:color w:val="000000"/>
        <w:sz w:val="20"/>
        <w:szCs w:val="20"/>
      </w:rPr>
      <w:t xml:space="preserve">Página </w:t>
    </w:r>
    <w:r>
      <w:rPr>
        <w:rFonts w:eastAsia="Palatino Linotype" w:cs="Palatino Linotype"/>
        <w:b/>
        <w:color w:val="000000"/>
        <w:sz w:val="20"/>
        <w:szCs w:val="20"/>
      </w:rPr>
      <w:fldChar w:fldCharType="begin"/>
    </w:r>
    <w:r>
      <w:rPr>
        <w:rFonts w:eastAsia="Palatino Linotype" w:cs="Palatino Linotype"/>
        <w:b/>
        <w:color w:val="000000"/>
        <w:sz w:val="20"/>
        <w:szCs w:val="20"/>
      </w:rPr>
      <w:instrText>PAGE</w:instrText>
    </w:r>
    <w:r>
      <w:rPr>
        <w:rFonts w:eastAsia="Palatino Linotype" w:cs="Palatino Linotype"/>
        <w:b/>
        <w:color w:val="000000"/>
        <w:sz w:val="20"/>
        <w:szCs w:val="20"/>
      </w:rPr>
      <w:fldChar w:fldCharType="separate"/>
    </w:r>
    <w:r w:rsidR="00FA243D">
      <w:rPr>
        <w:rFonts w:eastAsia="Palatino Linotype" w:cs="Palatino Linotype"/>
        <w:b/>
        <w:noProof/>
        <w:color w:val="000000"/>
        <w:sz w:val="20"/>
        <w:szCs w:val="20"/>
      </w:rPr>
      <w:t>2</w:t>
    </w:r>
    <w:r>
      <w:rPr>
        <w:rFonts w:eastAsia="Palatino Linotype" w:cs="Palatino Linotype"/>
        <w:b/>
        <w:color w:val="000000"/>
        <w:sz w:val="20"/>
        <w:szCs w:val="20"/>
      </w:rPr>
      <w:fldChar w:fldCharType="end"/>
    </w:r>
    <w:r>
      <w:rPr>
        <w:rFonts w:eastAsia="Palatino Linotype" w:cs="Palatino Linotype"/>
        <w:color w:val="000000"/>
        <w:sz w:val="20"/>
        <w:szCs w:val="20"/>
      </w:rPr>
      <w:t xml:space="preserve"> de </w:t>
    </w:r>
    <w:r>
      <w:rPr>
        <w:rFonts w:eastAsia="Palatino Linotype" w:cs="Palatino Linotype"/>
        <w:b/>
        <w:color w:val="000000"/>
        <w:sz w:val="20"/>
        <w:szCs w:val="20"/>
      </w:rPr>
      <w:fldChar w:fldCharType="begin"/>
    </w:r>
    <w:r>
      <w:rPr>
        <w:rFonts w:eastAsia="Palatino Linotype" w:cs="Palatino Linotype"/>
        <w:b/>
        <w:color w:val="000000"/>
        <w:sz w:val="20"/>
        <w:szCs w:val="20"/>
      </w:rPr>
      <w:instrText>NUMPAGES</w:instrText>
    </w:r>
    <w:r>
      <w:rPr>
        <w:rFonts w:eastAsia="Palatino Linotype" w:cs="Palatino Linotype"/>
        <w:b/>
        <w:color w:val="000000"/>
        <w:sz w:val="20"/>
        <w:szCs w:val="20"/>
      </w:rPr>
      <w:fldChar w:fldCharType="separate"/>
    </w:r>
    <w:r w:rsidR="00FA243D">
      <w:rPr>
        <w:rFonts w:eastAsia="Palatino Linotype" w:cs="Palatino Linotype"/>
        <w:b/>
        <w:noProof/>
        <w:color w:val="000000"/>
        <w:sz w:val="20"/>
        <w:szCs w:val="20"/>
      </w:rPr>
      <w:t>30</w:t>
    </w:r>
    <w:r>
      <w:rPr>
        <w:rFonts w:eastAsia="Palatino Linotype" w:cs="Palatino Linotype"/>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41A01" w14:textId="77777777" w:rsidR="003332A9" w:rsidRDefault="00BE382A">
    <w:pPr>
      <w:pBdr>
        <w:top w:val="nil"/>
        <w:left w:val="nil"/>
        <w:bottom w:val="nil"/>
        <w:right w:val="nil"/>
        <w:between w:val="nil"/>
      </w:pBdr>
      <w:tabs>
        <w:tab w:val="center" w:pos="4419"/>
        <w:tab w:val="right" w:pos="8838"/>
      </w:tabs>
      <w:spacing w:line="240" w:lineRule="auto"/>
      <w:jc w:val="right"/>
      <w:rPr>
        <w:rFonts w:eastAsia="Palatino Linotype" w:cs="Palatino Linotype"/>
        <w:color w:val="000000"/>
        <w:sz w:val="20"/>
        <w:szCs w:val="20"/>
      </w:rPr>
    </w:pPr>
    <w:r>
      <w:rPr>
        <w:rFonts w:eastAsia="Palatino Linotype" w:cs="Palatino Linotype"/>
        <w:color w:val="000000"/>
        <w:sz w:val="20"/>
        <w:szCs w:val="20"/>
      </w:rPr>
      <w:t xml:space="preserve">Página </w:t>
    </w:r>
    <w:r>
      <w:rPr>
        <w:rFonts w:eastAsia="Palatino Linotype" w:cs="Palatino Linotype"/>
        <w:b/>
        <w:color w:val="000000"/>
        <w:sz w:val="20"/>
        <w:szCs w:val="20"/>
      </w:rPr>
      <w:fldChar w:fldCharType="begin"/>
    </w:r>
    <w:r>
      <w:rPr>
        <w:rFonts w:eastAsia="Palatino Linotype" w:cs="Palatino Linotype"/>
        <w:b/>
        <w:color w:val="000000"/>
        <w:sz w:val="20"/>
        <w:szCs w:val="20"/>
      </w:rPr>
      <w:instrText>PAGE</w:instrText>
    </w:r>
    <w:r>
      <w:rPr>
        <w:rFonts w:eastAsia="Palatino Linotype" w:cs="Palatino Linotype"/>
        <w:b/>
        <w:color w:val="000000"/>
        <w:sz w:val="20"/>
        <w:szCs w:val="20"/>
      </w:rPr>
      <w:fldChar w:fldCharType="separate"/>
    </w:r>
    <w:r w:rsidR="00FA243D">
      <w:rPr>
        <w:rFonts w:eastAsia="Palatino Linotype" w:cs="Palatino Linotype"/>
        <w:b/>
        <w:noProof/>
        <w:color w:val="000000"/>
        <w:sz w:val="20"/>
        <w:szCs w:val="20"/>
      </w:rPr>
      <w:t>1</w:t>
    </w:r>
    <w:r>
      <w:rPr>
        <w:rFonts w:eastAsia="Palatino Linotype" w:cs="Palatino Linotype"/>
        <w:b/>
        <w:color w:val="000000"/>
        <w:sz w:val="20"/>
        <w:szCs w:val="20"/>
      </w:rPr>
      <w:fldChar w:fldCharType="end"/>
    </w:r>
    <w:r>
      <w:rPr>
        <w:rFonts w:eastAsia="Palatino Linotype" w:cs="Palatino Linotype"/>
        <w:color w:val="000000"/>
        <w:sz w:val="20"/>
        <w:szCs w:val="20"/>
      </w:rPr>
      <w:t xml:space="preserve"> de </w:t>
    </w:r>
    <w:r>
      <w:rPr>
        <w:rFonts w:eastAsia="Palatino Linotype" w:cs="Palatino Linotype"/>
        <w:b/>
        <w:color w:val="000000"/>
        <w:sz w:val="20"/>
        <w:szCs w:val="20"/>
      </w:rPr>
      <w:fldChar w:fldCharType="begin"/>
    </w:r>
    <w:r>
      <w:rPr>
        <w:rFonts w:eastAsia="Palatino Linotype" w:cs="Palatino Linotype"/>
        <w:b/>
        <w:color w:val="000000"/>
        <w:sz w:val="20"/>
        <w:szCs w:val="20"/>
      </w:rPr>
      <w:instrText>NUMPAGES</w:instrText>
    </w:r>
    <w:r>
      <w:rPr>
        <w:rFonts w:eastAsia="Palatino Linotype" w:cs="Palatino Linotype"/>
        <w:b/>
        <w:color w:val="000000"/>
        <w:sz w:val="20"/>
        <w:szCs w:val="20"/>
      </w:rPr>
      <w:fldChar w:fldCharType="separate"/>
    </w:r>
    <w:r w:rsidR="00FA243D">
      <w:rPr>
        <w:rFonts w:eastAsia="Palatino Linotype" w:cs="Palatino Linotype"/>
        <w:b/>
        <w:noProof/>
        <w:color w:val="000000"/>
        <w:sz w:val="20"/>
        <w:szCs w:val="20"/>
      </w:rPr>
      <w:t>30</w:t>
    </w:r>
    <w:r>
      <w:rPr>
        <w:rFonts w:eastAsia="Palatino Linotype" w:cs="Palatino Linotype"/>
        <w:b/>
        <w:color w:val="000000"/>
        <w:sz w:val="20"/>
        <w:szCs w:val="20"/>
      </w:rPr>
      <w:fldChar w:fldCharType="end"/>
    </w:r>
  </w:p>
  <w:p w14:paraId="6486738D" w14:textId="77777777" w:rsidR="003332A9" w:rsidRDefault="003332A9">
    <w:pPr>
      <w:pBdr>
        <w:top w:val="nil"/>
        <w:left w:val="nil"/>
        <w:bottom w:val="nil"/>
        <w:right w:val="nil"/>
        <w:between w:val="nil"/>
      </w:pBdr>
      <w:tabs>
        <w:tab w:val="center" w:pos="4419"/>
        <w:tab w:val="right" w:pos="8838"/>
      </w:tabs>
      <w:spacing w:line="240" w:lineRule="auto"/>
      <w:jc w:val="right"/>
      <w:rPr>
        <w:rFonts w:eastAsia="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E0009" w14:textId="77777777" w:rsidR="00004C6F" w:rsidRDefault="00004C6F">
      <w:pPr>
        <w:spacing w:line="240" w:lineRule="auto"/>
      </w:pPr>
      <w:r>
        <w:separator/>
      </w:r>
    </w:p>
  </w:footnote>
  <w:footnote w:type="continuationSeparator" w:id="0">
    <w:p w14:paraId="7CADF68D" w14:textId="77777777" w:rsidR="00004C6F" w:rsidRDefault="00004C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8EC88" w14:textId="77777777" w:rsidR="003332A9" w:rsidRDefault="00004C6F">
    <w:pPr>
      <w:pBdr>
        <w:top w:val="nil"/>
        <w:left w:val="nil"/>
        <w:bottom w:val="nil"/>
        <w:right w:val="nil"/>
        <w:between w:val="nil"/>
      </w:pBdr>
      <w:tabs>
        <w:tab w:val="center" w:pos="4419"/>
        <w:tab w:val="right" w:pos="8838"/>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223FB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609.4pt;height:793.75pt;z-index:-251657728;mso-position-horizontal:center;mso-position-horizontal-relative:margin;mso-position-vertical:center;mso-position-vertical-relative:margin">
          <v:imagedata r:id="rId1" o:title="image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348" w:type="dxa"/>
      <w:tblInd w:w="-142" w:type="dxa"/>
      <w:tblLayout w:type="fixed"/>
      <w:tblLook w:val="0400" w:firstRow="0" w:lastRow="0" w:firstColumn="0" w:lastColumn="0" w:noHBand="0" w:noVBand="1"/>
    </w:tblPr>
    <w:tblGrid>
      <w:gridCol w:w="5245"/>
      <w:gridCol w:w="5103"/>
    </w:tblGrid>
    <w:tr w:rsidR="003332A9" w14:paraId="14F826EC" w14:textId="77777777" w:rsidTr="00B60C5F">
      <w:trPr>
        <w:trHeight w:val="227"/>
      </w:trPr>
      <w:tc>
        <w:tcPr>
          <w:tcW w:w="5245" w:type="dxa"/>
        </w:tcPr>
        <w:p w14:paraId="2BD74313" w14:textId="77777777" w:rsidR="003332A9" w:rsidRPr="00513EBE" w:rsidRDefault="00BE382A" w:rsidP="00B60C5F">
          <w:pPr>
            <w:spacing w:line="240" w:lineRule="auto"/>
            <w:ind w:right="69"/>
            <w:jc w:val="right"/>
            <w:rPr>
              <w:b/>
            </w:rPr>
          </w:pPr>
          <w:r w:rsidRPr="00513EBE">
            <w:rPr>
              <w:b/>
            </w:rPr>
            <w:t>Recurso de Revisión:</w:t>
          </w:r>
        </w:p>
      </w:tc>
      <w:tc>
        <w:tcPr>
          <w:tcW w:w="5103" w:type="dxa"/>
        </w:tcPr>
        <w:p w14:paraId="7C34E9BE" w14:textId="749F59EF" w:rsidR="003332A9" w:rsidRPr="00513EBE" w:rsidRDefault="00BE382A" w:rsidP="00B60C5F">
          <w:pPr>
            <w:spacing w:line="240" w:lineRule="auto"/>
            <w:ind w:right="74"/>
            <w:jc w:val="left"/>
          </w:pPr>
          <w:r w:rsidRPr="00513EBE">
            <w:t>00248/INFOEM/AD/RR/2025</w:t>
          </w:r>
        </w:p>
      </w:tc>
    </w:tr>
    <w:tr w:rsidR="003332A9" w14:paraId="254BE425" w14:textId="77777777" w:rsidTr="00B60C5F">
      <w:trPr>
        <w:trHeight w:val="242"/>
      </w:trPr>
      <w:tc>
        <w:tcPr>
          <w:tcW w:w="5245" w:type="dxa"/>
        </w:tcPr>
        <w:p w14:paraId="0EF9D9D2" w14:textId="77777777" w:rsidR="003332A9" w:rsidRPr="00513EBE" w:rsidRDefault="00BE382A" w:rsidP="00B60C5F">
          <w:pPr>
            <w:spacing w:line="240" w:lineRule="auto"/>
            <w:ind w:right="69"/>
            <w:jc w:val="right"/>
            <w:rPr>
              <w:b/>
            </w:rPr>
          </w:pPr>
          <w:r w:rsidRPr="00513EBE">
            <w:rPr>
              <w:b/>
            </w:rPr>
            <w:t>Sujeto Obligado:</w:t>
          </w:r>
        </w:p>
      </w:tc>
      <w:tc>
        <w:tcPr>
          <w:tcW w:w="5103" w:type="dxa"/>
        </w:tcPr>
        <w:p w14:paraId="2225F59A" w14:textId="77777777" w:rsidR="003332A9" w:rsidRPr="00513EBE" w:rsidRDefault="00BE382A" w:rsidP="00B60C5F">
          <w:pPr>
            <w:spacing w:line="240" w:lineRule="auto"/>
            <w:ind w:right="74"/>
            <w:jc w:val="left"/>
          </w:pPr>
          <w:r w:rsidRPr="00513EBE">
            <w:t>Tribunal Estatal de Conciliación y Arbitraje</w:t>
          </w:r>
        </w:p>
      </w:tc>
    </w:tr>
    <w:tr w:rsidR="003332A9" w14:paraId="4A8C70CF" w14:textId="77777777" w:rsidTr="00B60C5F">
      <w:trPr>
        <w:trHeight w:val="342"/>
      </w:trPr>
      <w:tc>
        <w:tcPr>
          <w:tcW w:w="5245" w:type="dxa"/>
        </w:tcPr>
        <w:p w14:paraId="6B7C390E" w14:textId="77777777" w:rsidR="003332A9" w:rsidRPr="00513EBE" w:rsidRDefault="00BE382A" w:rsidP="00B60C5F">
          <w:pPr>
            <w:tabs>
              <w:tab w:val="left" w:pos="4892"/>
            </w:tabs>
            <w:spacing w:line="240" w:lineRule="auto"/>
            <w:ind w:right="69"/>
            <w:jc w:val="right"/>
            <w:rPr>
              <w:b/>
            </w:rPr>
          </w:pPr>
          <w:r w:rsidRPr="00513EBE">
            <w:rPr>
              <w:b/>
            </w:rPr>
            <w:t>Comisionado Ponente:</w:t>
          </w:r>
        </w:p>
      </w:tc>
      <w:tc>
        <w:tcPr>
          <w:tcW w:w="5103" w:type="dxa"/>
        </w:tcPr>
        <w:p w14:paraId="17A5B138" w14:textId="77777777" w:rsidR="003332A9" w:rsidRPr="00513EBE" w:rsidRDefault="00BE382A" w:rsidP="00B60C5F">
          <w:pPr>
            <w:spacing w:line="240" w:lineRule="auto"/>
            <w:ind w:right="74"/>
            <w:jc w:val="left"/>
          </w:pPr>
          <w:r w:rsidRPr="00513EBE">
            <w:t>María del Rosario Mejía Ayala</w:t>
          </w:r>
        </w:p>
      </w:tc>
    </w:tr>
  </w:tbl>
  <w:p w14:paraId="08D08946" w14:textId="77777777" w:rsidR="003332A9" w:rsidRDefault="00004C6F">
    <w:pPr>
      <w:pBdr>
        <w:top w:val="nil"/>
        <w:left w:val="nil"/>
        <w:bottom w:val="nil"/>
        <w:right w:val="nil"/>
        <w:between w:val="nil"/>
      </w:pBdr>
      <w:tabs>
        <w:tab w:val="center" w:pos="4419"/>
        <w:tab w:val="right" w:pos="8838"/>
      </w:tabs>
      <w:spacing w:line="240"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rPr>
      <w:pict w14:anchorId="01D99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85.45pt;margin-top:-105.55pt;width:609.4pt;height:793.75pt;z-index:-251658752;mso-position-horizontal-relative:margin;mso-position-vertical-relative:margin">
          <v:imagedata r:id="rId1" o:title="image10"/>
          <w10:wrap anchorx="margin" anchory="margin"/>
        </v:shape>
      </w:pict>
    </w:r>
    <w:r w:rsidR="00BE382A">
      <w:rPr>
        <w:rFonts w:ascii="Times New Roman" w:eastAsia="Times New Roman" w:hAnsi="Times New Roman" w:cs="Times New Roman"/>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55487" w14:textId="511F072B" w:rsidR="003332A9" w:rsidRDefault="00D24BF3">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lang w:val="es-MX"/>
      </w:rPr>
      <w:drawing>
        <wp:anchor distT="0" distB="0" distL="0" distR="0" simplePos="0" relativeHeight="251656704" behindDoc="1" locked="0" layoutInCell="1" hidden="0" allowOverlap="1" wp14:anchorId="14405335" wp14:editId="35A16B03">
          <wp:simplePos x="0" y="0"/>
          <wp:positionH relativeFrom="page">
            <wp:align>right</wp:align>
          </wp:positionH>
          <wp:positionV relativeFrom="page">
            <wp:align>top</wp:align>
          </wp:positionV>
          <wp:extent cx="7739380" cy="10080625"/>
          <wp:effectExtent l="0" t="0" r="0" b="0"/>
          <wp:wrapNone/>
          <wp:docPr id="9" name="image10.jpg" descr="infoem"/>
          <wp:cNvGraphicFramePr/>
          <a:graphic xmlns:a="http://schemas.openxmlformats.org/drawingml/2006/main">
            <a:graphicData uri="http://schemas.openxmlformats.org/drawingml/2006/picture">
              <pic:pic xmlns:pic="http://schemas.openxmlformats.org/drawingml/2006/picture">
                <pic:nvPicPr>
                  <pic:cNvPr id="0" name="image10.jpg" descr="infoem"/>
                  <pic:cNvPicPr preferRelativeResize="0"/>
                </pic:nvPicPr>
                <pic:blipFill>
                  <a:blip r:embed="rId1"/>
                  <a:srcRect/>
                  <a:stretch>
                    <a:fillRect/>
                  </a:stretch>
                </pic:blipFill>
                <pic:spPr>
                  <a:xfrm>
                    <a:off x="0" y="0"/>
                    <a:ext cx="7739380" cy="10080625"/>
                  </a:xfrm>
                  <a:prstGeom prst="rect">
                    <a:avLst/>
                  </a:prstGeom>
                  <a:ln/>
                </pic:spPr>
              </pic:pic>
            </a:graphicData>
          </a:graphic>
        </wp:anchor>
      </w:drawing>
    </w:r>
  </w:p>
  <w:tbl>
    <w:tblPr>
      <w:tblStyle w:val="a0"/>
      <w:tblW w:w="7512" w:type="dxa"/>
      <w:tblInd w:w="2694" w:type="dxa"/>
      <w:tblLayout w:type="fixed"/>
      <w:tblLook w:val="0400" w:firstRow="0" w:lastRow="0" w:firstColumn="0" w:lastColumn="0" w:noHBand="0" w:noVBand="1"/>
    </w:tblPr>
    <w:tblGrid>
      <w:gridCol w:w="2693"/>
      <w:gridCol w:w="4819"/>
    </w:tblGrid>
    <w:tr w:rsidR="003332A9" w:rsidRPr="00B60C5F" w14:paraId="7DC54C59" w14:textId="77777777" w:rsidTr="00B60C5F">
      <w:trPr>
        <w:trHeight w:val="227"/>
      </w:trPr>
      <w:tc>
        <w:tcPr>
          <w:tcW w:w="2693" w:type="dxa"/>
        </w:tcPr>
        <w:p w14:paraId="2B887957" w14:textId="77777777" w:rsidR="003332A9" w:rsidRPr="00513EBE" w:rsidRDefault="00BE382A" w:rsidP="00B60C5F">
          <w:pPr>
            <w:spacing w:line="240" w:lineRule="auto"/>
            <w:ind w:left="-70" w:right="68"/>
            <w:jc w:val="right"/>
            <w:rPr>
              <w:b/>
            </w:rPr>
          </w:pPr>
          <w:r w:rsidRPr="00513EBE">
            <w:rPr>
              <w:b/>
            </w:rPr>
            <w:t>Recurso de Revisión:</w:t>
          </w:r>
        </w:p>
      </w:tc>
      <w:tc>
        <w:tcPr>
          <w:tcW w:w="4819" w:type="dxa"/>
        </w:tcPr>
        <w:p w14:paraId="2DA3BE39" w14:textId="4289137E" w:rsidR="003332A9" w:rsidRPr="00513EBE" w:rsidRDefault="00BE382A" w:rsidP="00B60C5F">
          <w:pPr>
            <w:spacing w:line="240" w:lineRule="auto"/>
            <w:ind w:left="-70" w:right="68"/>
            <w:jc w:val="left"/>
          </w:pPr>
          <w:r w:rsidRPr="00513EBE">
            <w:t>00248/INFOEM/AD/RR/2025</w:t>
          </w:r>
        </w:p>
      </w:tc>
    </w:tr>
    <w:tr w:rsidR="003332A9" w:rsidRPr="00B60C5F" w14:paraId="368A4E7E" w14:textId="77777777" w:rsidTr="00B60C5F">
      <w:trPr>
        <w:trHeight w:val="196"/>
      </w:trPr>
      <w:tc>
        <w:tcPr>
          <w:tcW w:w="2693" w:type="dxa"/>
        </w:tcPr>
        <w:p w14:paraId="150EE2A7" w14:textId="77777777" w:rsidR="003332A9" w:rsidRPr="00513EBE" w:rsidRDefault="00BE382A" w:rsidP="00B60C5F">
          <w:pPr>
            <w:spacing w:line="240" w:lineRule="auto"/>
            <w:ind w:left="-70" w:right="68"/>
            <w:jc w:val="right"/>
            <w:rPr>
              <w:b/>
            </w:rPr>
          </w:pPr>
          <w:r w:rsidRPr="00513EBE">
            <w:rPr>
              <w:b/>
            </w:rPr>
            <w:t>Recurrente:</w:t>
          </w:r>
        </w:p>
      </w:tc>
      <w:tc>
        <w:tcPr>
          <w:tcW w:w="4819" w:type="dxa"/>
        </w:tcPr>
        <w:p w14:paraId="7719DEEE" w14:textId="4F4D3A49" w:rsidR="003332A9" w:rsidRPr="00513EBE" w:rsidRDefault="00513EBE" w:rsidP="00B60C5F">
          <w:pPr>
            <w:pBdr>
              <w:top w:val="nil"/>
              <w:left w:val="nil"/>
              <w:bottom w:val="nil"/>
              <w:right w:val="nil"/>
              <w:between w:val="nil"/>
            </w:pBdr>
            <w:spacing w:line="240" w:lineRule="auto"/>
            <w:ind w:left="-70" w:right="68"/>
            <w:jc w:val="left"/>
            <w:rPr>
              <w:rFonts w:eastAsia="Palatino Linotype" w:cs="Palatino Linotype"/>
              <w:color w:val="000000"/>
            </w:rPr>
          </w:pPr>
          <w:r w:rsidRPr="00513EBE">
            <w:rPr>
              <w:rFonts w:eastAsia="Palatino Linotype" w:cs="Palatino Linotype"/>
              <w:color w:val="000000"/>
            </w:rPr>
            <w:t>XXXX</w:t>
          </w:r>
        </w:p>
      </w:tc>
    </w:tr>
    <w:tr w:rsidR="003332A9" w:rsidRPr="00B60C5F" w14:paraId="66EB5CF8" w14:textId="77777777" w:rsidTr="00B60C5F">
      <w:trPr>
        <w:trHeight w:val="242"/>
      </w:trPr>
      <w:tc>
        <w:tcPr>
          <w:tcW w:w="2693" w:type="dxa"/>
        </w:tcPr>
        <w:p w14:paraId="72F1FF54" w14:textId="77777777" w:rsidR="003332A9" w:rsidRPr="00513EBE" w:rsidRDefault="00BE382A" w:rsidP="00B60C5F">
          <w:pPr>
            <w:spacing w:line="240" w:lineRule="auto"/>
            <w:ind w:left="-70" w:right="68"/>
            <w:jc w:val="right"/>
            <w:rPr>
              <w:b/>
            </w:rPr>
          </w:pPr>
          <w:r w:rsidRPr="00513EBE">
            <w:rPr>
              <w:b/>
            </w:rPr>
            <w:t>Sujeto Obligado:</w:t>
          </w:r>
        </w:p>
      </w:tc>
      <w:tc>
        <w:tcPr>
          <w:tcW w:w="4819" w:type="dxa"/>
        </w:tcPr>
        <w:p w14:paraId="48DD2543" w14:textId="77777777" w:rsidR="003332A9" w:rsidRPr="00513EBE" w:rsidRDefault="00BE382A" w:rsidP="00B60C5F">
          <w:pPr>
            <w:spacing w:line="240" w:lineRule="auto"/>
            <w:ind w:left="-70" w:right="68"/>
            <w:jc w:val="left"/>
          </w:pPr>
          <w:r w:rsidRPr="00513EBE">
            <w:t>Tribunal Estatal de Conciliación y Arbitraje</w:t>
          </w:r>
        </w:p>
      </w:tc>
    </w:tr>
    <w:tr w:rsidR="003332A9" w:rsidRPr="00B60C5F" w14:paraId="673C6AA9" w14:textId="77777777" w:rsidTr="00B60C5F">
      <w:trPr>
        <w:trHeight w:val="342"/>
      </w:trPr>
      <w:tc>
        <w:tcPr>
          <w:tcW w:w="2693" w:type="dxa"/>
        </w:tcPr>
        <w:p w14:paraId="6E5A89EE" w14:textId="77777777" w:rsidR="003332A9" w:rsidRPr="00513EBE" w:rsidRDefault="00BE382A" w:rsidP="00B60C5F">
          <w:pPr>
            <w:tabs>
              <w:tab w:val="left" w:pos="4892"/>
            </w:tabs>
            <w:spacing w:line="240" w:lineRule="auto"/>
            <w:ind w:left="-70" w:right="68"/>
            <w:jc w:val="right"/>
            <w:rPr>
              <w:b/>
            </w:rPr>
          </w:pPr>
          <w:r w:rsidRPr="00513EBE">
            <w:rPr>
              <w:b/>
            </w:rPr>
            <w:t>Comisionado Ponente:</w:t>
          </w:r>
        </w:p>
      </w:tc>
      <w:tc>
        <w:tcPr>
          <w:tcW w:w="4819" w:type="dxa"/>
        </w:tcPr>
        <w:p w14:paraId="226A689F" w14:textId="77777777" w:rsidR="003332A9" w:rsidRPr="00513EBE" w:rsidRDefault="00BE382A" w:rsidP="00B60C5F">
          <w:pPr>
            <w:spacing w:line="240" w:lineRule="auto"/>
            <w:ind w:left="-70" w:right="68"/>
            <w:jc w:val="left"/>
          </w:pPr>
          <w:r w:rsidRPr="00513EBE">
            <w:t>María del Rosario Mejía Ayala</w:t>
          </w:r>
        </w:p>
      </w:tc>
    </w:tr>
  </w:tbl>
  <w:p w14:paraId="13D4B980" w14:textId="4AAC5AAA" w:rsidR="003332A9" w:rsidRDefault="00BE382A">
    <w:pPr>
      <w:pBdr>
        <w:top w:val="nil"/>
        <w:left w:val="nil"/>
        <w:bottom w:val="nil"/>
        <w:right w:val="nil"/>
        <w:between w:val="nil"/>
      </w:pBdr>
      <w:tabs>
        <w:tab w:val="center" w:pos="4419"/>
        <w:tab w:val="right" w:pos="8838"/>
      </w:tabs>
      <w:spacing w:line="240"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B0431"/>
    <w:multiLevelType w:val="hybridMultilevel"/>
    <w:tmpl w:val="E40C3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A310FC"/>
    <w:multiLevelType w:val="hybridMultilevel"/>
    <w:tmpl w:val="9D7C24EE"/>
    <w:lvl w:ilvl="0" w:tplc="080A0017">
      <w:start w:val="1"/>
      <w:numFmt w:val="lowerLetter"/>
      <w:lvlText w:val="%1)"/>
      <w:lvlJc w:val="left"/>
      <w:pPr>
        <w:ind w:left="1853" w:hanging="360"/>
      </w:pPr>
    </w:lvl>
    <w:lvl w:ilvl="1" w:tplc="080A0019" w:tentative="1">
      <w:start w:val="1"/>
      <w:numFmt w:val="lowerLetter"/>
      <w:lvlText w:val="%2."/>
      <w:lvlJc w:val="left"/>
      <w:pPr>
        <w:ind w:left="2573" w:hanging="360"/>
      </w:pPr>
    </w:lvl>
    <w:lvl w:ilvl="2" w:tplc="080A001B" w:tentative="1">
      <w:start w:val="1"/>
      <w:numFmt w:val="lowerRoman"/>
      <w:lvlText w:val="%3."/>
      <w:lvlJc w:val="right"/>
      <w:pPr>
        <w:ind w:left="3293" w:hanging="180"/>
      </w:pPr>
    </w:lvl>
    <w:lvl w:ilvl="3" w:tplc="080A000F" w:tentative="1">
      <w:start w:val="1"/>
      <w:numFmt w:val="decimal"/>
      <w:lvlText w:val="%4."/>
      <w:lvlJc w:val="left"/>
      <w:pPr>
        <w:ind w:left="4013" w:hanging="360"/>
      </w:pPr>
    </w:lvl>
    <w:lvl w:ilvl="4" w:tplc="080A0019" w:tentative="1">
      <w:start w:val="1"/>
      <w:numFmt w:val="lowerLetter"/>
      <w:lvlText w:val="%5."/>
      <w:lvlJc w:val="left"/>
      <w:pPr>
        <w:ind w:left="4733" w:hanging="360"/>
      </w:pPr>
    </w:lvl>
    <w:lvl w:ilvl="5" w:tplc="080A001B" w:tentative="1">
      <w:start w:val="1"/>
      <w:numFmt w:val="lowerRoman"/>
      <w:lvlText w:val="%6."/>
      <w:lvlJc w:val="right"/>
      <w:pPr>
        <w:ind w:left="5453" w:hanging="180"/>
      </w:pPr>
    </w:lvl>
    <w:lvl w:ilvl="6" w:tplc="080A000F" w:tentative="1">
      <w:start w:val="1"/>
      <w:numFmt w:val="decimal"/>
      <w:lvlText w:val="%7."/>
      <w:lvlJc w:val="left"/>
      <w:pPr>
        <w:ind w:left="6173" w:hanging="360"/>
      </w:pPr>
    </w:lvl>
    <w:lvl w:ilvl="7" w:tplc="080A0019" w:tentative="1">
      <w:start w:val="1"/>
      <w:numFmt w:val="lowerLetter"/>
      <w:lvlText w:val="%8."/>
      <w:lvlJc w:val="left"/>
      <w:pPr>
        <w:ind w:left="6893" w:hanging="360"/>
      </w:pPr>
    </w:lvl>
    <w:lvl w:ilvl="8" w:tplc="080A001B" w:tentative="1">
      <w:start w:val="1"/>
      <w:numFmt w:val="lowerRoman"/>
      <w:lvlText w:val="%9."/>
      <w:lvlJc w:val="right"/>
      <w:pPr>
        <w:ind w:left="7613" w:hanging="180"/>
      </w:pPr>
    </w:lvl>
  </w:abstractNum>
  <w:abstractNum w:abstractNumId="2" w15:restartNumberingAfterBreak="0">
    <w:nsid w:val="795C1012"/>
    <w:multiLevelType w:val="multilevel"/>
    <w:tmpl w:val="5B6A599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A9"/>
    <w:rsid w:val="00004C6F"/>
    <w:rsid w:val="000100F8"/>
    <w:rsid w:val="003332A9"/>
    <w:rsid w:val="003E6F86"/>
    <w:rsid w:val="00400847"/>
    <w:rsid w:val="004903EE"/>
    <w:rsid w:val="004A56D8"/>
    <w:rsid w:val="00504117"/>
    <w:rsid w:val="00513EBE"/>
    <w:rsid w:val="005C1787"/>
    <w:rsid w:val="006311A4"/>
    <w:rsid w:val="008C341B"/>
    <w:rsid w:val="009F3D7C"/>
    <w:rsid w:val="00B60C5F"/>
    <w:rsid w:val="00BC1643"/>
    <w:rsid w:val="00BE382A"/>
    <w:rsid w:val="00D05995"/>
    <w:rsid w:val="00D24BF3"/>
    <w:rsid w:val="00E16044"/>
    <w:rsid w:val="00ED2869"/>
    <w:rsid w:val="00FA24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44C686"/>
  <w15:docId w15:val="{8F9F462D-8F31-4D3F-BE77-81D188C8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4"/>
        <w:szCs w:val="24"/>
        <w:lang w:val="es-ES_tradnl"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94"/>
    <w:rPr>
      <w:rFonts w:eastAsia="Calibri" w:cs="Calibri"/>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24794"/>
    <w:pPr>
      <w:tabs>
        <w:tab w:val="center" w:pos="4419"/>
        <w:tab w:val="right" w:pos="8838"/>
      </w:tabs>
      <w:spacing w:line="240" w:lineRule="auto"/>
    </w:pPr>
    <w:rPr>
      <w:rFonts w:ascii="Times New Roman" w:hAnsi="Times New Roman" w:cs="Times New Roman"/>
      <w:lang w:val="es-ES" w:eastAsia="es-ES"/>
    </w:rPr>
  </w:style>
  <w:style w:type="character" w:customStyle="1" w:styleId="EncabezadoCar">
    <w:name w:val="Encabezado Car"/>
    <w:basedOn w:val="Fuentedeprrafopredeter"/>
    <w:link w:val="Encabezado"/>
    <w:uiPriority w:val="99"/>
    <w:rsid w:val="0022479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24794"/>
    <w:pPr>
      <w:tabs>
        <w:tab w:val="center" w:pos="4419"/>
        <w:tab w:val="right" w:pos="8838"/>
      </w:tabs>
      <w:spacing w:line="240" w:lineRule="auto"/>
    </w:pPr>
    <w:rPr>
      <w:rFonts w:ascii="Times New Roman" w:hAnsi="Times New Roman" w:cs="Times New Roman"/>
      <w:lang w:val="es-ES" w:eastAsia="es-ES"/>
    </w:rPr>
  </w:style>
  <w:style w:type="character" w:customStyle="1" w:styleId="PiedepginaCar">
    <w:name w:val="Pie de página Car"/>
    <w:basedOn w:val="Fuentedeprrafopredeter"/>
    <w:link w:val="Piedepgina"/>
    <w:uiPriority w:val="99"/>
    <w:rsid w:val="0022479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24794"/>
    <w:pPr>
      <w:spacing w:line="240" w:lineRule="auto"/>
      <w:ind w:left="708"/>
    </w:pPr>
    <w:rPr>
      <w:rFonts w:ascii="Times New Roman" w:eastAsia="Times New Roman" w:hAnsi="Times New Roman" w:cs="Times New Roman"/>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794"/>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24794"/>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4794"/>
    <w:rPr>
      <w:rFonts w:ascii="Palatino Linotype" w:eastAsia="Calibri" w:hAnsi="Palatino Linotype"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24794"/>
    <w:rPr>
      <w:vertAlign w:val="superscript"/>
    </w:rPr>
  </w:style>
  <w:style w:type="paragraph" w:styleId="Sinespaciado">
    <w:name w:val="No Spacing"/>
    <w:aliases w:val="Fundamentos"/>
    <w:basedOn w:val="Normal"/>
    <w:next w:val="Normal"/>
    <w:link w:val="SinespaciadoCar"/>
    <w:uiPriority w:val="1"/>
    <w:qFormat/>
    <w:rsid w:val="00224794"/>
    <w:pPr>
      <w:spacing w:line="240" w:lineRule="auto"/>
      <w:ind w:left="567" w:right="567"/>
    </w:pPr>
    <w:rPr>
      <w:rFonts w:eastAsia="Palatino Linotype" w:cs="Times New Roman"/>
      <w:i/>
      <w:sz w:val="22"/>
      <w:lang w:eastAsia="es-ES"/>
    </w:rPr>
  </w:style>
  <w:style w:type="character" w:customStyle="1" w:styleId="SinespaciadoCar">
    <w:name w:val="Sin espaciado Car"/>
    <w:aliases w:val="Fundamentos Car"/>
    <w:link w:val="Sinespaciado"/>
    <w:uiPriority w:val="1"/>
    <w:locked/>
    <w:rsid w:val="00224794"/>
    <w:rPr>
      <w:rFonts w:ascii="Palatino Linotype" w:eastAsia="Palatino Linotype" w:hAnsi="Palatino Linotype" w:cs="Times New Roman"/>
      <w:i/>
      <w:szCs w:val="24"/>
      <w:lang w:eastAsia="es-ES"/>
    </w:rPr>
  </w:style>
  <w:style w:type="paragraph" w:customStyle="1" w:styleId="Citas">
    <w:name w:val="Citas"/>
    <w:basedOn w:val="Normal"/>
    <w:qFormat/>
    <w:rsid w:val="00956D5E"/>
    <w:pPr>
      <w:spacing w:before="240" w:after="160"/>
      <w:ind w:left="851" w:right="851"/>
    </w:pPr>
    <w:rPr>
      <w:rFonts w:eastAsiaTheme="minorHAnsi" w:cs="Arial"/>
      <w:i/>
      <w:sz w:val="22"/>
      <w:lang w:eastAsia="en-US"/>
    </w:rPr>
  </w:style>
  <w:style w:type="character" w:styleId="Hipervnculo">
    <w:name w:val="Hyperlink"/>
    <w:basedOn w:val="Fuentedeprrafopredeter"/>
    <w:uiPriority w:val="99"/>
    <w:unhideWhenUsed/>
    <w:rsid w:val="00956D5E"/>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4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s://sarcoem.org.mx/sarcoem/solicitud/downloadAttach/2301934.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juAPaMDV70+008ogbQ9C4sF/A==">CgMxLjAyCGguZ2pkZ3hzOAByITFRdzFIUmxJaWZiYmlSV2d3Z0F6b3AwX3BSdDkyNHk2ZQ==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7566</Words>
  <Characters>41613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2025-06-06T15:53:00Z</cp:lastPrinted>
  <dcterms:created xsi:type="dcterms:W3CDTF">2025-05-19T17:53:00Z</dcterms:created>
  <dcterms:modified xsi:type="dcterms:W3CDTF">2025-06-13T19:43:00Z</dcterms:modified>
</cp:coreProperties>
</file>