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1" w:rsidRPr="00FA45F8" w:rsidRDefault="00402401" w:rsidP="00FA45F8">
      <w:pPr>
        <w:spacing w:line="360" w:lineRule="auto"/>
        <w:ind w:right="49"/>
        <w:jc w:val="both"/>
        <w:rPr>
          <w:rFonts w:ascii="Palatino Linotype" w:eastAsia="Palatino Linotype" w:hAnsi="Palatino Linotype" w:cs="Palatino Linotype"/>
          <w:color w:val="000000" w:themeColor="text1"/>
        </w:rPr>
      </w:pPr>
      <w:bookmarkStart w:id="0" w:name="_heading=h.gjdgxs" w:colFirst="0" w:colLast="0"/>
      <w:bookmarkStart w:id="1" w:name="_GoBack"/>
      <w:bookmarkEnd w:id="0"/>
      <w:bookmarkEnd w:id="1"/>
      <w:r w:rsidRPr="00FA45F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B13AB">
        <w:rPr>
          <w:rFonts w:ascii="Palatino Linotype" w:eastAsia="Palatino Linotype" w:hAnsi="Palatino Linotype" w:cs="Palatino Linotype"/>
          <w:b/>
          <w:color w:val="000000" w:themeColor="text1"/>
        </w:rPr>
        <w:t xml:space="preserve">de fecha </w:t>
      </w:r>
      <w:r w:rsidR="00B5634F" w:rsidRPr="00FB13AB">
        <w:rPr>
          <w:rFonts w:ascii="Palatino Linotype" w:eastAsia="Palatino Linotype" w:hAnsi="Palatino Linotype" w:cs="Palatino Linotype"/>
          <w:b/>
          <w:color w:val="000000" w:themeColor="text1"/>
        </w:rPr>
        <w:t>tres</w:t>
      </w:r>
      <w:r w:rsidRPr="00FB13AB">
        <w:rPr>
          <w:rFonts w:ascii="Palatino Linotype" w:eastAsia="Palatino Linotype" w:hAnsi="Palatino Linotype" w:cs="Palatino Linotype"/>
          <w:b/>
          <w:color w:val="000000" w:themeColor="text1"/>
        </w:rPr>
        <w:t xml:space="preserve"> </w:t>
      </w:r>
      <w:r w:rsidR="0056127E">
        <w:rPr>
          <w:rFonts w:ascii="Palatino Linotype" w:eastAsia="Palatino Linotype" w:hAnsi="Palatino Linotype" w:cs="Palatino Linotype"/>
          <w:b/>
          <w:color w:val="000000" w:themeColor="text1"/>
        </w:rPr>
        <w:t xml:space="preserve">(03) </w:t>
      </w:r>
      <w:r w:rsidRPr="00FB13AB">
        <w:rPr>
          <w:rFonts w:ascii="Palatino Linotype" w:eastAsia="Palatino Linotype" w:hAnsi="Palatino Linotype" w:cs="Palatino Linotype"/>
          <w:b/>
          <w:color w:val="000000" w:themeColor="text1"/>
        </w:rPr>
        <w:t xml:space="preserve">de </w:t>
      </w:r>
      <w:r w:rsidR="00B5634F" w:rsidRPr="00FB13AB">
        <w:rPr>
          <w:rFonts w:ascii="Palatino Linotype" w:eastAsia="Palatino Linotype" w:hAnsi="Palatino Linotype" w:cs="Palatino Linotype"/>
          <w:b/>
          <w:color w:val="000000" w:themeColor="text1"/>
        </w:rPr>
        <w:t>diciem</w:t>
      </w:r>
      <w:r w:rsidR="00273B2F" w:rsidRPr="00FB13AB">
        <w:rPr>
          <w:rFonts w:ascii="Palatino Linotype" w:eastAsia="Palatino Linotype" w:hAnsi="Palatino Linotype" w:cs="Palatino Linotype"/>
          <w:b/>
          <w:color w:val="000000" w:themeColor="text1"/>
        </w:rPr>
        <w:t>bre</w:t>
      </w:r>
      <w:r w:rsidRPr="00FB13AB">
        <w:rPr>
          <w:rFonts w:ascii="Palatino Linotype" w:eastAsia="Palatino Linotype" w:hAnsi="Palatino Linotype" w:cs="Palatino Linotype"/>
          <w:b/>
          <w:color w:val="000000" w:themeColor="text1"/>
        </w:rPr>
        <w:t xml:space="preserve"> de dos mil </w:t>
      </w:r>
      <w:r w:rsidR="00F318E1" w:rsidRPr="00FB13AB">
        <w:rPr>
          <w:rFonts w:ascii="Palatino Linotype" w:eastAsia="Palatino Linotype" w:hAnsi="Palatino Linotype" w:cs="Palatino Linotype"/>
          <w:b/>
          <w:color w:val="000000" w:themeColor="text1"/>
        </w:rPr>
        <w:t>veinticinco</w:t>
      </w:r>
      <w:r w:rsidRPr="00FA45F8">
        <w:rPr>
          <w:rFonts w:ascii="Palatino Linotype" w:eastAsia="Palatino Linotype" w:hAnsi="Palatino Linotype" w:cs="Palatino Linotype"/>
          <w:color w:val="000000" w:themeColor="text1"/>
        </w:rPr>
        <w:t>.</w:t>
      </w: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402401" w:rsidP="00FA45F8">
      <w:pPr>
        <w:spacing w:line="360" w:lineRule="auto"/>
        <w:ind w:right="49"/>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b/>
          <w:color w:val="000000" w:themeColor="text1"/>
        </w:rPr>
        <w:t xml:space="preserve">VISTAS </w:t>
      </w:r>
      <w:r w:rsidRPr="00FA45F8">
        <w:rPr>
          <w:rFonts w:ascii="Palatino Linotype" w:eastAsia="Palatino Linotype" w:hAnsi="Palatino Linotype" w:cs="Palatino Linotype"/>
          <w:color w:val="000000" w:themeColor="text1"/>
        </w:rPr>
        <w:t xml:space="preserve">las constancias para resolver el Recurso de Revisión presentado por </w:t>
      </w:r>
      <w:r w:rsidR="00A12EA9">
        <w:rPr>
          <w:rFonts w:ascii="Palatino Linotype" w:eastAsia="Palatino Linotype" w:hAnsi="Palatino Linotype" w:cs="Palatino Linotype"/>
          <w:b/>
          <w:color w:val="000000" w:themeColor="text1"/>
        </w:rPr>
        <w:t>XXXX</w:t>
      </w:r>
      <w:r w:rsidRPr="00FA45F8">
        <w:rPr>
          <w:rFonts w:ascii="Palatino Linotype" w:eastAsia="Palatino Linotype" w:hAnsi="Palatino Linotype" w:cs="Palatino Linotype"/>
          <w:b/>
          <w:color w:val="000000" w:themeColor="text1"/>
        </w:rPr>
        <w:t>,</w:t>
      </w:r>
      <w:r w:rsidR="00C014D8" w:rsidRPr="00FA45F8">
        <w:rPr>
          <w:rFonts w:ascii="Palatino Linotype" w:eastAsia="Palatino Linotype" w:hAnsi="Palatino Linotype" w:cs="Palatino Linotype"/>
          <w:color w:val="000000" w:themeColor="text1"/>
        </w:rPr>
        <w:t xml:space="preserve"> en lo sucesivo l</w:t>
      </w:r>
      <w:r w:rsidR="00273B2F" w:rsidRPr="00FA45F8">
        <w:rPr>
          <w:rFonts w:ascii="Palatino Linotype" w:eastAsia="Palatino Linotype" w:hAnsi="Palatino Linotype" w:cs="Palatino Linotype"/>
          <w:color w:val="000000" w:themeColor="text1"/>
        </w:rPr>
        <w:t>a</w:t>
      </w:r>
      <w:r w:rsidRPr="00FA45F8">
        <w:rPr>
          <w:rFonts w:ascii="Palatino Linotype" w:eastAsia="Palatino Linotype" w:hAnsi="Palatino Linotype" w:cs="Palatino Linotype"/>
          <w:color w:val="000000" w:themeColor="text1"/>
        </w:rPr>
        <w:t xml:space="preserve"> </w:t>
      </w:r>
      <w:r w:rsidRPr="00FA45F8">
        <w:rPr>
          <w:rFonts w:ascii="Palatino Linotype" w:eastAsia="Palatino Linotype" w:hAnsi="Palatino Linotype" w:cs="Palatino Linotype"/>
          <w:b/>
          <w:color w:val="000000" w:themeColor="text1"/>
        </w:rPr>
        <w:t>RECURRENTE,</w:t>
      </w:r>
      <w:r w:rsidRPr="00FA45F8">
        <w:rPr>
          <w:rFonts w:ascii="Palatino Linotype" w:eastAsia="Palatino Linotype" w:hAnsi="Palatino Linotype" w:cs="Palatino Linotype"/>
          <w:color w:val="000000" w:themeColor="text1"/>
        </w:rPr>
        <w:t xml:space="preserve"> en contra</w:t>
      </w:r>
      <w:r w:rsidR="00EB3352" w:rsidRPr="00FA45F8">
        <w:rPr>
          <w:rFonts w:ascii="Palatino Linotype" w:eastAsia="Palatino Linotype" w:hAnsi="Palatino Linotype" w:cs="Palatino Linotype"/>
          <w:color w:val="000000" w:themeColor="text1"/>
        </w:rPr>
        <w:t xml:space="preserve"> de la respuesta otorgada a la S</w:t>
      </w:r>
      <w:r w:rsidRPr="00FA45F8">
        <w:rPr>
          <w:rFonts w:ascii="Palatino Linotype" w:eastAsia="Palatino Linotype" w:hAnsi="Palatino Linotype" w:cs="Palatino Linotype"/>
          <w:color w:val="000000" w:themeColor="text1"/>
        </w:rPr>
        <w:t xml:space="preserve">olicitud de </w:t>
      </w:r>
      <w:r w:rsidR="00EB3352" w:rsidRPr="00FA45F8">
        <w:rPr>
          <w:rFonts w:ascii="Palatino Linotype" w:eastAsia="Palatino Linotype" w:hAnsi="Palatino Linotype" w:cs="Palatino Linotype"/>
          <w:color w:val="000000" w:themeColor="text1"/>
        </w:rPr>
        <w:t>A</w:t>
      </w:r>
      <w:r w:rsidR="00837D8F" w:rsidRPr="00FA45F8">
        <w:rPr>
          <w:rFonts w:ascii="Palatino Linotype" w:eastAsia="Palatino Linotype" w:hAnsi="Palatino Linotype" w:cs="Palatino Linotype"/>
          <w:color w:val="000000" w:themeColor="text1"/>
        </w:rPr>
        <w:t xml:space="preserve">cceso a </w:t>
      </w:r>
      <w:r w:rsidR="00EB3352" w:rsidRPr="00FA45F8">
        <w:rPr>
          <w:rFonts w:ascii="Palatino Linotype" w:eastAsia="Palatino Linotype" w:hAnsi="Palatino Linotype" w:cs="Palatino Linotype"/>
          <w:color w:val="000000" w:themeColor="text1"/>
        </w:rPr>
        <w:t>D</w:t>
      </w:r>
      <w:r w:rsidR="00837D8F" w:rsidRPr="00FA45F8">
        <w:rPr>
          <w:rFonts w:ascii="Palatino Linotype" w:eastAsia="Palatino Linotype" w:hAnsi="Palatino Linotype" w:cs="Palatino Linotype"/>
          <w:color w:val="000000" w:themeColor="text1"/>
        </w:rPr>
        <w:t xml:space="preserve">atos </w:t>
      </w:r>
      <w:r w:rsidR="00EB3352" w:rsidRPr="00FA45F8">
        <w:rPr>
          <w:rFonts w:ascii="Palatino Linotype" w:eastAsia="Palatino Linotype" w:hAnsi="Palatino Linotype" w:cs="Palatino Linotype"/>
          <w:color w:val="000000" w:themeColor="text1"/>
        </w:rPr>
        <w:t>P</w:t>
      </w:r>
      <w:r w:rsidR="00837D8F" w:rsidRPr="00FA45F8">
        <w:rPr>
          <w:rFonts w:ascii="Palatino Linotype" w:eastAsia="Palatino Linotype" w:hAnsi="Palatino Linotype" w:cs="Palatino Linotype"/>
          <w:color w:val="000000" w:themeColor="text1"/>
        </w:rPr>
        <w:t>ersonales</w:t>
      </w:r>
      <w:r w:rsidRPr="00FA45F8">
        <w:rPr>
          <w:rFonts w:ascii="Palatino Linotype" w:eastAsia="Palatino Linotype" w:hAnsi="Palatino Linotype" w:cs="Palatino Linotype"/>
          <w:color w:val="000000" w:themeColor="text1"/>
        </w:rPr>
        <w:t xml:space="preserve"> con número de folio </w:t>
      </w:r>
      <w:r w:rsidR="00B5634F" w:rsidRPr="00FA45F8">
        <w:rPr>
          <w:rFonts w:ascii="Palatino Linotype" w:eastAsia="Palatino Linotype" w:hAnsi="Palatino Linotype" w:cs="Palatino Linotype"/>
          <w:b/>
          <w:color w:val="000000" w:themeColor="text1"/>
        </w:rPr>
        <w:t>01106/ISSEMYM/AD/2025</w:t>
      </w:r>
      <w:r w:rsidRPr="00FA45F8">
        <w:rPr>
          <w:rFonts w:ascii="Palatino Linotype" w:eastAsia="Palatino Linotype" w:hAnsi="Palatino Linotype" w:cs="Palatino Linotype"/>
          <w:color w:val="000000" w:themeColor="text1"/>
        </w:rPr>
        <w:t>, que dio origen al Recurso de Revisión</w:t>
      </w:r>
      <w:r w:rsidR="002D48F6" w:rsidRPr="00FA45F8">
        <w:rPr>
          <w:rFonts w:ascii="Palatino Linotype" w:eastAsia="Palatino Linotype" w:hAnsi="Palatino Linotype" w:cs="Palatino Linotype"/>
          <w:color w:val="000000" w:themeColor="text1"/>
        </w:rPr>
        <w:t xml:space="preserve"> </w:t>
      </w:r>
      <w:r w:rsidR="00E361D8" w:rsidRPr="00FA45F8">
        <w:rPr>
          <w:rFonts w:ascii="Palatino Linotype" w:eastAsia="Palatino Linotype" w:hAnsi="Palatino Linotype" w:cs="Palatino Linotype"/>
          <w:b/>
          <w:color w:val="000000" w:themeColor="text1"/>
        </w:rPr>
        <w:t>11153/INFOEM/AD/RR/2025</w:t>
      </w:r>
      <w:r w:rsidRPr="00FA45F8">
        <w:rPr>
          <w:rFonts w:ascii="Palatino Linotype" w:eastAsia="Palatino Linotype" w:hAnsi="Palatino Linotype" w:cs="Palatino Linotype"/>
          <w:color w:val="000000" w:themeColor="text1"/>
        </w:rPr>
        <w:t xml:space="preserve">, </w:t>
      </w:r>
      <w:r w:rsidR="00B5634F" w:rsidRPr="00FA45F8">
        <w:rPr>
          <w:rFonts w:ascii="Palatino Linotype" w:eastAsia="Palatino Linotype" w:hAnsi="Palatino Linotype" w:cs="Palatino Linotype"/>
          <w:color w:val="000000" w:themeColor="text1"/>
        </w:rPr>
        <w:t xml:space="preserve">ante </w:t>
      </w:r>
      <w:r w:rsidRPr="00FA45F8">
        <w:rPr>
          <w:rFonts w:ascii="Palatino Linotype" w:eastAsia="Palatino Linotype" w:hAnsi="Palatino Linotype" w:cs="Palatino Linotype"/>
          <w:color w:val="000000" w:themeColor="text1"/>
        </w:rPr>
        <w:t xml:space="preserve">el </w:t>
      </w:r>
      <w:r w:rsidR="00E361D8" w:rsidRPr="00FA45F8">
        <w:rPr>
          <w:rFonts w:ascii="Palatino Linotype" w:eastAsia="Palatino Linotype" w:hAnsi="Palatino Linotype" w:cs="Palatino Linotype"/>
          <w:b/>
          <w:color w:val="000000" w:themeColor="text1"/>
        </w:rPr>
        <w:t>Instituto de Seguridad Social del Estado de México y Municipios</w:t>
      </w:r>
      <w:r w:rsidRPr="00FA45F8">
        <w:rPr>
          <w:rFonts w:ascii="Palatino Linotype" w:eastAsia="Palatino Linotype" w:hAnsi="Palatino Linotype" w:cs="Palatino Linotype"/>
          <w:b/>
          <w:color w:val="000000" w:themeColor="text1"/>
        </w:rPr>
        <w:t xml:space="preserve"> </w:t>
      </w:r>
      <w:r w:rsidRPr="00FA45F8">
        <w:rPr>
          <w:rFonts w:ascii="Palatino Linotype" w:eastAsia="Palatino Linotype" w:hAnsi="Palatino Linotype" w:cs="Palatino Linotype"/>
          <w:color w:val="000000" w:themeColor="text1"/>
        </w:rPr>
        <w:t>en adelante el</w:t>
      </w:r>
      <w:r w:rsidRPr="00FA45F8">
        <w:rPr>
          <w:rFonts w:ascii="Palatino Linotype" w:eastAsia="Palatino Linotype" w:hAnsi="Palatino Linotype" w:cs="Palatino Linotype"/>
          <w:b/>
          <w:color w:val="000000" w:themeColor="text1"/>
        </w:rPr>
        <w:t xml:space="preserve"> SUJETO OBLIGADO</w:t>
      </w:r>
      <w:r w:rsidR="00CD752B" w:rsidRPr="00FA45F8">
        <w:rPr>
          <w:rFonts w:ascii="Palatino Linotype" w:eastAsia="Palatino Linotype" w:hAnsi="Palatino Linotype" w:cs="Palatino Linotype"/>
          <w:color w:val="000000" w:themeColor="text1"/>
        </w:rPr>
        <w:t>,</w:t>
      </w:r>
      <w:r w:rsidR="00C014D8" w:rsidRPr="00FA45F8">
        <w:rPr>
          <w:rFonts w:ascii="Palatino Linotype" w:eastAsia="Palatino Linotype" w:hAnsi="Palatino Linotype" w:cs="Palatino Linotype"/>
          <w:color w:val="000000" w:themeColor="text1"/>
        </w:rPr>
        <w:t xml:space="preserve"> se emite la presente R</w:t>
      </w:r>
      <w:r w:rsidRPr="00FA45F8">
        <w:rPr>
          <w:rFonts w:ascii="Palatino Linotype" w:eastAsia="Palatino Linotype" w:hAnsi="Palatino Linotype" w:cs="Palatino Linotype"/>
          <w:color w:val="000000" w:themeColor="text1"/>
        </w:rPr>
        <w:t>esolución con base en los siguientes:</w:t>
      </w:r>
    </w:p>
    <w:p w:rsidR="008D0CF1" w:rsidRPr="00FA45F8" w:rsidRDefault="008D0CF1" w:rsidP="00FA45F8">
      <w:pPr>
        <w:spacing w:line="360" w:lineRule="auto"/>
        <w:ind w:right="49"/>
        <w:jc w:val="both"/>
        <w:rPr>
          <w:rFonts w:ascii="Palatino Linotype" w:eastAsia="Palatino Linotype" w:hAnsi="Palatino Linotype" w:cs="Palatino Linotype"/>
          <w:b/>
          <w:color w:val="000000" w:themeColor="text1"/>
        </w:rPr>
      </w:pPr>
    </w:p>
    <w:p w:rsidR="008D0CF1" w:rsidRPr="00FA45F8" w:rsidRDefault="00402401" w:rsidP="00FA45F8">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2" w:name="_heading=h.30j0zll" w:colFirst="0" w:colLast="0"/>
      <w:bookmarkEnd w:id="2"/>
      <w:r w:rsidRPr="00FA45F8">
        <w:rPr>
          <w:rFonts w:ascii="Palatino Linotype" w:eastAsia="Palatino Linotype" w:hAnsi="Palatino Linotype" w:cs="Palatino Linotype"/>
          <w:b/>
          <w:color w:val="000000" w:themeColor="text1"/>
          <w:sz w:val="24"/>
          <w:szCs w:val="24"/>
        </w:rPr>
        <w:t>A N T E C E D E N T E S</w:t>
      </w:r>
    </w:p>
    <w:p w:rsidR="008D0CF1" w:rsidRPr="00FA45F8" w:rsidRDefault="008D0CF1" w:rsidP="00FA45F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8D0CF1" w:rsidRPr="00FA45F8" w:rsidRDefault="00402401"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El día</w:t>
      </w:r>
      <w:r w:rsidRPr="00FA45F8">
        <w:rPr>
          <w:rFonts w:ascii="Palatino Linotype" w:eastAsia="Palatino Linotype" w:hAnsi="Palatino Linotype" w:cs="Palatino Linotype"/>
          <w:b/>
          <w:color w:val="000000" w:themeColor="text1"/>
        </w:rPr>
        <w:t xml:space="preserve"> </w:t>
      </w:r>
      <w:r w:rsidR="00B5634F" w:rsidRPr="00FA45F8">
        <w:rPr>
          <w:rFonts w:ascii="Palatino Linotype" w:eastAsia="Palatino Linotype" w:hAnsi="Palatino Linotype" w:cs="Palatino Linotype"/>
          <w:b/>
          <w:color w:val="000000" w:themeColor="text1"/>
        </w:rPr>
        <w:t>veinticinco</w:t>
      </w:r>
      <w:r w:rsidR="00273B2F" w:rsidRPr="00FA45F8">
        <w:rPr>
          <w:rFonts w:ascii="Palatino Linotype" w:eastAsia="Palatino Linotype" w:hAnsi="Palatino Linotype" w:cs="Palatino Linotype"/>
          <w:b/>
          <w:color w:val="000000" w:themeColor="text1"/>
        </w:rPr>
        <w:t xml:space="preserve"> de </w:t>
      </w:r>
      <w:r w:rsidR="00B5634F" w:rsidRPr="00FA45F8">
        <w:rPr>
          <w:rFonts w:ascii="Palatino Linotype" w:eastAsia="Palatino Linotype" w:hAnsi="Palatino Linotype" w:cs="Palatino Linotype"/>
          <w:b/>
          <w:color w:val="000000" w:themeColor="text1"/>
        </w:rPr>
        <w:t>agost</w:t>
      </w:r>
      <w:r w:rsidR="00273B2F" w:rsidRPr="00FA45F8">
        <w:rPr>
          <w:rFonts w:ascii="Palatino Linotype" w:eastAsia="Palatino Linotype" w:hAnsi="Palatino Linotype" w:cs="Palatino Linotype"/>
          <w:b/>
          <w:color w:val="000000" w:themeColor="text1"/>
        </w:rPr>
        <w:t>o</w:t>
      </w:r>
      <w:r w:rsidR="002D48F6" w:rsidRPr="00FA45F8">
        <w:rPr>
          <w:rFonts w:ascii="Palatino Linotype" w:eastAsia="Palatino Linotype" w:hAnsi="Palatino Linotype" w:cs="Palatino Linotype"/>
          <w:b/>
          <w:color w:val="000000" w:themeColor="text1"/>
        </w:rPr>
        <w:t xml:space="preserve"> de dos mil </w:t>
      </w:r>
      <w:r w:rsidR="00F318E1" w:rsidRPr="00FA45F8">
        <w:rPr>
          <w:rFonts w:ascii="Palatino Linotype" w:eastAsia="Palatino Linotype" w:hAnsi="Palatino Linotype" w:cs="Palatino Linotype"/>
          <w:b/>
          <w:color w:val="000000" w:themeColor="text1"/>
        </w:rPr>
        <w:t>veinticinco</w:t>
      </w:r>
      <w:r w:rsidRPr="00FA45F8">
        <w:rPr>
          <w:rFonts w:ascii="Palatino Linotype" w:eastAsia="Palatino Linotype" w:hAnsi="Palatino Linotype" w:cs="Palatino Linotype"/>
          <w:color w:val="000000" w:themeColor="text1"/>
        </w:rPr>
        <w:t>,</w:t>
      </w:r>
      <w:r w:rsidRPr="00FA45F8">
        <w:rPr>
          <w:rFonts w:ascii="Palatino Linotype" w:eastAsia="Palatino Linotype" w:hAnsi="Palatino Linotype" w:cs="Palatino Linotype"/>
          <w:b/>
          <w:color w:val="000000" w:themeColor="text1"/>
        </w:rPr>
        <w:t xml:space="preserve"> </w:t>
      </w:r>
      <w:r w:rsidRPr="00FA45F8">
        <w:rPr>
          <w:rFonts w:ascii="Palatino Linotype" w:eastAsia="Palatino Linotype" w:hAnsi="Palatino Linotype" w:cs="Palatino Linotype"/>
          <w:color w:val="000000" w:themeColor="text1"/>
        </w:rPr>
        <w:t xml:space="preserve">se presentó ante el </w:t>
      </w:r>
      <w:r w:rsidR="00C014D8" w:rsidRPr="00FA45F8">
        <w:rPr>
          <w:rFonts w:ascii="Palatino Linotype" w:eastAsia="Palatino Linotype" w:hAnsi="Palatino Linotype" w:cs="Palatino Linotype"/>
          <w:b/>
          <w:color w:val="000000" w:themeColor="text1"/>
        </w:rPr>
        <w:t>SUJETO OBLIGADO</w:t>
      </w:r>
      <w:r w:rsidRPr="00FA45F8">
        <w:rPr>
          <w:rFonts w:ascii="Palatino Linotype" w:eastAsia="Palatino Linotype" w:hAnsi="Palatino Linotype" w:cs="Palatino Linotype"/>
          <w:color w:val="000000" w:themeColor="text1"/>
        </w:rPr>
        <w:t xml:space="preserve"> </w:t>
      </w:r>
      <w:r w:rsidR="002D48F6" w:rsidRPr="00FA45F8">
        <w:rPr>
          <w:rFonts w:ascii="Palatino Linotype" w:eastAsia="Palatino Linotype" w:hAnsi="Palatino Linotype" w:cs="Palatino Linotype"/>
          <w:color w:val="000000" w:themeColor="text1"/>
        </w:rPr>
        <w:t xml:space="preserve">la solicitud de </w:t>
      </w:r>
      <w:r w:rsidR="00837692" w:rsidRPr="00FA45F8">
        <w:rPr>
          <w:rFonts w:ascii="Palatino Linotype" w:eastAsia="Palatino Linotype" w:hAnsi="Palatino Linotype" w:cs="Palatino Linotype"/>
          <w:color w:val="000000" w:themeColor="text1"/>
        </w:rPr>
        <w:t>acceso a datos</w:t>
      </w:r>
      <w:r w:rsidR="002D48F6" w:rsidRPr="00FA45F8">
        <w:rPr>
          <w:rFonts w:ascii="Palatino Linotype" w:eastAsia="Palatino Linotype" w:hAnsi="Palatino Linotype" w:cs="Palatino Linotype"/>
          <w:color w:val="000000" w:themeColor="text1"/>
        </w:rPr>
        <w:t xml:space="preserve"> a través del </w:t>
      </w:r>
      <w:r w:rsidR="00837692" w:rsidRPr="00FA45F8">
        <w:rPr>
          <w:rFonts w:ascii="Palatino Linotype" w:eastAsia="Palatino Linotype" w:hAnsi="Palatino Linotype" w:cs="Palatino Linotype"/>
          <w:color w:val="000000" w:themeColor="text1"/>
        </w:rPr>
        <w:t>Sistema de Acceso, Rectificación, Cancelación y Oposición de Datos Personales del Estado de México</w:t>
      </w:r>
      <w:r w:rsidR="002D48F6" w:rsidRPr="00FA45F8">
        <w:rPr>
          <w:rFonts w:ascii="Palatino Linotype" w:eastAsia="Palatino Linotype" w:hAnsi="Palatino Linotype" w:cs="Palatino Linotype"/>
          <w:color w:val="000000" w:themeColor="text1"/>
        </w:rPr>
        <w:t xml:space="preserve"> (SA</w:t>
      </w:r>
      <w:r w:rsidR="00837692" w:rsidRPr="00FA45F8">
        <w:rPr>
          <w:rFonts w:ascii="Palatino Linotype" w:eastAsia="Palatino Linotype" w:hAnsi="Palatino Linotype" w:cs="Palatino Linotype"/>
          <w:color w:val="000000" w:themeColor="text1"/>
        </w:rPr>
        <w:t>RCOEM</w:t>
      </w:r>
      <w:r w:rsidR="002D48F6" w:rsidRPr="00FA45F8">
        <w:rPr>
          <w:rFonts w:ascii="Palatino Linotype" w:eastAsia="Palatino Linotype" w:hAnsi="Palatino Linotype" w:cs="Palatino Linotype"/>
          <w:color w:val="000000" w:themeColor="text1"/>
        </w:rPr>
        <w:t xml:space="preserve">), con el número de folio </w:t>
      </w:r>
      <w:r w:rsidR="00B5634F" w:rsidRPr="00FA45F8">
        <w:rPr>
          <w:rFonts w:ascii="Palatino Linotype" w:eastAsia="Palatino Linotype" w:hAnsi="Palatino Linotype" w:cs="Palatino Linotype"/>
          <w:color w:val="000000" w:themeColor="text1"/>
        </w:rPr>
        <w:t>01106/ISSEMYM/AD/2025</w:t>
      </w:r>
      <w:r w:rsidR="002D48F6" w:rsidRPr="00FA45F8">
        <w:rPr>
          <w:rFonts w:ascii="Palatino Linotype" w:eastAsia="Palatino Linotype" w:hAnsi="Palatino Linotype" w:cs="Palatino Linotype"/>
          <w:color w:val="000000" w:themeColor="text1"/>
        </w:rPr>
        <w:t xml:space="preserve">, </w:t>
      </w:r>
      <w:r w:rsidR="00837692" w:rsidRPr="00FA45F8">
        <w:rPr>
          <w:rFonts w:ascii="Palatino Linotype" w:eastAsia="Palatino Linotype" w:hAnsi="Palatino Linotype" w:cs="Palatino Linotype"/>
          <w:color w:val="000000" w:themeColor="text1"/>
        </w:rPr>
        <w:t>cuyo contenido es el siguiente</w:t>
      </w:r>
      <w:r w:rsidRPr="00FA45F8">
        <w:rPr>
          <w:rFonts w:ascii="Palatino Linotype" w:eastAsia="Palatino Linotype" w:hAnsi="Palatino Linotype" w:cs="Palatino Linotype"/>
          <w:color w:val="000000" w:themeColor="text1"/>
        </w:rPr>
        <w:t>:</w:t>
      </w:r>
    </w:p>
    <w:p w:rsidR="008D0CF1" w:rsidRPr="00FA45F8" w:rsidRDefault="008D0CF1" w:rsidP="00FA45F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FA45F8" w:rsidRDefault="00402401" w:rsidP="00FA45F8">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FA45F8">
        <w:rPr>
          <w:rFonts w:ascii="Palatino Linotype" w:eastAsia="Palatino Linotype" w:hAnsi="Palatino Linotype" w:cs="Palatino Linotype"/>
          <w:i/>
          <w:color w:val="000000" w:themeColor="text1"/>
        </w:rPr>
        <w:t>“</w:t>
      </w:r>
      <w:r w:rsidR="00B5634F" w:rsidRPr="00FA45F8">
        <w:rPr>
          <w:rFonts w:ascii="Palatino Linotype" w:eastAsia="Palatino Linotype" w:hAnsi="Palatino Linotype" w:cs="Palatino Linotype"/>
          <w:i/>
          <w:color w:val="000000" w:themeColor="text1"/>
        </w:rPr>
        <w:t>SOLICITO COPIA CERTIFICADA DEL AVISO DE MOVIMIENTO DE BAJA DEL FALLECIDO PADRE DE MI HIJO MENOR DE EDAD</w:t>
      </w:r>
      <w:proofErr w:type="gramStart"/>
      <w:r w:rsidR="00B5634F" w:rsidRPr="00FA45F8">
        <w:rPr>
          <w:rFonts w:ascii="Palatino Linotype" w:eastAsia="Palatino Linotype" w:hAnsi="Palatino Linotype" w:cs="Palatino Linotype"/>
          <w:i/>
          <w:color w:val="000000" w:themeColor="text1"/>
        </w:rPr>
        <w:t>,QUIEN</w:t>
      </w:r>
      <w:proofErr w:type="gramEnd"/>
      <w:r w:rsidR="00B5634F" w:rsidRPr="00FA45F8">
        <w:rPr>
          <w:rFonts w:ascii="Palatino Linotype" w:eastAsia="Palatino Linotype" w:hAnsi="Palatino Linotype" w:cs="Palatino Linotype"/>
          <w:i/>
          <w:color w:val="000000" w:themeColor="text1"/>
        </w:rPr>
        <w:t xml:space="preserve"> LLEVARA POR NOMBRE </w:t>
      </w:r>
      <w:r w:rsidR="00A12EA9">
        <w:rPr>
          <w:rFonts w:ascii="Palatino Linotype" w:eastAsia="Palatino Linotype" w:hAnsi="Palatino Linotype" w:cs="Palatino Linotype"/>
          <w:i/>
          <w:color w:val="000000" w:themeColor="text1"/>
        </w:rPr>
        <w:t>XXXX</w:t>
      </w:r>
      <w:r w:rsidR="00B5634F" w:rsidRPr="00FA45F8">
        <w:rPr>
          <w:rFonts w:ascii="Palatino Linotype" w:eastAsia="Palatino Linotype" w:hAnsi="Palatino Linotype" w:cs="Palatino Linotype"/>
          <w:i/>
          <w:color w:val="000000" w:themeColor="text1"/>
        </w:rPr>
        <w:t xml:space="preserve">, CLAVE ISSEMYM </w:t>
      </w:r>
      <w:r w:rsidR="00A12EA9">
        <w:rPr>
          <w:rFonts w:ascii="Palatino Linotype" w:eastAsia="Palatino Linotype" w:hAnsi="Palatino Linotype" w:cs="Palatino Linotype"/>
          <w:i/>
          <w:color w:val="000000" w:themeColor="text1"/>
        </w:rPr>
        <w:t>XXXX</w:t>
      </w:r>
      <w:r w:rsidR="00B5634F" w:rsidRPr="00FA45F8">
        <w:rPr>
          <w:rFonts w:ascii="Palatino Linotype" w:eastAsia="Palatino Linotype" w:hAnsi="Palatino Linotype" w:cs="Palatino Linotype"/>
          <w:i/>
          <w:color w:val="000000" w:themeColor="text1"/>
        </w:rPr>
        <w:t>, FECHA OCTUBRE DE 2018.</w:t>
      </w:r>
      <w:r w:rsidRPr="00FA45F8">
        <w:rPr>
          <w:rFonts w:ascii="Palatino Linotype" w:eastAsia="Palatino Linotype" w:hAnsi="Palatino Linotype" w:cs="Palatino Linotype"/>
          <w:i/>
          <w:color w:val="000000" w:themeColor="text1"/>
        </w:rPr>
        <w:t>”</w:t>
      </w:r>
    </w:p>
    <w:p w:rsidR="00A46E30" w:rsidRPr="00FA45F8" w:rsidRDefault="00A46E30" w:rsidP="00FA45F8">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56127E" w:rsidRDefault="0056127E" w:rsidP="0056127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FA45F8" w:rsidRDefault="00402401" w:rsidP="00FA45F8">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lastRenderedPageBreak/>
        <w:t xml:space="preserve">Se eligió como modalidad de entrega de la información: </w:t>
      </w:r>
      <w:r w:rsidR="005162D2" w:rsidRPr="00FA45F8">
        <w:rPr>
          <w:rFonts w:ascii="Palatino Linotype" w:eastAsia="Palatino Linotype" w:hAnsi="Palatino Linotype" w:cs="Palatino Linotype"/>
          <w:b/>
          <w:color w:val="000000" w:themeColor="text1"/>
        </w:rPr>
        <w:t>Copias</w:t>
      </w:r>
      <w:r w:rsidR="00E67AA0" w:rsidRPr="00FA45F8">
        <w:rPr>
          <w:rFonts w:ascii="Palatino Linotype" w:eastAsia="Palatino Linotype" w:hAnsi="Palatino Linotype" w:cs="Palatino Linotype"/>
          <w:b/>
          <w:color w:val="000000" w:themeColor="text1"/>
        </w:rPr>
        <w:t xml:space="preserve"> certificada</w:t>
      </w:r>
      <w:r w:rsidR="003C1454" w:rsidRPr="00FA45F8">
        <w:rPr>
          <w:rFonts w:ascii="Palatino Linotype" w:eastAsia="Palatino Linotype" w:hAnsi="Palatino Linotype" w:cs="Palatino Linotype"/>
          <w:b/>
          <w:color w:val="000000" w:themeColor="text1"/>
        </w:rPr>
        <w:t>s</w:t>
      </w:r>
      <w:r w:rsidR="00294284" w:rsidRPr="00FA45F8">
        <w:rPr>
          <w:rFonts w:ascii="Palatino Linotype" w:eastAsia="Palatino Linotype" w:hAnsi="Palatino Linotype" w:cs="Palatino Linotype"/>
          <w:b/>
          <w:color w:val="000000" w:themeColor="text1"/>
        </w:rPr>
        <w:t xml:space="preserve"> con costo.</w:t>
      </w:r>
    </w:p>
    <w:p w:rsidR="00E67AA0" w:rsidRPr="00FA45F8" w:rsidRDefault="00E67AA0" w:rsidP="00FA45F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6A4F31" w:rsidRPr="00FA45F8" w:rsidRDefault="00294284" w:rsidP="00FA45F8">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b/>
          <w:color w:val="000000" w:themeColor="text1"/>
        </w:rPr>
        <w:t xml:space="preserve">Documentos adjuntos: </w:t>
      </w:r>
      <w:r w:rsidR="00A12EA9">
        <w:rPr>
          <w:rFonts w:ascii="Palatino Linotype" w:eastAsia="Palatino Linotype" w:hAnsi="Palatino Linotype" w:cs="Palatino Linotype"/>
          <w:b/>
          <w:i/>
          <w:color w:val="000000" w:themeColor="text1"/>
        </w:rPr>
        <w:t>XXXX</w:t>
      </w:r>
      <w:r w:rsidR="00B5634F" w:rsidRPr="00FA45F8">
        <w:rPr>
          <w:rFonts w:ascii="Palatino Linotype" w:eastAsia="Palatino Linotype" w:hAnsi="Palatino Linotype" w:cs="Palatino Linotype"/>
          <w:b/>
          <w:i/>
          <w:color w:val="000000" w:themeColor="text1"/>
        </w:rPr>
        <w:t>.pdf</w:t>
      </w:r>
      <w:r w:rsidR="006A4F31" w:rsidRPr="00FA45F8">
        <w:rPr>
          <w:rFonts w:ascii="Palatino Linotype" w:hAnsi="Palatino Linotype"/>
          <w:b/>
          <w:color w:val="000000" w:themeColor="text1"/>
        </w:rPr>
        <w:t>,</w:t>
      </w:r>
      <w:r w:rsidR="006A4F31" w:rsidRPr="00FA45F8">
        <w:rPr>
          <w:rFonts w:ascii="Palatino Linotype" w:hAnsi="Palatino Linotype"/>
          <w:color w:val="000000" w:themeColor="text1"/>
        </w:rPr>
        <w:t xml:space="preserve"> </w:t>
      </w:r>
      <w:r w:rsidR="003C1454" w:rsidRPr="00FA45F8">
        <w:rPr>
          <w:rFonts w:ascii="Palatino Linotype" w:eastAsia="Palatino Linotype" w:hAnsi="Palatino Linotype" w:cs="Palatino Linotype"/>
          <w:color w:val="000000" w:themeColor="text1"/>
        </w:rPr>
        <w:t xml:space="preserve">que </w:t>
      </w:r>
      <w:r w:rsidR="00B5634F" w:rsidRPr="00FA45F8">
        <w:rPr>
          <w:rFonts w:ascii="Palatino Linotype" w:eastAsia="Palatino Linotype" w:hAnsi="Palatino Linotype" w:cs="Palatino Linotype"/>
          <w:color w:val="000000" w:themeColor="text1"/>
        </w:rPr>
        <w:t>contiene dos credenciales para votar con fotografía;</w:t>
      </w:r>
      <w:r w:rsidR="003C1454" w:rsidRPr="00FA45F8">
        <w:rPr>
          <w:rFonts w:ascii="Palatino Linotype" w:eastAsia="Palatino Linotype" w:hAnsi="Palatino Linotype" w:cs="Palatino Linotype"/>
          <w:color w:val="000000" w:themeColor="text1"/>
        </w:rPr>
        <w:t xml:space="preserve"> la primera a favor de la persona que suscribe la solicitud de acceso a datos personales y otra </w:t>
      </w:r>
      <w:r w:rsidR="00B5634F" w:rsidRPr="00FA45F8">
        <w:rPr>
          <w:rFonts w:ascii="Palatino Linotype" w:eastAsia="Palatino Linotype" w:hAnsi="Palatino Linotype" w:cs="Palatino Linotype"/>
          <w:color w:val="000000" w:themeColor="text1"/>
        </w:rPr>
        <w:t>de</w:t>
      </w:r>
      <w:r w:rsidR="003C1454" w:rsidRPr="00FA45F8">
        <w:rPr>
          <w:rFonts w:ascii="Palatino Linotype" w:eastAsia="Palatino Linotype" w:hAnsi="Palatino Linotype" w:cs="Palatino Linotype"/>
          <w:color w:val="000000" w:themeColor="text1"/>
        </w:rPr>
        <w:t>l titular de los datos personales</w:t>
      </w:r>
      <w:r w:rsidR="00B5634F" w:rsidRPr="00FA45F8">
        <w:rPr>
          <w:rFonts w:ascii="Palatino Linotype" w:eastAsia="Palatino Linotype" w:hAnsi="Palatino Linotype" w:cs="Palatino Linotype"/>
          <w:color w:val="000000" w:themeColor="text1"/>
        </w:rPr>
        <w:t>; así como un acta de defunción del titular de los datos personales y un acta de nacimiento del menor hijo de la solicitante y el titular de los datos personales.</w:t>
      </w:r>
    </w:p>
    <w:p w:rsidR="00103C1D" w:rsidRPr="00FA45F8" w:rsidRDefault="00103C1D" w:rsidP="00FA45F8">
      <w:pPr>
        <w:pStyle w:val="Prrafodelista"/>
        <w:spacing w:line="360" w:lineRule="auto"/>
        <w:ind w:left="0" w:right="49"/>
        <w:rPr>
          <w:rFonts w:ascii="Palatino Linotype" w:eastAsia="Palatino Linotype" w:hAnsi="Palatino Linotype" w:cs="Palatino Linotype"/>
          <w:color w:val="000000" w:themeColor="text1"/>
        </w:rPr>
      </w:pPr>
    </w:p>
    <w:p w:rsidR="00E67AA0" w:rsidRPr="00FA45F8" w:rsidRDefault="002D48F6"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En fecha </w:t>
      </w:r>
      <w:r w:rsidR="00B5634F" w:rsidRPr="00FA45F8">
        <w:rPr>
          <w:rFonts w:ascii="Palatino Linotype" w:eastAsia="Palatino Linotype" w:hAnsi="Palatino Linotype" w:cs="Palatino Linotype"/>
          <w:b/>
          <w:color w:val="000000" w:themeColor="text1"/>
        </w:rPr>
        <w:t>veintisiete</w:t>
      </w:r>
      <w:r w:rsidR="003C1454" w:rsidRPr="00FA45F8">
        <w:rPr>
          <w:rFonts w:ascii="Palatino Linotype" w:eastAsia="Palatino Linotype" w:hAnsi="Palatino Linotype" w:cs="Palatino Linotype"/>
          <w:b/>
          <w:color w:val="000000" w:themeColor="text1"/>
        </w:rPr>
        <w:t xml:space="preserve"> de </w:t>
      </w:r>
      <w:r w:rsidR="00B5634F" w:rsidRPr="00FA45F8">
        <w:rPr>
          <w:rFonts w:ascii="Palatino Linotype" w:eastAsia="Palatino Linotype" w:hAnsi="Palatino Linotype" w:cs="Palatino Linotype"/>
          <w:b/>
          <w:color w:val="000000" w:themeColor="text1"/>
        </w:rPr>
        <w:t>agosto</w:t>
      </w:r>
      <w:r w:rsidRPr="00FA45F8">
        <w:rPr>
          <w:rFonts w:ascii="Palatino Linotype" w:eastAsia="Palatino Linotype" w:hAnsi="Palatino Linotype" w:cs="Palatino Linotype"/>
          <w:b/>
          <w:color w:val="000000" w:themeColor="text1"/>
        </w:rPr>
        <w:t xml:space="preserve"> de dos mil </w:t>
      </w:r>
      <w:r w:rsidR="00F318E1" w:rsidRPr="00FA45F8">
        <w:rPr>
          <w:rFonts w:ascii="Palatino Linotype" w:eastAsia="Palatino Linotype" w:hAnsi="Palatino Linotype" w:cs="Palatino Linotype"/>
          <w:b/>
          <w:color w:val="000000" w:themeColor="text1"/>
        </w:rPr>
        <w:t>veinticinco</w:t>
      </w:r>
      <w:r w:rsidRPr="00FA45F8">
        <w:rPr>
          <w:rFonts w:ascii="Palatino Linotype" w:eastAsia="Palatino Linotype" w:hAnsi="Palatino Linotype" w:cs="Palatino Linotype"/>
          <w:color w:val="000000" w:themeColor="text1"/>
        </w:rPr>
        <w:t xml:space="preserve"> </w:t>
      </w:r>
      <w:r w:rsidR="00BF3610" w:rsidRPr="00FA45F8">
        <w:rPr>
          <w:rFonts w:ascii="Palatino Linotype" w:eastAsia="Palatino Linotype" w:hAnsi="Palatino Linotype" w:cs="Palatino Linotype"/>
          <w:color w:val="000000" w:themeColor="text1"/>
        </w:rPr>
        <w:t xml:space="preserve">el </w:t>
      </w:r>
      <w:r w:rsidR="00BF3610" w:rsidRPr="00FA45F8">
        <w:rPr>
          <w:rFonts w:ascii="Palatino Linotype" w:eastAsia="Palatino Linotype" w:hAnsi="Palatino Linotype" w:cs="Palatino Linotype"/>
          <w:b/>
          <w:color w:val="000000" w:themeColor="text1"/>
        </w:rPr>
        <w:t>SUJETO OBLIGADO</w:t>
      </w:r>
      <w:r w:rsidRPr="00FA45F8">
        <w:rPr>
          <w:rFonts w:ascii="Palatino Linotype" w:eastAsia="Palatino Linotype" w:hAnsi="Palatino Linotype" w:cs="Palatino Linotype"/>
          <w:color w:val="000000" w:themeColor="text1"/>
        </w:rPr>
        <w:t xml:space="preserve">, </w:t>
      </w:r>
      <w:r w:rsidR="009F10B8" w:rsidRPr="00FA45F8">
        <w:rPr>
          <w:rFonts w:ascii="Palatino Linotype" w:eastAsia="Palatino Linotype" w:hAnsi="Palatino Linotype" w:cs="Palatino Linotype"/>
          <w:color w:val="000000" w:themeColor="text1"/>
        </w:rPr>
        <w:t>realizó una solicitud de aclaración a la solicitante a efecto de que acreditara la representación del titular de los datos personales, mediante un poder notarial especial, o carta poder firmada antes dos testigos especificando que la representación se le otorgo para el trámite de acceso a datos personales antes del fallecimiento</w:t>
      </w:r>
      <w:r w:rsidR="00CD752B" w:rsidRPr="00FA45F8">
        <w:rPr>
          <w:rFonts w:ascii="Palatino Linotype" w:eastAsia="Palatino Linotype" w:hAnsi="Palatino Linotype" w:cs="Palatino Linotype"/>
          <w:color w:val="000000" w:themeColor="text1"/>
        </w:rPr>
        <w:t>.</w:t>
      </w:r>
    </w:p>
    <w:p w:rsidR="00103C1D" w:rsidRPr="00FA45F8" w:rsidRDefault="00103C1D" w:rsidP="00FA45F8">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p>
    <w:p w:rsidR="009F10B8" w:rsidRPr="00FA45F8" w:rsidRDefault="009F10B8"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Ante la omisión de atender la aclaración, el </w:t>
      </w:r>
      <w:r w:rsidRPr="00FA45F8">
        <w:rPr>
          <w:rFonts w:ascii="Palatino Linotype" w:eastAsia="Palatino Linotype" w:hAnsi="Palatino Linotype" w:cs="Palatino Linotype"/>
          <w:b/>
          <w:color w:val="000000" w:themeColor="text1"/>
        </w:rPr>
        <w:t>SUJETO OBLIGADO</w:t>
      </w:r>
      <w:r w:rsidRPr="00FA45F8">
        <w:rPr>
          <w:rFonts w:ascii="Palatino Linotype" w:eastAsia="Palatino Linotype" w:hAnsi="Palatino Linotype" w:cs="Palatino Linotype"/>
          <w:color w:val="000000" w:themeColor="text1"/>
        </w:rPr>
        <w:t xml:space="preserve"> en fecha </w:t>
      </w:r>
      <w:r w:rsidRPr="00FA45F8">
        <w:rPr>
          <w:rFonts w:ascii="Palatino Linotype" w:eastAsia="Palatino Linotype" w:hAnsi="Palatino Linotype" w:cs="Palatino Linotype"/>
          <w:b/>
          <w:color w:val="000000" w:themeColor="text1"/>
        </w:rPr>
        <w:t xml:space="preserve">veintidós de septiembre </w:t>
      </w:r>
      <w:r w:rsidRPr="00FA45F8">
        <w:rPr>
          <w:rFonts w:ascii="Palatino Linotype" w:eastAsia="Palatino Linotype" w:hAnsi="Palatino Linotype" w:cs="Palatino Linotype"/>
          <w:color w:val="000000" w:themeColor="text1"/>
        </w:rPr>
        <w:t>de</w:t>
      </w:r>
      <w:r w:rsidRPr="00FA45F8">
        <w:rPr>
          <w:rFonts w:ascii="Palatino Linotype" w:eastAsia="Palatino Linotype" w:hAnsi="Palatino Linotype" w:cs="Palatino Linotype"/>
          <w:b/>
          <w:color w:val="000000" w:themeColor="text1"/>
        </w:rPr>
        <w:t xml:space="preserve"> dos mil veinticinco, </w:t>
      </w:r>
      <w:r w:rsidRPr="00FA45F8">
        <w:rPr>
          <w:rFonts w:ascii="Palatino Linotype" w:eastAsia="Palatino Linotype" w:hAnsi="Palatino Linotype" w:cs="Palatino Linotype"/>
          <w:color w:val="000000" w:themeColor="text1"/>
        </w:rPr>
        <w:t>hizo del conocimiento que se tenía por no presentada la solicitud de aclaración, en virtud de que no presento aclaración complementación o corrección de datos de la solicitud notificando que quedaban a salvo los derechos de la solicitante para volver a presentar, asimismo que contaba con el derecho de interponer recurso de revisión dentro del plazo de 15 días hábiles contados a partir de la fecha en que se realizó la notificación vía electrónica.</w:t>
      </w:r>
    </w:p>
    <w:p w:rsidR="009F10B8" w:rsidRPr="00FA45F8" w:rsidRDefault="009F10B8" w:rsidP="00FA45F8">
      <w:pPr>
        <w:pStyle w:val="Prrafodelista"/>
        <w:spacing w:line="360" w:lineRule="auto"/>
        <w:ind w:left="0" w:right="49"/>
        <w:rPr>
          <w:rFonts w:ascii="Palatino Linotype" w:eastAsia="Palatino Linotype" w:hAnsi="Palatino Linotype" w:cs="Palatino Linotype"/>
          <w:color w:val="000000" w:themeColor="text1"/>
        </w:rPr>
      </w:pPr>
    </w:p>
    <w:p w:rsidR="008D0CF1" w:rsidRPr="00FA45F8" w:rsidRDefault="00A40CED"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lastRenderedPageBreak/>
        <w:t xml:space="preserve">El </w:t>
      </w:r>
      <w:r w:rsidR="009F10B8" w:rsidRPr="00FA45F8">
        <w:rPr>
          <w:rFonts w:ascii="Palatino Linotype" w:eastAsia="Palatino Linotype" w:hAnsi="Palatino Linotype" w:cs="Palatino Linotype"/>
          <w:b/>
          <w:color w:val="000000" w:themeColor="text1"/>
        </w:rPr>
        <w:t>veintinueve de septiembre</w:t>
      </w:r>
      <w:r w:rsidR="00AF4683" w:rsidRPr="00FA45F8">
        <w:rPr>
          <w:rFonts w:ascii="Palatino Linotype" w:eastAsia="Palatino Linotype" w:hAnsi="Palatino Linotype" w:cs="Palatino Linotype"/>
          <w:b/>
          <w:color w:val="000000" w:themeColor="text1"/>
        </w:rPr>
        <w:t xml:space="preserve"> de dos mil </w:t>
      </w:r>
      <w:r w:rsidR="00F318E1" w:rsidRPr="00FA45F8">
        <w:rPr>
          <w:rFonts w:ascii="Palatino Linotype" w:eastAsia="Palatino Linotype" w:hAnsi="Palatino Linotype" w:cs="Palatino Linotype"/>
          <w:b/>
          <w:color w:val="000000" w:themeColor="text1"/>
        </w:rPr>
        <w:t>veinticinco</w:t>
      </w:r>
      <w:r w:rsidR="0022266D" w:rsidRPr="00FA45F8">
        <w:rPr>
          <w:rFonts w:ascii="Palatino Linotype" w:eastAsia="Palatino Linotype" w:hAnsi="Palatino Linotype" w:cs="Palatino Linotype"/>
          <w:color w:val="000000" w:themeColor="text1"/>
        </w:rPr>
        <w:t>, la solicitante</w:t>
      </w:r>
      <w:r w:rsidRPr="00FA45F8">
        <w:rPr>
          <w:rFonts w:ascii="Palatino Linotype" w:eastAsia="Palatino Linotype" w:hAnsi="Palatino Linotype" w:cs="Palatino Linotype"/>
          <w:color w:val="000000" w:themeColor="text1"/>
        </w:rPr>
        <w:t xml:space="preserve"> de los datos</w:t>
      </w:r>
      <w:r w:rsidR="00EB3352" w:rsidRPr="00FA45F8">
        <w:rPr>
          <w:rFonts w:ascii="Palatino Linotype" w:eastAsia="Palatino Linotype" w:hAnsi="Palatino Linotype" w:cs="Palatino Linotype"/>
          <w:color w:val="000000" w:themeColor="text1"/>
        </w:rPr>
        <w:t xml:space="preserve"> personales</w:t>
      </w:r>
      <w:r w:rsidR="00AF4683" w:rsidRPr="00FA45F8">
        <w:rPr>
          <w:rFonts w:ascii="Palatino Linotype" w:eastAsia="Palatino Linotype" w:hAnsi="Palatino Linotype" w:cs="Palatino Linotype"/>
          <w:color w:val="000000" w:themeColor="text1"/>
        </w:rPr>
        <w:t xml:space="preserve"> interpuso </w:t>
      </w:r>
      <w:r w:rsidR="00EB3352" w:rsidRPr="00FA45F8">
        <w:rPr>
          <w:rFonts w:ascii="Palatino Linotype" w:eastAsia="Palatino Linotype" w:hAnsi="Palatino Linotype" w:cs="Palatino Linotype"/>
          <w:color w:val="000000" w:themeColor="text1"/>
        </w:rPr>
        <w:t>r</w:t>
      </w:r>
      <w:r w:rsidR="00AF4683" w:rsidRPr="00FA45F8">
        <w:rPr>
          <w:rFonts w:ascii="Palatino Linotype" w:eastAsia="Palatino Linotype" w:hAnsi="Palatino Linotype" w:cs="Palatino Linotype"/>
          <w:color w:val="000000" w:themeColor="text1"/>
        </w:rPr>
        <w:t xml:space="preserve">ecurso de </w:t>
      </w:r>
      <w:r w:rsidR="00EB3352" w:rsidRPr="00FA45F8">
        <w:rPr>
          <w:rFonts w:ascii="Palatino Linotype" w:eastAsia="Palatino Linotype" w:hAnsi="Palatino Linotype" w:cs="Palatino Linotype"/>
          <w:color w:val="000000" w:themeColor="text1"/>
        </w:rPr>
        <w:t>r</w:t>
      </w:r>
      <w:r w:rsidR="00AF4683" w:rsidRPr="00FA45F8">
        <w:rPr>
          <w:rFonts w:ascii="Palatino Linotype" w:eastAsia="Palatino Linotype" w:hAnsi="Palatino Linotype" w:cs="Palatino Linotype"/>
          <w:color w:val="000000" w:themeColor="text1"/>
        </w:rPr>
        <w:t xml:space="preserve">evisión en contra de la respuesta </w:t>
      </w:r>
      <w:r w:rsidR="0022266D" w:rsidRPr="00FA45F8">
        <w:rPr>
          <w:rFonts w:ascii="Palatino Linotype" w:eastAsia="Palatino Linotype" w:hAnsi="Palatino Linotype" w:cs="Palatino Linotype"/>
          <w:color w:val="000000" w:themeColor="text1"/>
        </w:rPr>
        <w:t xml:space="preserve">del </w:t>
      </w:r>
      <w:r w:rsidR="0022266D" w:rsidRPr="00FA45F8">
        <w:rPr>
          <w:rFonts w:ascii="Palatino Linotype" w:eastAsia="Palatino Linotype" w:hAnsi="Palatino Linotype" w:cs="Palatino Linotype"/>
          <w:b/>
          <w:color w:val="000000" w:themeColor="text1"/>
        </w:rPr>
        <w:t>SUJETO OBLIGADO</w:t>
      </w:r>
      <w:r w:rsidR="00402401" w:rsidRPr="00FA45F8">
        <w:rPr>
          <w:rFonts w:ascii="Palatino Linotype" w:eastAsia="Palatino Linotype" w:hAnsi="Palatino Linotype" w:cs="Palatino Linotype"/>
          <w:color w:val="000000" w:themeColor="text1"/>
        </w:rPr>
        <w:t xml:space="preserve">, </w:t>
      </w:r>
      <w:r w:rsidR="00AF4683" w:rsidRPr="00FA45F8">
        <w:rPr>
          <w:rFonts w:ascii="Palatino Linotype" w:eastAsia="Palatino Linotype" w:hAnsi="Palatino Linotype" w:cs="Palatino Linotype"/>
          <w:color w:val="000000" w:themeColor="text1"/>
        </w:rPr>
        <w:t xml:space="preserve">al tenor de los siguientes </w:t>
      </w:r>
      <w:r w:rsidR="00103C1D" w:rsidRPr="00FA45F8">
        <w:rPr>
          <w:rFonts w:ascii="Palatino Linotype" w:eastAsia="Palatino Linotype" w:hAnsi="Palatino Linotype" w:cs="Palatino Linotype"/>
          <w:color w:val="000000" w:themeColor="text1"/>
        </w:rPr>
        <w:t xml:space="preserve">razones o </w:t>
      </w:r>
      <w:r w:rsidR="00AF4683" w:rsidRPr="00FA45F8">
        <w:rPr>
          <w:rFonts w:ascii="Palatino Linotype" w:eastAsia="Palatino Linotype" w:hAnsi="Palatino Linotype" w:cs="Palatino Linotype"/>
          <w:color w:val="000000" w:themeColor="text1"/>
        </w:rPr>
        <w:t>motivos de inconformidad</w:t>
      </w:r>
      <w:r w:rsidR="00402401" w:rsidRPr="00FA45F8">
        <w:rPr>
          <w:rFonts w:ascii="Palatino Linotype" w:eastAsia="Palatino Linotype" w:hAnsi="Palatino Linotype" w:cs="Palatino Linotype"/>
          <w:color w:val="000000" w:themeColor="text1"/>
        </w:rPr>
        <w:t>:</w:t>
      </w:r>
    </w:p>
    <w:p w:rsidR="008D0CF1" w:rsidRPr="00FA45F8" w:rsidRDefault="008D0CF1" w:rsidP="00FA45F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u w:val="single"/>
        </w:rPr>
      </w:pPr>
      <w:bookmarkStart w:id="3" w:name="_heading=h.1fob9te" w:colFirst="0" w:colLast="0"/>
      <w:bookmarkEnd w:id="3"/>
    </w:p>
    <w:p w:rsidR="00A40CED" w:rsidRPr="0056127E" w:rsidRDefault="00A40CED" w:rsidP="0056127E">
      <w:pPr>
        <w:pStyle w:val="Prrafodelista"/>
        <w:numPr>
          <w:ilvl w:val="0"/>
          <w:numId w:val="22"/>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56127E">
        <w:rPr>
          <w:rFonts w:ascii="Palatino Linotype" w:eastAsia="Palatino Linotype" w:hAnsi="Palatino Linotype" w:cs="Palatino Linotype"/>
          <w:b/>
          <w:color w:val="000000" w:themeColor="text1"/>
        </w:rPr>
        <w:t>ACTO IMPUGNADO</w:t>
      </w:r>
    </w:p>
    <w:p w:rsidR="00A40CED" w:rsidRPr="00FA45F8" w:rsidRDefault="00A40CED" w:rsidP="00FA45F8">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FA45F8">
        <w:rPr>
          <w:rFonts w:ascii="Palatino Linotype" w:eastAsia="Palatino Linotype" w:hAnsi="Palatino Linotype" w:cs="Palatino Linotype"/>
          <w:i/>
          <w:color w:val="000000" w:themeColor="text1"/>
        </w:rPr>
        <w:t>“</w:t>
      </w:r>
      <w:r w:rsidR="009F10B8" w:rsidRPr="00FA45F8">
        <w:rPr>
          <w:rFonts w:ascii="Palatino Linotype" w:eastAsia="Palatino Linotype" w:hAnsi="Palatino Linotype" w:cs="Palatino Linotype"/>
          <w:i/>
          <w:color w:val="000000" w:themeColor="text1"/>
        </w:rPr>
        <w:t>NO ME ENTREGARON LA INFORMACIÓN SOLICITADA</w:t>
      </w:r>
      <w:r w:rsidRPr="00FA45F8">
        <w:rPr>
          <w:rFonts w:ascii="Palatino Linotype" w:eastAsia="Palatino Linotype" w:hAnsi="Palatino Linotype" w:cs="Palatino Linotype"/>
          <w:i/>
          <w:color w:val="000000" w:themeColor="text1"/>
        </w:rPr>
        <w:t>”</w:t>
      </w:r>
    </w:p>
    <w:p w:rsidR="00A40CED" w:rsidRPr="00FA45F8" w:rsidRDefault="00A40CED" w:rsidP="00FA45F8">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p>
    <w:p w:rsidR="00A40CED" w:rsidRPr="0056127E" w:rsidRDefault="00A40CED" w:rsidP="0056127E">
      <w:pPr>
        <w:pStyle w:val="Prrafodelista"/>
        <w:numPr>
          <w:ilvl w:val="0"/>
          <w:numId w:val="22"/>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56127E">
        <w:rPr>
          <w:rFonts w:ascii="Palatino Linotype" w:eastAsia="Palatino Linotype" w:hAnsi="Palatino Linotype" w:cs="Palatino Linotype"/>
          <w:b/>
          <w:color w:val="000000" w:themeColor="text1"/>
        </w:rPr>
        <w:t>RAZONES O MOTIVOS DE LA INCONFORMIDAD</w:t>
      </w:r>
      <w:r w:rsidRPr="0056127E">
        <w:rPr>
          <w:rFonts w:ascii="Palatino Linotype" w:eastAsia="Palatino Linotype" w:hAnsi="Palatino Linotype" w:cs="Palatino Linotype"/>
          <w:b/>
          <w:color w:val="000000" w:themeColor="text1"/>
        </w:rPr>
        <w:tab/>
      </w:r>
    </w:p>
    <w:p w:rsidR="00E96DD1" w:rsidRPr="00FA45F8" w:rsidRDefault="00A40CED" w:rsidP="00FA45F8">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FA45F8">
        <w:rPr>
          <w:rFonts w:ascii="Palatino Linotype" w:eastAsia="Palatino Linotype" w:hAnsi="Palatino Linotype" w:cs="Palatino Linotype"/>
          <w:i/>
          <w:color w:val="000000" w:themeColor="text1"/>
        </w:rPr>
        <w:t>“</w:t>
      </w:r>
      <w:r w:rsidR="009F10B8" w:rsidRPr="00FA45F8">
        <w:rPr>
          <w:rFonts w:ascii="Palatino Linotype" w:eastAsia="Palatino Linotype" w:hAnsi="Palatino Linotype" w:cs="Palatino Linotype"/>
          <w:i/>
          <w:color w:val="000000" w:themeColor="text1"/>
        </w:rPr>
        <w:t xml:space="preserve">Ingrese una solicitud en el SARCOEM, el día 25 de agosto del año en curso, para solicitar copia certificada del aviso de movimiento de baja del fallecido padre de mi hijo menor de edad, quien llevara por nombre </w:t>
      </w:r>
      <w:r w:rsidR="00A12EA9">
        <w:rPr>
          <w:rFonts w:ascii="Palatino Linotype" w:eastAsia="Palatino Linotype" w:hAnsi="Palatino Linotype" w:cs="Palatino Linotype"/>
          <w:i/>
          <w:color w:val="000000" w:themeColor="text1"/>
        </w:rPr>
        <w:t>XXXX</w:t>
      </w:r>
      <w:r w:rsidR="009F10B8" w:rsidRPr="00FA45F8">
        <w:rPr>
          <w:rFonts w:ascii="Palatino Linotype" w:eastAsia="Palatino Linotype" w:hAnsi="Palatino Linotype" w:cs="Palatino Linotype"/>
          <w:i/>
          <w:color w:val="000000" w:themeColor="text1"/>
        </w:rPr>
        <w:t xml:space="preserve">, Clave ISSEMYM </w:t>
      </w:r>
      <w:r w:rsidR="00A12EA9">
        <w:rPr>
          <w:rFonts w:ascii="Palatino Linotype" w:eastAsia="Palatino Linotype" w:hAnsi="Palatino Linotype" w:cs="Palatino Linotype"/>
          <w:i/>
          <w:color w:val="000000" w:themeColor="text1"/>
        </w:rPr>
        <w:t>XXXX</w:t>
      </w:r>
      <w:r w:rsidR="009F10B8" w:rsidRPr="00FA45F8">
        <w:rPr>
          <w:rFonts w:ascii="Palatino Linotype" w:eastAsia="Palatino Linotype" w:hAnsi="Palatino Linotype" w:cs="Palatino Linotype"/>
          <w:i/>
          <w:color w:val="000000" w:themeColor="text1"/>
        </w:rPr>
        <w:t xml:space="preserve">. Posteriormente la Unidad de Transparencia me requirió complementara mi solicitud de acceso a datos, debido a que no anexe el documento mediante el cual el padre de mi hijo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con los documentos que adjunte a la solicitud, siendo los siguientes: acta de defunción, acta de nacimiento de mi menor hijo </w:t>
      </w:r>
      <w:r w:rsidR="00A12EA9">
        <w:rPr>
          <w:rFonts w:ascii="Palatino Linotype" w:eastAsia="Palatino Linotype" w:hAnsi="Palatino Linotype" w:cs="Palatino Linotype"/>
          <w:i/>
          <w:color w:val="000000" w:themeColor="text1"/>
        </w:rPr>
        <w:t>XXXX</w:t>
      </w:r>
      <w:r w:rsidR="009F10B8" w:rsidRPr="00FA45F8">
        <w:rPr>
          <w:rFonts w:ascii="Palatino Linotype" w:eastAsia="Palatino Linotype" w:hAnsi="Palatino Linotype" w:cs="Palatino Linotype"/>
          <w:i/>
          <w:color w:val="000000" w:themeColor="text1"/>
        </w:rPr>
        <w:t xml:space="preserve">, e identificaciones </w:t>
      </w:r>
      <w:r w:rsidR="009F10B8" w:rsidRPr="00FA45F8">
        <w:rPr>
          <w:rFonts w:ascii="Palatino Linotype" w:eastAsia="Palatino Linotype" w:hAnsi="Palatino Linotype" w:cs="Palatino Linotype"/>
          <w:i/>
          <w:color w:val="000000" w:themeColor="text1"/>
        </w:rPr>
        <w:lastRenderedPageBreak/>
        <w:t xml:space="preserve">oficiales. Por lo anterior, solicito al ISSEMYM, que se me entregue copia certificada del aviso de movimiento de baja del año 2018, del fallecido </w:t>
      </w:r>
      <w:r w:rsidR="00A12EA9">
        <w:rPr>
          <w:rFonts w:ascii="Palatino Linotype" w:eastAsia="Palatino Linotype" w:hAnsi="Palatino Linotype" w:cs="Palatino Linotype"/>
          <w:i/>
          <w:color w:val="000000" w:themeColor="text1"/>
        </w:rPr>
        <w:t>XXXX</w:t>
      </w:r>
      <w:r w:rsidR="009F10B8" w:rsidRPr="00FA45F8">
        <w:rPr>
          <w:rFonts w:ascii="Palatino Linotype" w:eastAsia="Palatino Linotype" w:hAnsi="Palatino Linotype" w:cs="Palatino Linotype"/>
          <w:i/>
          <w:color w:val="000000" w:themeColor="text1"/>
        </w:rPr>
        <w:t xml:space="preserve">, Clave ISSEMYM </w:t>
      </w:r>
      <w:r w:rsidR="00A12EA9">
        <w:rPr>
          <w:rFonts w:ascii="Palatino Linotype" w:eastAsia="Palatino Linotype" w:hAnsi="Palatino Linotype" w:cs="Palatino Linotype"/>
          <w:i/>
          <w:color w:val="000000" w:themeColor="text1"/>
        </w:rPr>
        <w:t>XXXX</w:t>
      </w:r>
      <w:r w:rsidR="009F10B8" w:rsidRPr="00FA45F8">
        <w:rPr>
          <w:rFonts w:ascii="Palatino Linotype" w:eastAsia="Palatino Linotype" w:hAnsi="Palatino Linotype" w:cs="Palatino Linotype"/>
          <w:i/>
          <w:color w:val="000000" w:themeColor="text1"/>
        </w:rPr>
        <w:t>, el cual me requiero para iniciar los trámites de pensión con el ISSEMYM, para mi menor hijo.</w:t>
      </w:r>
      <w:r w:rsidRPr="00FA45F8">
        <w:rPr>
          <w:rFonts w:ascii="Palatino Linotype" w:eastAsia="Palatino Linotype" w:hAnsi="Palatino Linotype" w:cs="Palatino Linotype"/>
          <w:i/>
          <w:color w:val="000000" w:themeColor="text1"/>
        </w:rPr>
        <w:t>”</w:t>
      </w:r>
    </w:p>
    <w:p w:rsidR="00E96DD1" w:rsidRPr="00FA45F8" w:rsidRDefault="00E96DD1" w:rsidP="00FA45F8">
      <w:pPr>
        <w:pBdr>
          <w:top w:val="nil"/>
          <w:left w:val="nil"/>
          <w:bottom w:val="nil"/>
          <w:right w:val="nil"/>
          <w:between w:val="nil"/>
        </w:pBdr>
        <w:tabs>
          <w:tab w:val="left" w:pos="142"/>
        </w:tabs>
        <w:spacing w:line="360" w:lineRule="auto"/>
        <w:ind w:right="49"/>
        <w:jc w:val="center"/>
        <w:rPr>
          <w:rFonts w:ascii="Palatino Linotype" w:eastAsia="Palatino Linotype" w:hAnsi="Palatino Linotype" w:cs="Palatino Linotype"/>
          <w:i/>
          <w:color w:val="000000" w:themeColor="text1"/>
        </w:rPr>
      </w:pPr>
    </w:p>
    <w:p w:rsidR="008D0CF1" w:rsidRPr="00FA45F8" w:rsidRDefault="00EB3352"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Se registró el recurso de r</w:t>
      </w:r>
      <w:r w:rsidR="00402401" w:rsidRPr="00FA45F8">
        <w:rPr>
          <w:rFonts w:ascii="Palatino Linotype" w:eastAsia="Palatino Linotype" w:hAnsi="Palatino Linotype" w:cs="Palatino Linotype"/>
          <w:color w:val="000000" w:themeColor="text1"/>
        </w:rPr>
        <w:t xml:space="preserve">evisión bajo el número </w:t>
      </w:r>
      <w:r w:rsidRPr="00FA45F8">
        <w:rPr>
          <w:rFonts w:ascii="Palatino Linotype" w:eastAsia="Palatino Linotype" w:hAnsi="Palatino Linotype" w:cs="Palatino Linotype"/>
          <w:color w:val="000000" w:themeColor="text1"/>
        </w:rPr>
        <w:t>de expediente al rubro indicado;</w:t>
      </w:r>
      <w:r w:rsidR="00402401" w:rsidRPr="00FA45F8">
        <w:rPr>
          <w:rFonts w:ascii="Palatino Linotype" w:eastAsia="Palatino Linotype" w:hAnsi="Palatino Linotype" w:cs="Palatino Linotype"/>
          <w:color w:val="000000" w:themeColor="text1"/>
        </w:rPr>
        <w:t xml:space="preserve"> asimismo con fundamento en lo dispuesto por los artículos 11 y 127 de la </w:t>
      </w:r>
      <w:r w:rsidR="00402401" w:rsidRPr="00FA45F8">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00402401" w:rsidRPr="00FA45F8">
        <w:rPr>
          <w:rFonts w:ascii="Palatino Linotype" w:eastAsia="Palatino Linotype" w:hAnsi="Palatino Linotype" w:cs="Palatino Linotype"/>
          <w:color w:val="000000" w:themeColor="text1"/>
        </w:rPr>
        <w:t xml:space="preserve">en relación con el artículo 185 fracción I de la </w:t>
      </w:r>
      <w:r w:rsidR="00402401" w:rsidRPr="00FA45F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402401" w:rsidRPr="00FA45F8">
        <w:rPr>
          <w:rFonts w:ascii="Palatino Linotype" w:eastAsia="Palatino Linotype" w:hAnsi="Palatino Linotype" w:cs="Palatino Linotype"/>
          <w:color w:val="000000" w:themeColor="text1"/>
        </w:rPr>
        <w:t>de aplicación supletoria, se turn</w:t>
      </w:r>
      <w:r w:rsidR="00103C1D" w:rsidRPr="00FA45F8">
        <w:rPr>
          <w:rFonts w:ascii="Palatino Linotype" w:eastAsia="Palatino Linotype" w:hAnsi="Palatino Linotype" w:cs="Palatino Linotype"/>
          <w:color w:val="000000" w:themeColor="text1"/>
        </w:rPr>
        <w:t>ó</w:t>
      </w:r>
      <w:r w:rsidR="00402401" w:rsidRPr="00FA45F8">
        <w:rPr>
          <w:rFonts w:ascii="Palatino Linotype" w:eastAsia="Palatino Linotype" w:hAnsi="Palatino Linotype" w:cs="Palatino Linotype"/>
          <w:color w:val="000000" w:themeColor="text1"/>
        </w:rPr>
        <w:t xml:space="preserve"> a la </w:t>
      </w:r>
      <w:r w:rsidR="00402401" w:rsidRPr="00FA45F8">
        <w:rPr>
          <w:rFonts w:ascii="Palatino Linotype" w:eastAsia="Palatino Linotype" w:hAnsi="Palatino Linotype" w:cs="Palatino Linotype"/>
          <w:b/>
          <w:color w:val="000000" w:themeColor="text1"/>
        </w:rPr>
        <w:t xml:space="preserve">Comisionada María del Rosario  Mejía Ayala, </w:t>
      </w:r>
      <w:r w:rsidR="00402401" w:rsidRPr="00FA45F8">
        <w:rPr>
          <w:rFonts w:ascii="Palatino Linotype" w:eastAsia="Palatino Linotype" w:hAnsi="Palatino Linotype" w:cs="Palatino Linotype"/>
          <w:color w:val="000000" w:themeColor="text1"/>
        </w:rPr>
        <w:t xml:space="preserve">para su análisis. </w:t>
      </w: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402401"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Seguidamente el </w:t>
      </w:r>
      <w:r w:rsidR="009F10B8" w:rsidRPr="00FA45F8">
        <w:rPr>
          <w:rFonts w:ascii="Palatino Linotype" w:eastAsia="Palatino Linotype" w:hAnsi="Palatino Linotype" w:cs="Palatino Linotype"/>
          <w:b/>
          <w:color w:val="000000" w:themeColor="text1"/>
        </w:rPr>
        <w:t>dos de octubre</w:t>
      </w:r>
      <w:r w:rsidRPr="00FA45F8">
        <w:rPr>
          <w:rFonts w:ascii="Palatino Linotype" w:eastAsia="Palatino Linotype" w:hAnsi="Palatino Linotype" w:cs="Palatino Linotype"/>
          <w:b/>
          <w:color w:val="000000" w:themeColor="text1"/>
        </w:rPr>
        <w:t xml:space="preserve"> dos mil </w:t>
      </w:r>
      <w:r w:rsidR="00F318E1" w:rsidRPr="00FA45F8">
        <w:rPr>
          <w:rFonts w:ascii="Palatino Linotype" w:eastAsia="Palatino Linotype" w:hAnsi="Palatino Linotype" w:cs="Palatino Linotype"/>
          <w:b/>
          <w:color w:val="000000" w:themeColor="text1"/>
        </w:rPr>
        <w:t>veinticinco</w:t>
      </w:r>
      <w:r w:rsidRPr="00FA45F8">
        <w:rPr>
          <w:rFonts w:ascii="Palatino Linotype" w:eastAsia="Palatino Linotype" w:hAnsi="Palatino Linotype" w:cs="Palatino Linotype"/>
          <w:color w:val="000000" w:themeColor="text1"/>
        </w:rPr>
        <w:t xml:space="preserve">, con fundamento en los artículos 11, 127 y 131 de la </w:t>
      </w:r>
      <w:r w:rsidRPr="00FA45F8">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FA45F8">
        <w:rPr>
          <w:rFonts w:ascii="Palatino Linotype" w:eastAsia="Palatino Linotype" w:hAnsi="Palatino Linotype" w:cs="Palatino Linotype"/>
          <w:color w:val="000000" w:themeColor="text1"/>
        </w:rPr>
        <w:t xml:space="preserve"> y 185 fracciones I, II y IV de la </w:t>
      </w:r>
      <w:r w:rsidRPr="00FA45F8">
        <w:rPr>
          <w:rFonts w:ascii="Palatino Linotype" w:eastAsia="Palatino Linotype" w:hAnsi="Palatino Linotype" w:cs="Palatino Linotype"/>
          <w:b/>
          <w:color w:val="000000" w:themeColor="text1"/>
        </w:rPr>
        <w:t>Ley de Transparencia y Acceso a la Información Pública del Estado de México y Municipios</w:t>
      </w:r>
      <w:r w:rsidRPr="00FA45F8">
        <w:rPr>
          <w:rFonts w:ascii="Palatino Linotype" w:eastAsia="Palatino Linotype" w:hAnsi="Palatino Linotype" w:cs="Palatino Linotype"/>
          <w:color w:val="000000" w:themeColor="text1"/>
        </w:rPr>
        <w:t xml:space="preserve"> de aplicación supletoria, se acordó la admisión a trámite</w:t>
      </w:r>
      <w:r w:rsidR="00EB3352" w:rsidRPr="00FA45F8">
        <w:rPr>
          <w:rFonts w:ascii="Palatino Linotype" w:eastAsia="Palatino Linotype" w:hAnsi="Palatino Linotype" w:cs="Palatino Linotype"/>
          <w:color w:val="000000" w:themeColor="text1"/>
        </w:rPr>
        <w:t>.</w:t>
      </w:r>
    </w:p>
    <w:p w:rsidR="00EB3352" w:rsidRPr="00FA45F8" w:rsidRDefault="00EB3352" w:rsidP="00FA45F8">
      <w:pPr>
        <w:pStyle w:val="Prrafodelista"/>
        <w:spacing w:line="360" w:lineRule="auto"/>
        <w:ind w:left="0" w:right="49"/>
        <w:rPr>
          <w:rFonts w:ascii="Palatino Linotype" w:eastAsia="Palatino Linotype" w:hAnsi="Palatino Linotype" w:cs="Palatino Linotype"/>
          <w:color w:val="000000" w:themeColor="text1"/>
        </w:rPr>
      </w:pPr>
    </w:p>
    <w:p w:rsidR="0069477F" w:rsidRPr="00FA45F8" w:rsidRDefault="009F10B8"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En misma fecha</w:t>
      </w:r>
      <w:r w:rsidR="0069477F" w:rsidRPr="00FA45F8">
        <w:rPr>
          <w:rFonts w:ascii="Palatino Linotype" w:eastAsia="Palatino Linotype" w:hAnsi="Palatino Linotype" w:cs="Palatino Linotype"/>
          <w:b/>
          <w:color w:val="000000" w:themeColor="text1"/>
        </w:rPr>
        <w:t>,</w:t>
      </w:r>
      <w:r w:rsidR="0069477F" w:rsidRPr="00FA45F8">
        <w:rPr>
          <w:rFonts w:ascii="Palatino Linotype" w:eastAsia="Palatino Linotype" w:hAnsi="Palatino Linotype" w:cs="Palatino Linotype"/>
          <w:color w:val="000000" w:themeColor="text1"/>
        </w:rPr>
        <w:t xml:space="preserve"> se exhorto a las partes a efecto de que manifestaran su voluntad a conciliar en el p</w:t>
      </w:r>
      <w:r w:rsidRPr="00FA45F8">
        <w:rPr>
          <w:rFonts w:ascii="Palatino Linotype" w:eastAsia="Palatino Linotype" w:hAnsi="Palatino Linotype" w:cs="Palatino Linotype"/>
          <w:color w:val="000000" w:themeColor="text1"/>
        </w:rPr>
        <w:t>resente asunto. Posteriormente</w:t>
      </w:r>
      <w:r w:rsidR="00294284" w:rsidRPr="00FA45F8">
        <w:rPr>
          <w:rFonts w:ascii="Palatino Linotype" w:eastAsia="Palatino Linotype" w:hAnsi="Palatino Linotype" w:cs="Palatino Linotype"/>
          <w:color w:val="000000" w:themeColor="text1"/>
        </w:rPr>
        <w:t>:</w:t>
      </w:r>
      <w:r w:rsidRPr="00FA45F8">
        <w:rPr>
          <w:rFonts w:ascii="Palatino Linotype" w:eastAsia="Palatino Linotype" w:hAnsi="Palatino Linotype" w:cs="Palatino Linotype"/>
          <w:color w:val="000000" w:themeColor="text1"/>
        </w:rPr>
        <w:t xml:space="preserve"> </w:t>
      </w:r>
      <w:r w:rsidR="0069477F" w:rsidRPr="00FA45F8">
        <w:rPr>
          <w:rFonts w:ascii="Palatino Linotype" w:eastAsia="Palatino Linotype" w:hAnsi="Palatino Linotype" w:cs="Palatino Linotype"/>
          <w:color w:val="000000" w:themeColor="text1"/>
        </w:rPr>
        <w:t>l</w:t>
      </w:r>
      <w:r w:rsidRPr="00FA45F8">
        <w:rPr>
          <w:rFonts w:ascii="Palatino Linotype" w:eastAsia="Palatino Linotype" w:hAnsi="Palatino Linotype" w:cs="Palatino Linotype"/>
          <w:color w:val="000000" w:themeColor="text1"/>
        </w:rPr>
        <w:t>os días</w:t>
      </w:r>
      <w:r w:rsidR="0070374D" w:rsidRPr="00FA45F8">
        <w:rPr>
          <w:rFonts w:ascii="Palatino Linotype" w:eastAsia="Palatino Linotype" w:hAnsi="Palatino Linotype" w:cs="Palatino Linotype"/>
          <w:color w:val="000000" w:themeColor="text1"/>
        </w:rPr>
        <w:t xml:space="preserve"> </w:t>
      </w:r>
      <w:r w:rsidRPr="00FA45F8">
        <w:rPr>
          <w:rFonts w:ascii="Palatino Linotype" w:eastAsia="Palatino Linotype" w:hAnsi="Palatino Linotype" w:cs="Palatino Linotype"/>
          <w:b/>
          <w:color w:val="000000" w:themeColor="text1"/>
        </w:rPr>
        <w:t xml:space="preserve">diez y trece </w:t>
      </w:r>
      <w:r w:rsidR="0070374D" w:rsidRPr="00FA45F8">
        <w:rPr>
          <w:rFonts w:ascii="Palatino Linotype" w:eastAsia="Palatino Linotype" w:hAnsi="Palatino Linotype" w:cs="Palatino Linotype"/>
          <w:b/>
          <w:color w:val="000000" w:themeColor="text1"/>
        </w:rPr>
        <w:t xml:space="preserve">de </w:t>
      </w:r>
      <w:r w:rsidRPr="00FA45F8">
        <w:rPr>
          <w:rFonts w:ascii="Palatino Linotype" w:eastAsia="Palatino Linotype" w:hAnsi="Palatino Linotype" w:cs="Palatino Linotype"/>
          <w:b/>
          <w:color w:val="000000" w:themeColor="text1"/>
        </w:rPr>
        <w:t>octu</w:t>
      </w:r>
      <w:r w:rsidR="0070374D" w:rsidRPr="00FA45F8">
        <w:rPr>
          <w:rFonts w:ascii="Palatino Linotype" w:eastAsia="Palatino Linotype" w:hAnsi="Palatino Linotype" w:cs="Palatino Linotype"/>
          <w:b/>
          <w:color w:val="000000" w:themeColor="text1"/>
        </w:rPr>
        <w:t>bre de dos mil veinticinco</w:t>
      </w:r>
      <w:r w:rsidRPr="00FA45F8">
        <w:rPr>
          <w:rFonts w:ascii="Palatino Linotype" w:eastAsia="Palatino Linotype" w:hAnsi="Palatino Linotype" w:cs="Palatino Linotype"/>
          <w:b/>
          <w:color w:val="000000" w:themeColor="text1"/>
        </w:rPr>
        <w:t xml:space="preserve"> </w:t>
      </w:r>
      <w:r w:rsidRPr="00FA45F8">
        <w:rPr>
          <w:rFonts w:ascii="Palatino Linotype" w:eastAsia="Palatino Linotype" w:hAnsi="Palatino Linotype" w:cs="Palatino Linotype"/>
          <w:color w:val="000000" w:themeColor="text1"/>
        </w:rPr>
        <w:t>respectivamente</w:t>
      </w:r>
      <w:r w:rsidR="0070374D" w:rsidRPr="00FA45F8">
        <w:rPr>
          <w:rFonts w:ascii="Palatino Linotype" w:eastAsia="Palatino Linotype" w:hAnsi="Palatino Linotype" w:cs="Palatino Linotype"/>
          <w:color w:val="000000" w:themeColor="text1"/>
        </w:rPr>
        <w:t xml:space="preserve">, </w:t>
      </w:r>
      <w:r w:rsidRPr="00FA45F8">
        <w:rPr>
          <w:rFonts w:ascii="Palatino Linotype" w:eastAsia="Palatino Linotype" w:hAnsi="Palatino Linotype" w:cs="Palatino Linotype"/>
          <w:color w:val="000000" w:themeColor="text1"/>
        </w:rPr>
        <w:t>las partes manifestaron su voluntad a conciliar en el presente asunto.</w:t>
      </w:r>
    </w:p>
    <w:p w:rsidR="009F10B8" w:rsidRPr="00FA45F8" w:rsidRDefault="009F10B8" w:rsidP="00FA45F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9F10B8" w:rsidRPr="00FA45F8" w:rsidRDefault="009F10B8"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lastRenderedPageBreak/>
        <w:t xml:space="preserve">Mediante citatorio de día </w:t>
      </w:r>
      <w:r w:rsidRPr="00FA45F8">
        <w:rPr>
          <w:rFonts w:ascii="Palatino Linotype" w:eastAsia="Palatino Linotype" w:hAnsi="Palatino Linotype" w:cs="Palatino Linotype"/>
          <w:b/>
          <w:color w:val="000000" w:themeColor="text1"/>
        </w:rPr>
        <w:t>cuatro de noviembre de dos mil veinticinco</w:t>
      </w:r>
      <w:r w:rsidRPr="00FA45F8">
        <w:rPr>
          <w:rFonts w:ascii="Palatino Linotype" w:eastAsia="Palatino Linotype" w:hAnsi="Palatino Linotype" w:cs="Palatino Linotype"/>
          <w:color w:val="000000" w:themeColor="text1"/>
        </w:rPr>
        <w:t xml:space="preserve">, se señaló a las partes el día y hora en que tendría verificativo la audiencia de conciliación; misma que se celebró en fecha </w:t>
      </w:r>
      <w:r w:rsidRPr="00FA45F8">
        <w:rPr>
          <w:rFonts w:ascii="Palatino Linotype" w:eastAsia="Palatino Linotype" w:hAnsi="Palatino Linotype" w:cs="Palatino Linotype"/>
          <w:b/>
          <w:color w:val="000000" w:themeColor="text1"/>
        </w:rPr>
        <w:t>siete de noviembre de dos mil veinticinco</w:t>
      </w:r>
      <w:r w:rsidR="009351C2" w:rsidRPr="00FA45F8">
        <w:rPr>
          <w:rFonts w:ascii="Palatino Linotype" w:eastAsia="Palatino Linotype" w:hAnsi="Palatino Linotype" w:cs="Palatino Linotype"/>
          <w:b/>
          <w:color w:val="000000" w:themeColor="text1"/>
        </w:rPr>
        <w:t>.</w:t>
      </w:r>
    </w:p>
    <w:p w:rsidR="009F10B8" w:rsidRPr="00FA45F8" w:rsidRDefault="009F10B8" w:rsidP="00FA45F8">
      <w:pPr>
        <w:pStyle w:val="Prrafodelista"/>
        <w:spacing w:line="360" w:lineRule="auto"/>
        <w:ind w:left="0" w:right="49"/>
        <w:rPr>
          <w:rFonts w:ascii="Palatino Linotype" w:eastAsia="Palatino Linotype" w:hAnsi="Palatino Linotype" w:cs="Palatino Linotype"/>
          <w:color w:val="000000" w:themeColor="text1"/>
        </w:rPr>
      </w:pPr>
    </w:p>
    <w:p w:rsidR="00103C1D" w:rsidRPr="00FA45F8" w:rsidRDefault="0070374D" w:rsidP="00FA45F8">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El</w:t>
      </w:r>
      <w:r w:rsidR="009351C2" w:rsidRPr="00FA45F8">
        <w:rPr>
          <w:rFonts w:ascii="Palatino Linotype" w:eastAsia="Palatino Linotype" w:hAnsi="Palatino Linotype" w:cs="Palatino Linotype"/>
          <w:b/>
          <w:color w:val="000000" w:themeColor="text1"/>
        </w:rPr>
        <w:t xml:space="preserve"> on</w:t>
      </w:r>
      <w:r w:rsidRPr="00FA45F8">
        <w:rPr>
          <w:rFonts w:ascii="Palatino Linotype" w:eastAsia="Palatino Linotype" w:hAnsi="Palatino Linotype" w:cs="Palatino Linotype"/>
          <w:b/>
          <w:color w:val="000000" w:themeColor="text1"/>
        </w:rPr>
        <w:t xml:space="preserve">ce de </w:t>
      </w:r>
      <w:r w:rsidR="009351C2" w:rsidRPr="00FA45F8">
        <w:rPr>
          <w:rFonts w:ascii="Palatino Linotype" w:eastAsia="Palatino Linotype" w:hAnsi="Palatino Linotype" w:cs="Palatino Linotype"/>
          <w:b/>
          <w:color w:val="000000" w:themeColor="text1"/>
        </w:rPr>
        <w:t>noviem</w:t>
      </w:r>
      <w:r w:rsidRPr="00FA45F8">
        <w:rPr>
          <w:rFonts w:ascii="Palatino Linotype" w:eastAsia="Palatino Linotype" w:hAnsi="Palatino Linotype" w:cs="Palatino Linotype"/>
          <w:b/>
          <w:color w:val="000000" w:themeColor="text1"/>
        </w:rPr>
        <w:t>bre de dos mil veinticinco</w:t>
      </w:r>
      <w:r w:rsidR="006D2D59" w:rsidRPr="00FA45F8">
        <w:rPr>
          <w:rFonts w:ascii="Palatino Linotype" w:eastAsia="Palatino Linotype" w:hAnsi="Palatino Linotype" w:cs="Palatino Linotype"/>
          <w:b/>
          <w:color w:val="000000" w:themeColor="text1"/>
        </w:rPr>
        <w:t>,</w:t>
      </w:r>
      <w:r w:rsidR="006D2D59" w:rsidRPr="00FA45F8">
        <w:rPr>
          <w:rFonts w:ascii="Palatino Linotype" w:eastAsia="Palatino Linotype" w:hAnsi="Palatino Linotype" w:cs="Palatino Linotype"/>
          <w:color w:val="000000" w:themeColor="text1"/>
        </w:rPr>
        <w:t xml:space="preserve"> </w:t>
      </w:r>
      <w:r w:rsidRPr="00FA45F8">
        <w:rPr>
          <w:rFonts w:ascii="Palatino Linotype" w:eastAsia="Palatino Linotype" w:hAnsi="Palatino Linotype" w:cs="Palatino Linotype"/>
          <w:color w:val="000000" w:themeColor="text1"/>
        </w:rPr>
        <w:t xml:space="preserve">se decretó el cierre de la etapa conciliatoria y se </w:t>
      </w:r>
      <w:r w:rsidR="002B711E" w:rsidRPr="00FA45F8">
        <w:rPr>
          <w:rFonts w:ascii="Palatino Linotype" w:eastAsia="Palatino Linotype" w:hAnsi="Palatino Linotype" w:cs="Palatino Linotype"/>
          <w:color w:val="000000" w:themeColor="text1"/>
        </w:rPr>
        <w:t>aperturó</w:t>
      </w:r>
      <w:r w:rsidRPr="00FA45F8">
        <w:rPr>
          <w:rFonts w:ascii="Palatino Linotype" w:eastAsia="Palatino Linotype" w:hAnsi="Palatino Linotype" w:cs="Palatino Linotype"/>
          <w:color w:val="000000" w:themeColor="text1"/>
        </w:rPr>
        <w:t xml:space="preserve"> la de manifestaciones a efecto de que </w:t>
      </w:r>
      <w:r w:rsidR="006D2D59" w:rsidRPr="00FA45F8">
        <w:rPr>
          <w:rFonts w:ascii="Palatino Linotype" w:eastAsia="Palatino Linotype" w:hAnsi="Palatino Linotype" w:cs="Palatino Linotype"/>
          <w:color w:val="000000" w:themeColor="text1"/>
        </w:rPr>
        <w:t xml:space="preserve">el </w:t>
      </w:r>
      <w:r w:rsidR="006D2D59" w:rsidRPr="00FA45F8">
        <w:rPr>
          <w:rFonts w:ascii="Palatino Linotype" w:eastAsia="Palatino Linotype" w:hAnsi="Palatino Linotype" w:cs="Palatino Linotype"/>
          <w:b/>
          <w:color w:val="000000" w:themeColor="text1"/>
        </w:rPr>
        <w:t>SUJETO OBLIGADO</w:t>
      </w:r>
      <w:r w:rsidRPr="00FA45F8">
        <w:rPr>
          <w:rFonts w:ascii="Palatino Linotype" w:eastAsia="Palatino Linotype" w:hAnsi="Palatino Linotype" w:cs="Palatino Linotype"/>
          <w:color w:val="000000" w:themeColor="text1"/>
        </w:rPr>
        <w:t xml:space="preserve"> rindiera</w:t>
      </w:r>
      <w:r w:rsidR="006D2D59" w:rsidRPr="00FA45F8">
        <w:rPr>
          <w:rFonts w:ascii="Palatino Linotype" w:eastAsia="Palatino Linotype" w:hAnsi="Palatino Linotype" w:cs="Palatino Linotype"/>
          <w:color w:val="000000" w:themeColor="text1"/>
        </w:rPr>
        <w:t xml:space="preserve"> el informe justificado correspondiente</w:t>
      </w:r>
      <w:r w:rsidRPr="00FA45F8">
        <w:rPr>
          <w:rFonts w:ascii="Palatino Linotype" w:eastAsia="Palatino Linotype" w:hAnsi="Palatino Linotype" w:cs="Palatino Linotype"/>
          <w:color w:val="000000" w:themeColor="text1"/>
        </w:rPr>
        <w:t xml:space="preserve"> y la parte </w:t>
      </w:r>
      <w:r w:rsidRPr="00FA45F8">
        <w:rPr>
          <w:rFonts w:ascii="Palatino Linotype" w:eastAsia="Palatino Linotype" w:hAnsi="Palatino Linotype" w:cs="Palatino Linotype"/>
          <w:b/>
          <w:color w:val="000000" w:themeColor="text1"/>
        </w:rPr>
        <w:t>RECURRENTE</w:t>
      </w:r>
      <w:r w:rsidRPr="00FA45F8">
        <w:rPr>
          <w:rFonts w:ascii="Palatino Linotype" w:eastAsia="Palatino Linotype" w:hAnsi="Palatino Linotype" w:cs="Palatino Linotype"/>
          <w:color w:val="000000" w:themeColor="text1"/>
        </w:rPr>
        <w:t xml:space="preserve"> realizara las manifestaciones que a su derecho conviniera y asistiera; </w:t>
      </w:r>
      <w:r w:rsidR="009351C2" w:rsidRPr="00FA45F8">
        <w:rPr>
          <w:rFonts w:ascii="Palatino Linotype" w:eastAsia="Palatino Linotype" w:hAnsi="Palatino Linotype" w:cs="Palatino Linotype"/>
          <w:color w:val="000000" w:themeColor="text1"/>
        </w:rPr>
        <w:t xml:space="preserve">no obstante </w:t>
      </w:r>
      <w:r w:rsidRPr="00FA45F8">
        <w:rPr>
          <w:rFonts w:ascii="Palatino Linotype" w:eastAsia="Palatino Linotype" w:hAnsi="Palatino Linotype" w:cs="Palatino Linotype"/>
          <w:color w:val="000000" w:themeColor="text1"/>
        </w:rPr>
        <w:t>las partes fueron omisas en emitir pronunciamiento</w:t>
      </w:r>
      <w:r w:rsidR="002B711E" w:rsidRPr="00FA45F8">
        <w:rPr>
          <w:rFonts w:ascii="Palatino Linotype" w:eastAsia="Palatino Linotype" w:hAnsi="Palatino Linotype" w:cs="Palatino Linotype"/>
          <w:color w:val="000000" w:themeColor="text1"/>
        </w:rPr>
        <w:t>s</w:t>
      </w:r>
      <w:r w:rsidRPr="00FA45F8">
        <w:rPr>
          <w:rFonts w:ascii="Palatino Linotype" w:eastAsia="Palatino Linotype" w:hAnsi="Palatino Linotype" w:cs="Palatino Linotype"/>
          <w:color w:val="000000" w:themeColor="text1"/>
        </w:rPr>
        <w:t xml:space="preserve"> al respecto.</w:t>
      </w:r>
    </w:p>
    <w:p w:rsidR="0070374D" w:rsidRPr="00FA45F8" w:rsidRDefault="0070374D" w:rsidP="00FA45F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FA45F8" w:rsidRDefault="00840B12" w:rsidP="00FA45F8">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color w:val="000000" w:themeColor="text1"/>
        </w:rPr>
        <w:t xml:space="preserve">En fecha </w:t>
      </w:r>
      <w:r w:rsidR="009351C2" w:rsidRPr="00FA45F8">
        <w:rPr>
          <w:rFonts w:ascii="Palatino Linotype" w:eastAsia="Palatino Linotype" w:hAnsi="Palatino Linotype" w:cs="Palatino Linotype"/>
          <w:b/>
          <w:color w:val="000000" w:themeColor="text1"/>
        </w:rPr>
        <w:t>veinticuatro</w:t>
      </w:r>
      <w:r w:rsidR="00D2179D" w:rsidRPr="00FA45F8">
        <w:rPr>
          <w:rFonts w:ascii="Palatino Linotype" w:eastAsia="Palatino Linotype" w:hAnsi="Palatino Linotype" w:cs="Palatino Linotype"/>
          <w:b/>
          <w:color w:val="000000" w:themeColor="text1"/>
        </w:rPr>
        <w:t xml:space="preserve"> de </w:t>
      </w:r>
      <w:r w:rsidR="009351C2" w:rsidRPr="00FA45F8">
        <w:rPr>
          <w:rFonts w:ascii="Palatino Linotype" w:eastAsia="Palatino Linotype" w:hAnsi="Palatino Linotype" w:cs="Palatino Linotype"/>
          <w:b/>
          <w:color w:val="000000" w:themeColor="text1"/>
        </w:rPr>
        <w:t>noviembre</w:t>
      </w:r>
      <w:r w:rsidRPr="00FA45F8">
        <w:rPr>
          <w:rFonts w:ascii="Palatino Linotype" w:eastAsia="Palatino Linotype" w:hAnsi="Palatino Linotype" w:cs="Palatino Linotype"/>
          <w:b/>
          <w:color w:val="000000" w:themeColor="text1"/>
        </w:rPr>
        <w:t xml:space="preserve"> del año en curso</w:t>
      </w:r>
      <w:r w:rsidR="00D2179D" w:rsidRPr="00FA45F8">
        <w:rPr>
          <w:rFonts w:ascii="Palatino Linotype" w:eastAsia="Palatino Linotype" w:hAnsi="Palatino Linotype" w:cs="Palatino Linotype"/>
          <w:b/>
          <w:color w:val="000000" w:themeColor="text1"/>
        </w:rPr>
        <w:t>,</w:t>
      </w:r>
      <w:r w:rsidR="00D2179D" w:rsidRPr="00FA45F8">
        <w:rPr>
          <w:rFonts w:ascii="Palatino Linotype" w:eastAsia="Palatino Linotype" w:hAnsi="Palatino Linotype" w:cs="Palatino Linotype"/>
          <w:color w:val="000000" w:themeColor="text1"/>
        </w:rPr>
        <w:t xml:space="preserve"> </w:t>
      </w:r>
      <w:r w:rsidR="002B711E" w:rsidRPr="00FA45F8">
        <w:rPr>
          <w:rFonts w:ascii="Palatino Linotype" w:eastAsia="Palatino Linotype" w:hAnsi="Palatino Linotype" w:cs="Palatino Linotype"/>
          <w:color w:val="000000" w:themeColor="text1"/>
        </w:rPr>
        <w:t xml:space="preserve">se amplió el termino para resolver y, </w:t>
      </w:r>
      <w:r w:rsidR="00D2179D" w:rsidRPr="00FA45F8">
        <w:rPr>
          <w:rFonts w:ascii="Palatino Linotype" w:eastAsia="Palatino Linotype" w:hAnsi="Palatino Linotype" w:cs="Palatino Linotype"/>
          <w:color w:val="000000" w:themeColor="text1"/>
        </w:rPr>
        <w:t xml:space="preserve">al no existir pendiente o diligencia por desahogar se decretó </w:t>
      </w:r>
      <w:r w:rsidR="00402401" w:rsidRPr="00FA45F8">
        <w:rPr>
          <w:rFonts w:ascii="Palatino Linotype" w:eastAsia="Palatino Linotype" w:hAnsi="Palatino Linotype" w:cs="Palatino Linotype"/>
          <w:color w:val="000000" w:themeColor="text1"/>
        </w:rPr>
        <w:t>el cierre del periodo de instrucción y,</w:t>
      </w:r>
      <w:r w:rsidR="00EB3352" w:rsidRPr="00FA45F8">
        <w:rPr>
          <w:rFonts w:ascii="Palatino Linotype" w:eastAsia="Palatino Linotype" w:hAnsi="Palatino Linotype" w:cs="Palatino Linotype"/>
          <w:color w:val="000000" w:themeColor="text1"/>
        </w:rPr>
        <w:t xml:space="preserve"> se</w:t>
      </w:r>
      <w:r w:rsidR="00402401" w:rsidRPr="00FA45F8">
        <w:rPr>
          <w:rFonts w:ascii="Palatino Linotype" w:eastAsia="Palatino Linotype" w:hAnsi="Palatino Linotype" w:cs="Palatino Linotype"/>
          <w:color w:val="000000" w:themeColor="text1"/>
        </w:rPr>
        <w:t xml:space="preserve"> ordenó </w:t>
      </w:r>
      <w:r w:rsidR="00D2179D" w:rsidRPr="00FA45F8">
        <w:rPr>
          <w:rFonts w:ascii="Palatino Linotype" w:eastAsia="Palatino Linotype" w:hAnsi="Palatino Linotype" w:cs="Palatino Linotype"/>
          <w:color w:val="000000" w:themeColor="text1"/>
        </w:rPr>
        <w:t xml:space="preserve">emitir </w:t>
      </w:r>
      <w:r w:rsidR="00402401" w:rsidRPr="00FA45F8">
        <w:rPr>
          <w:rFonts w:ascii="Palatino Linotype" w:eastAsia="Palatino Linotype" w:hAnsi="Palatino Linotype" w:cs="Palatino Linotype"/>
          <w:color w:val="000000" w:themeColor="text1"/>
        </w:rPr>
        <w:t xml:space="preserve">la resolución que conforme a </w:t>
      </w:r>
      <w:r w:rsidR="00EB3352" w:rsidRPr="00FA45F8">
        <w:rPr>
          <w:rFonts w:ascii="Palatino Linotype" w:eastAsia="Palatino Linotype" w:hAnsi="Palatino Linotype" w:cs="Palatino Linotype"/>
          <w:color w:val="000000" w:themeColor="text1"/>
        </w:rPr>
        <w:t>d</w:t>
      </w:r>
      <w:r w:rsidR="00402401" w:rsidRPr="00FA45F8">
        <w:rPr>
          <w:rFonts w:ascii="Palatino Linotype" w:eastAsia="Palatino Linotype" w:hAnsi="Palatino Linotype" w:cs="Palatino Linotype"/>
          <w:color w:val="000000" w:themeColor="text1"/>
        </w:rPr>
        <w:t>erecho p</w:t>
      </w:r>
      <w:r w:rsidR="006231A2" w:rsidRPr="00FA45F8">
        <w:rPr>
          <w:rFonts w:ascii="Palatino Linotype" w:eastAsia="Palatino Linotype" w:hAnsi="Palatino Linotype" w:cs="Palatino Linotype"/>
          <w:color w:val="000000" w:themeColor="text1"/>
        </w:rPr>
        <w:t>roceda, de acuerdo a lo</w:t>
      </w:r>
      <w:r w:rsidR="00402401" w:rsidRPr="00FA45F8">
        <w:rPr>
          <w:rFonts w:ascii="Palatino Linotype" w:eastAsia="Palatino Linotype" w:hAnsi="Palatino Linotype" w:cs="Palatino Linotype"/>
          <w:color w:val="000000" w:themeColor="text1"/>
        </w:rPr>
        <w:t>s siguientes:</w:t>
      </w:r>
    </w:p>
    <w:p w:rsidR="00840B12" w:rsidRPr="00FA45F8" w:rsidRDefault="00840B12" w:rsidP="00FA45F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FA45F8" w:rsidRDefault="00402401" w:rsidP="00FA45F8">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 xml:space="preserve">C O N S I D E R A </w:t>
      </w:r>
      <w:r w:rsidR="006231A2" w:rsidRPr="00FA45F8">
        <w:rPr>
          <w:rFonts w:ascii="Palatino Linotype" w:eastAsia="Palatino Linotype" w:hAnsi="Palatino Linotype" w:cs="Palatino Linotype"/>
          <w:b/>
          <w:color w:val="000000" w:themeColor="text1"/>
        </w:rPr>
        <w:t>N D O S</w:t>
      </w:r>
    </w:p>
    <w:p w:rsidR="008D0CF1" w:rsidRPr="00FA45F8" w:rsidRDefault="008D0CF1" w:rsidP="00FA45F8">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D0CF1" w:rsidRPr="00FA45F8" w:rsidRDefault="006231A2" w:rsidP="00FA45F8">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tyjcwt" w:colFirst="0" w:colLast="0"/>
      <w:bookmarkEnd w:id="4"/>
      <w:r w:rsidRPr="00FA45F8">
        <w:rPr>
          <w:rFonts w:ascii="Palatino Linotype" w:eastAsia="Palatino Linotype" w:hAnsi="Palatino Linotype" w:cs="Palatino Linotype"/>
          <w:b/>
          <w:color w:val="000000" w:themeColor="text1"/>
          <w:sz w:val="24"/>
          <w:szCs w:val="24"/>
        </w:rPr>
        <w:t>PRIMERO</w:t>
      </w:r>
      <w:r w:rsidR="00402401" w:rsidRPr="00FA45F8">
        <w:rPr>
          <w:rFonts w:ascii="Palatino Linotype" w:eastAsia="Palatino Linotype" w:hAnsi="Palatino Linotype" w:cs="Palatino Linotype"/>
          <w:b/>
          <w:color w:val="000000" w:themeColor="text1"/>
          <w:sz w:val="24"/>
          <w:szCs w:val="24"/>
        </w:rPr>
        <w:t>. Competencia</w:t>
      </w:r>
    </w:p>
    <w:p w:rsidR="008D0CF1" w:rsidRPr="00FA45F8" w:rsidRDefault="00402401" w:rsidP="00FA45F8">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w:t>
      </w:r>
      <w:r w:rsidRPr="00FA45F8">
        <w:rPr>
          <w:rFonts w:ascii="Palatino Linotype" w:eastAsia="Palatino Linotype" w:hAnsi="Palatino Linotype" w:cs="Palatino Linotype"/>
          <w:color w:val="000000" w:themeColor="text1"/>
        </w:rPr>
        <w:lastRenderedPageBreak/>
        <w:t>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7D4E37" w:rsidRPr="00FA45F8" w:rsidRDefault="007D4E37" w:rsidP="00FA45F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FA45F8" w:rsidRDefault="00402401" w:rsidP="00FA45F8">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3dy6vkm" w:colFirst="0" w:colLast="0"/>
      <w:bookmarkEnd w:id="5"/>
      <w:r w:rsidRPr="00FA45F8">
        <w:rPr>
          <w:rFonts w:ascii="Palatino Linotype" w:eastAsia="Palatino Linotype" w:hAnsi="Palatino Linotype" w:cs="Palatino Linotype"/>
          <w:b/>
          <w:color w:val="000000" w:themeColor="text1"/>
          <w:sz w:val="24"/>
          <w:szCs w:val="24"/>
        </w:rPr>
        <w:t>SEG</w:t>
      </w:r>
      <w:r w:rsidR="006231A2" w:rsidRPr="00FA45F8">
        <w:rPr>
          <w:rFonts w:ascii="Palatino Linotype" w:eastAsia="Palatino Linotype" w:hAnsi="Palatino Linotype" w:cs="Palatino Linotype"/>
          <w:b/>
          <w:color w:val="000000" w:themeColor="text1"/>
          <w:sz w:val="24"/>
          <w:szCs w:val="24"/>
        </w:rPr>
        <w:t>UNDO</w:t>
      </w:r>
      <w:r w:rsidRPr="00FA45F8">
        <w:rPr>
          <w:rFonts w:ascii="Palatino Linotype" w:eastAsia="Palatino Linotype" w:hAnsi="Palatino Linotype" w:cs="Palatino Linotype"/>
          <w:b/>
          <w:color w:val="000000" w:themeColor="text1"/>
          <w:sz w:val="24"/>
          <w:szCs w:val="24"/>
        </w:rPr>
        <w:t>. Procedencia.</w:t>
      </w:r>
    </w:p>
    <w:p w:rsidR="008D0CF1" w:rsidRPr="00FA45F8" w:rsidRDefault="00A46E30" w:rsidP="00FA45F8">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El </w:t>
      </w:r>
      <w:r w:rsidR="00402401" w:rsidRPr="00FA45F8">
        <w:rPr>
          <w:rFonts w:ascii="Palatino Linotype" w:eastAsia="Palatino Linotype" w:hAnsi="Palatino Linotype" w:cs="Palatino Linotype"/>
          <w:color w:val="000000" w:themeColor="text1"/>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8D0CF1" w:rsidRPr="00FA45F8" w:rsidRDefault="00402401" w:rsidP="00FA45F8">
      <w:pPr>
        <w:spacing w:line="360" w:lineRule="auto"/>
        <w:ind w:right="49"/>
        <w:jc w:val="both"/>
        <w:rPr>
          <w:rFonts w:ascii="Palatino Linotype" w:eastAsia="Palatino Linotype" w:hAnsi="Palatino Linotype" w:cs="Palatino Linotype"/>
          <w:i/>
          <w:color w:val="000000" w:themeColor="text1"/>
        </w:rPr>
      </w:pPr>
      <w:r w:rsidRPr="00FA45F8">
        <w:rPr>
          <w:rFonts w:ascii="Palatino Linotype" w:eastAsia="Palatino Linotype" w:hAnsi="Palatino Linotype" w:cs="Palatino Linotype"/>
          <w:i/>
          <w:color w:val="000000" w:themeColor="text1"/>
        </w:rPr>
        <w:t>“</w:t>
      </w:r>
      <w:r w:rsidRPr="00FA45F8">
        <w:rPr>
          <w:rFonts w:ascii="Palatino Linotype" w:eastAsia="Palatino Linotype" w:hAnsi="Palatino Linotype" w:cs="Palatino Linotype"/>
          <w:b/>
          <w:i/>
          <w:color w:val="000000" w:themeColor="text1"/>
        </w:rPr>
        <w:t>Artículo 128.</w:t>
      </w:r>
      <w:r w:rsidRPr="00FA45F8">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8D0CF1" w:rsidRPr="00FA45F8" w:rsidRDefault="008D0CF1" w:rsidP="00FA45F8">
      <w:pPr>
        <w:spacing w:line="360" w:lineRule="auto"/>
        <w:ind w:right="49"/>
        <w:jc w:val="both"/>
        <w:rPr>
          <w:rFonts w:ascii="Palatino Linotype" w:eastAsia="Palatino Linotype" w:hAnsi="Palatino Linotype" w:cs="Palatino Linotype"/>
          <w:i/>
          <w:color w:val="000000" w:themeColor="text1"/>
        </w:rPr>
      </w:pPr>
    </w:p>
    <w:p w:rsidR="008D0CF1" w:rsidRPr="00FA45F8" w:rsidRDefault="00402401" w:rsidP="00FA45F8">
      <w:pPr>
        <w:spacing w:line="360" w:lineRule="auto"/>
        <w:ind w:right="49"/>
        <w:jc w:val="both"/>
        <w:rPr>
          <w:rFonts w:ascii="Palatino Linotype" w:eastAsia="Palatino Linotype" w:hAnsi="Palatino Linotype" w:cs="Palatino Linotype"/>
          <w:i/>
          <w:color w:val="000000" w:themeColor="text1"/>
        </w:rPr>
      </w:pPr>
      <w:r w:rsidRPr="00FA45F8">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w:t>
      </w:r>
      <w:r w:rsidRPr="00FA45F8">
        <w:rPr>
          <w:rFonts w:ascii="Palatino Linotype" w:eastAsia="Palatino Linotype" w:hAnsi="Palatino Linotype" w:cs="Palatino Linotype"/>
          <w:i/>
          <w:color w:val="000000" w:themeColor="text1"/>
        </w:rPr>
        <w:lastRenderedPageBreak/>
        <w:t xml:space="preserve">recurso de revisión dentro de los quince días siguientes al que haya vencido el plazo para dar respuesta.” </w:t>
      </w: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F83F43" w:rsidRPr="00FA45F8" w:rsidRDefault="00402401" w:rsidP="00FA45F8">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En esa tesitura, atendiendo a que el </w:t>
      </w:r>
      <w:r w:rsidR="00EB3352" w:rsidRPr="00FA45F8">
        <w:rPr>
          <w:rFonts w:ascii="Palatino Linotype" w:eastAsia="Palatino Linotype" w:hAnsi="Palatino Linotype" w:cs="Palatino Linotype"/>
          <w:b/>
          <w:color w:val="000000" w:themeColor="text1"/>
        </w:rPr>
        <w:t>SUJETO OBLIGADO</w:t>
      </w:r>
      <w:r w:rsidR="00EB3352" w:rsidRPr="00FA45F8">
        <w:rPr>
          <w:rFonts w:ascii="Palatino Linotype" w:eastAsia="Palatino Linotype" w:hAnsi="Palatino Linotype" w:cs="Palatino Linotype"/>
          <w:color w:val="000000" w:themeColor="text1"/>
        </w:rPr>
        <w:t xml:space="preserve"> </w:t>
      </w:r>
      <w:r w:rsidRPr="00FA45F8">
        <w:rPr>
          <w:rFonts w:ascii="Palatino Linotype" w:eastAsia="Palatino Linotype" w:hAnsi="Palatino Linotype" w:cs="Palatino Linotype"/>
          <w:color w:val="000000" w:themeColor="text1"/>
        </w:rPr>
        <w:t xml:space="preserve">notificó la respuesta a la solicitud de acceso a datos personales el </w:t>
      </w:r>
      <w:r w:rsidR="00AF6AA6" w:rsidRPr="00FA45F8">
        <w:rPr>
          <w:rFonts w:ascii="Palatino Linotype" w:eastAsia="Palatino Linotype" w:hAnsi="Palatino Linotype" w:cs="Palatino Linotype"/>
          <w:b/>
          <w:color w:val="000000" w:themeColor="text1"/>
        </w:rPr>
        <w:t>veintidós</w:t>
      </w:r>
      <w:r w:rsidRPr="00FA45F8">
        <w:rPr>
          <w:rFonts w:ascii="Palatino Linotype" w:eastAsia="Palatino Linotype" w:hAnsi="Palatino Linotype" w:cs="Palatino Linotype"/>
          <w:b/>
          <w:color w:val="000000" w:themeColor="text1"/>
        </w:rPr>
        <w:t xml:space="preserve"> de </w:t>
      </w:r>
      <w:r w:rsidR="00AF6AA6" w:rsidRPr="00FA45F8">
        <w:rPr>
          <w:rFonts w:ascii="Palatino Linotype" w:eastAsia="Palatino Linotype" w:hAnsi="Palatino Linotype" w:cs="Palatino Linotype"/>
          <w:b/>
          <w:color w:val="000000" w:themeColor="text1"/>
        </w:rPr>
        <w:t>septiembre</w:t>
      </w:r>
      <w:r w:rsidRPr="00FA45F8">
        <w:rPr>
          <w:rFonts w:ascii="Palatino Linotype" w:eastAsia="Palatino Linotype" w:hAnsi="Palatino Linotype" w:cs="Palatino Linotype"/>
          <w:b/>
          <w:color w:val="000000" w:themeColor="text1"/>
        </w:rPr>
        <w:t xml:space="preserve"> de dos mil </w:t>
      </w:r>
      <w:r w:rsidR="004D4AC3" w:rsidRPr="00FA45F8">
        <w:rPr>
          <w:rFonts w:ascii="Palatino Linotype" w:eastAsia="Palatino Linotype" w:hAnsi="Palatino Linotype" w:cs="Palatino Linotype"/>
          <w:b/>
          <w:color w:val="000000" w:themeColor="text1"/>
        </w:rPr>
        <w:t>veinticinco</w:t>
      </w:r>
      <w:r w:rsidRPr="00FA45F8">
        <w:rPr>
          <w:rFonts w:ascii="Palatino Linotype" w:eastAsia="Palatino Linotype" w:hAnsi="Palatino Linotype" w:cs="Palatino Linotype"/>
          <w:color w:val="000000" w:themeColor="text1"/>
        </w:rPr>
        <w:t xml:space="preserve">, </w:t>
      </w:r>
      <w:r w:rsidR="004D4AC3" w:rsidRPr="00FA45F8">
        <w:rPr>
          <w:rFonts w:ascii="Palatino Linotype" w:eastAsia="Palatino Linotype" w:hAnsi="Palatino Linotype" w:cs="Palatino Linotype"/>
          <w:color w:val="000000" w:themeColor="text1"/>
        </w:rPr>
        <w:t xml:space="preserve">a través del SARCOEM, </w:t>
      </w:r>
      <w:r w:rsidR="00A36AAE" w:rsidRPr="00FA45F8">
        <w:rPr>
          <w:rFonts w:ascii="Palatino Linotype" w:eastAsia="Palatino Linotype" w:hAnsi="Palatino Linotype" w:cs="Palatino Linotype"/>
          <w:color w:val="000000" w:themeColor="text1"/>
        </w:rPr>
        <w:t>e</w:t>
      </w:r>
      <w:r w:rsidR="00F83F43" w:rsidRPr="00FA45F8">
        <w:rPr>
          <w:rFonts w:ascii="Palatino Linotype" w:eastAsia="Palatino Linotype" w:hAnsi="Palatino Linotype" w:cs="Palatino Linotype"/>
          <w:color w:val="000000" w:themeColor="text1"/>
        </w:rPr>
        <w:t>l</w:t>
      </w:r>
      <w:r w:rsidR="00A36AAE" w:rsidRPr="00FA45F8">
        <w:rPr>
          <w:rFonts w:ascii="Palatino Linotype" w:eastAsia="Palatino Linotype" w:hAnsi="Palatino Linotype" w:cs="Palatino Linotype"/>
          <w:color w:val="000000" w:themeColor="text1"/>
        </w:rPr>
        <w:t xml:space="preserve"> </w:t>
      </w:r>
      <w:r w:rsidRPr="00FA45F8">
        <w:rPr>
          <w:rFonts w:ascii="Palatino Linotype" w:eastAsia="Palatino Linotype" w:hAnsi="Palatino Linotype" w:cs="Palatino Linotype"/>
          <w:color w:val="000000" w:themeColor="text1"/>
        </w:rPr>
        <w:t xml:space="preserve">plazo de quince días hábiles que contempla el artículo 128 de la Ley de Protección de Datos Personales en Posesión de Sujetos Obligados del Estado de México y Municipios, transcurrió del </w:t>
      </w:r>
      <w:r w:rsidR="00AF6AA6" w:rsidRPr="00FA45F8">
        <w:rPr>
          <w:rFonts w:ascii="Palatino Linotype" w:eastAsia="Palatino Linotype" w:hAnsi="Palatino Linotype" w:cs="Palatino Linotype"/>
          <w:b/>
          <w:color w:val="000000" w:themeColor="text1"/>
        </w:rPr>
        <w:t>veintitrés</w:t>
      </w:r>
      <w:r w:rsidR="002B711E" w:rsidRPr="00FA45F8">
        <w:rPr>
          <w:rFonts w:ascii="Palatino Linotype" w:eastAsia="Palatino Linotype" w:hAnsi="Palatino Linotype" w:cs="Palatino Linotype"/>
          <w:b/>
          <w:color w:val="000000" w:themeColor="text1"/>
        </w:rPr>
        <w:t xml:space="preserve"> de </w:t>
      </w:r>
      <w:r w:rsidR="00AF6AA6" w:rsidRPr="00FA45F8">
        <w:rPr>
          <w:rFonts w:ascii="Palatino Linotype" w:eastAsia="Palatino Linotype" w:hAnsi="Palatino Linotype" w:cs="Palatino Linotype"/>
          <w:b/>
          <w:color w:val="000000" w:themeColor="text1"/>
        </w:rPr>
        <w:t>septiembre</w:t>
      </w:r>
      <w:r w:rsidR="004D4AC3" w:rsidRPr="00FA45F8">
        <w:rPr>
          <w:rFonts w:ascii="Palatino Linotype" w:eastAsia="Palatino Linotype" w:hAnsi="Palatino Linotype" w:cs="Palatino Linotype"/>
          <w:b/>
          <w:color w:val="000000" w:themeColor="text1"/>
        </w:rPr>
        <w:t xml:space="preserve"> al </w:t>
      </w:r>
      <w:r w:rsidR="00AF6AA6" w:rsidRPr="00FA45F8">
        <w:rPr>
          <w:rFonts w:ascii="Palatino Linotype" w:eastAsia="Palatino Linotype" w:hAnsi="Palatino Linotype" w:cs="Palatino Linotype"/>
          <w:b/>
          <w:color w:val="000000" w:themeColor="text1"/>
        </w:rPr>
        <w:t>trece de octubre</w:t>
      </w:r>
      <w:r w:rsidRPr="00FA45F8">
        <w:rPr>
          <w:rFonts w:ascii="Palatino Linotype" w:eastAsia="Palatino Linotype" w:hAnsi="Palatino Linotype" w:cs="Palatino Linotype"/>
          <w:b/>
          <w:color w:val="000000" w:themeColor="text1"/>
        </w:rPr>
        <w:t xml:space="preserve"> de dos mil </w:t>
      </w:r>
      <w:r w:rsidR="00F318E1" w:rsidRPr="00FA45F8">
        <w:rPr>
          <w:rFonts w:ascii="Palatino Linotype" w:eastAsia="Palatino Linotype" w:hAnsi="Palatino Linotype" w:cs="Palatino Linotype"/>
          <w:b/>
          <w:color w:val="000000" w:themeColor="text1"/>
        </w:rPr>
        <w:t>veinticinco</w:t>
      </w:r>
      <w:r w:rsidR="00F83F43" w:rsidRPr="00FA45F8">
        <w:rPr>
          <w:rFonts w:ascii="Palatino Linotype" w:eastAsia="Palatino Linotype" w:hAnsi="Palatino Linotype" w:cs="Palatino Linotype"/>
          <w:b/>
          <w:color w:val="000000" w:themeColor="text1"/>
        </w:rPr>
        <w:t xml:space="preserve">, </w:t>
      </w:r>
      <w:r w:rsidR="002B711E" w:rsidRPr="00FA45F8">
        <w:rPr>
          <w:rFonts w:ascii="Palatino Linotype" w:eastAsia="Palatino Linotype" w:hAnsi="Palatino Linotype" w:cs="Palatino Linotype"/>
          <w:color w:val="000000" w:themeColor="text1"/>
        </w:rPr>
        <w:t xml:space="preserve">siendo </w:t>
      </w:r>
      <w:r w:rsidR="00F83F43" w:rsidRPr="00FA45F8">
        <w:rPr>
          <w:rFonts w:ascii="Palatino Linotype" w:eastAsia="Palatino Linotype" w:hAnsi="Palatino Linotype" w:cs="Palatino Linotype"/>
          <w:color w:val="000000" w:themeColor="text1"/>
        </w:rPr>
        <w:t>interpu</w:t>
      </w:r>
      <w:r w:rsidR="002B711E" w:rsidRPr="00FA45F8">
        <w:rPr>
          <w:rFonts w:ascii="Palatino Linotype" w:eastAsia="Palatino Linotype" w:hAnsi="Palatino Linotype" w:cs="Palatino Linotype"/>
          <w:color w:val="000000" w:themeColor="text1"/>
        </w:rPr>
        <w:t>est</w:t>
      </w:r>
      <w:r w:rsidR="00F83F43" w:rsidRPr="00FA45F8">
        <w:rPr>
          <w:rFonts w:ascii="Palatino Linotype" w:eastAsia="Palatino Linotype" w:hAnsi="Palatino Linotype" w:cs="Palatino Linotype"/>
          <w:color w:val="000000" w:themeColor="text1"/>
        </w:rPr>
        <w:t xml:space="preserve">o </w:t>
      </w:r>
      <w:r w:rsidR="002B711E" w:rsidRPr="00FA45F8">
        <w:rPr>
          <w:rFonts w:ascii="Palatino Linotype" w:eastAsia="Palatino Linotype" w:hAnsi="Palatino Linotype" w:cs="Palatino Linotype"/>
          <w:color w:val="000000" w:themeColor="text1"/>
        </w:rPr>
        <w:t xml:space="preserve">el recurso de revisión </w:t>
      </w:r>
      <w:r w:rsidR="00F83F43" w:rsidRPr="00FA45F8">
        <w:rPr>
          <w:rFonts w:ascii="Palatino Linotype" w:eastAsia="Palatino Linotype" w:hAnsi="Palatino Linotype" w:cs="Palatino Linotype"/>
          <w:color w:val="000000" w:themeColor="text1"/>
        </w:rPr>
        <w:t>el</w:t>
      </w:r>
      <w:r w:rsidR="002B711E" w:rsidRPr="00FA45F8">
        <w:rPr>
          <w:rFonts w:ascii="Palatino Linotype" w:eastAsia="Palatino Linotype" w:hAnsi="Palatino Linotype" w:cs="Palatino Linotype"/>
          <w:color w:val="000000" w:themeColor="text1"/>
        </w:rPr>
        <w:t xml:space="preserve"> día</w:t>
      </w:r>
      <w:r w:rsidR="00F83F43" w:rsidRPr="00FA45F8">
        <w:rPr>
          <w:rFonts w:ascii="Palatino Linotype" w:eastAsia="Palatino Linotype" w:hAnsi="Palatino Linotype" w:cs="Palatino Linotype"/>
          <w:color w:val="000000" w:themeColor="text1"/>
        </w:rPr>
        <w:t xml:space="preserve"> </w:t>
      </w:r>
      <w:r w:rsidR="00AF6AA6" w:rsidRPr="00FA45F8">
        <w:rPr>
          <w:rFonts w:ascii="Palatino Linotype" w:eastAsia="Palatino Linotype" w:hAnsi="Palatino Linotype" w:cs="Palatino Linotype"/>
          <w:b/>
          <w:color w:val="000000" w:themeColor="text1"/>
        </w:rPr>
        <w:t>veintinueve de septiembre</w:t>
      </w:r>
      <w:r w:rsidR="002B711E" w:rsidRPr="00FA45F8">
        <w:rPr>
          <w:rFonts w:ascii="Palatino Linotype" w:eastAsia="Palatino Linotype" w:hAnsi="Palatino Linotype" w:cs="Palatino Linotype"/>
          <w:b/>
          <w:color w:val="000000" w:themeColor="text1"/>
        </w:rPr>
        <w:t xml:space="preserve"> </w:t>
      </w:r>
      <w:r w:rsidR="00F83F43" w:rsidRPr="00FA45F8">
        <w:rPr>
          <w:rFonts w:ascii="Palatino Linotype" w:eastAsia="Palatino Linotype" w:hAnsi="Palatino Linotype" w:cs="Palatino Linotype"/>
          <w:b/>
          <w:color w:val="000000" w:themeColor="text1"/>
        </w:rPr>
        <w:t>del año en curso</w:t>
      </w:r>
      <w:r w:rsidR="00F83F43" w:rsidRPr="00FA45F8">
        <w:rPr>
          <w:rFonts w:ascii="Palatino Linotype" w:eastAsia="Palatino Linotype" w:hAnsi="Palatino Linotype" w:cs="Palatino Linotype"/>
          <w:color w:val="000000" w:themeColor="text1"/>
        </w:rPr>
        <w:t xml:space="preserve">, es decir </w:t>
      </w:r>
      <w:r w:rsidR="002B711E" w:rsidRPr="00FA45F8">
        <w:rPr>
          <w:rFonts w:ascii="Palatino Linotype" w:eastAsia="Palatino Linotype" w:hAnsi="Palatino Linotype" w:cs="Palatino Linotype"/>
          <w:color w:val="000000" w:themeColor="text1"/>
        </w:rPr>
        <w:t>dentro d</w:t>
      </w:r>
      <w:r w:rsidR="00F83F43" w:rsidRPr="00FA45F8">
        <w:rPr>
          <w:rFonts w:ascii="Palatino Linotype" w:eastAsia="Palatino Linotype" w:hAnsi="Palatino Linotype" w:cs="Palatino Linotype"/>
          <w:color w:val="000000" w:themeColor="text1"/>
        </w:rPr>
        <w:t>el plazo legalmente establecido para tal efecto.</w:t>
      </w:r>
    </w:p>
    <w:p w:rsidR="00F83F43" w:rsidRPr="00FA45F8" w:rsidRDefault="00F83F43"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F83F43" w:rsidP="00FA45F8">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Luego entonces se considera que se encuentra dentro de los márgenes temporales previstos en el artículo 128 de la Ley de Protección de Datos Personales en Posesión de Sujetos Obligados del Estado de México y Municipios y, por tanto, su interposición se considera oportuna.</w:t>
      </w:r>
    </w:p>
    <w:p w:rsidR="003E0BBF" w:rsidRPr="00FA45F8" w:rsidRDefault="003E0BBF" w:rsidP="00FA45F8">
      <w:pPr>
        <w:pStyle w:val="Prrafodelista"/>
        <w:spacing w:line="360" w:lineRule="auto"/>
        <w:ind w:left="0" w:right="49"/>
        <w:rPr>
          <w:rFonts w:ascii="Palatino Linotype" w:eastAsia="Palatino Linotype" w:hAnsi="Palatino Linotype" w:cs="Palatino Linotype"/>
          <w:color w:val="000000" w:themeColor="text1"/>
        </w:rPr>
      </w:pPr>
    </w:p>
    <w:p w:rsidR="008D0CF1" w:rsidRPr="00FA45F8" w:rsidRDefault="006231A2" w:rsidP="00FA45F8">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6" w:name="_heading=h.1t3h5sf" w:colFirst="0" w:colLast="0"/>
      <w:bookmarkEnd w:id="6"/>
      <w:r w:rsidRPr="00FA45F8">
        <w:rPr>
          <w:rFonts w:ascii="Palatino Linotype" w:eastAsia="Palatino Linotype" w:hAnsi="Palatino Linotype" w:cs="Palatino Linotype"/>
          <w:b/>
          <w:color w:val="000000" w:themeColor="text1"/>
          <w:sz w:val="24"/>
          <w:szCs w:val="24"/>
        </w:rPr>
        <w:t>TERCERO</w:t>
      </w:r>
      <w:r w:rsidR="00402401" w:rsidRPr="00FA45F8">
        <w:rPr>
          <w:rFonts w:ascii="Palatino Linotype" w:eastAsia="Palatino Linotype" w:hAnsi="Palatino Linotype" w:cs="Palatino Linotype"/>
          <w:b/>
          <w:color w:val="000000" w:themeColor="text1"/>
          <w:sz w:val="24"/>
          <w:szCs w:val="24"/>
        </w:rPr>
        <w:t xml:space="preserve">. </w:t>
      </w:r>
      <w:r w:rsidR="00565957" w:rsidRPr="00FA45F8">
        <w:rPr>
          <w:rFonts w:ascii="Palatino Linotype" w:eastAsia="Palatino Linotype" w:hAnsi="Palatino Linotype" w:cs="Palatino Linotype"/>
          <w:b/>
          <w:color w:val="000000" w:themeColor="text1"/>
          <w:sz w:val="24"/>
          <w:szCs w:val="24"/>
        </w:rPr>
        <w:t xml:space="preserve">Fijación de la </w:t>
      </w:r>
      <w:r w:rsidR="00565957" w:rsidRPr="00FA45F8">
        <w:rPr>
          <w:rFonts w:ascii="Palatino Linotype" w:eastAsia="Palatino Linotype" w:hAnsi="Palatino Linotype" w:cs="Palatino Linotype"/>
          <w:b/>
          <w:i/>
          <w:color w:val="000000" w:themeColor="text1"/>
          <w:sz w:val="24"/>
          <w:szCs w:val="24"/>
        </w:rPr>
        <w:t>Litis</w:t>
      </w:r>
      <w:r w:rsidR="00402401" w:rsidRPr="00FA45F8">
        <w:rPr>
          <w:rFonts w:ascii="Palatino Linotype" w:eastAsia="Palatino Linotype" w:hAnsi="Palatino Linotype" w:cs="Palatino Linotype"/>
          <w:b/>
          <w:color w:val="000000" w:themeColor="text1"/>
          <w:sz w:val="24"/>
          <w:szCs w:val="24"/>
        </w:rPr>
        <w:t>.</w:t>
      </w:r>
    </w:p>
    <w:p w:rsidR="005162D2" w:rsidRPr="00FA45F8" w:rsidRDefault="00565957" w:rsidP="00FA45F8">
      <w:pPr>
        <w:numPr>
          <w:ilvl w:val="0"/>
          <w:numId w:val="2"/>
        </w:numPr>
        <w:spacing w:line="360" w:lineRule="auto"/>
        <w:ind w:left="0" w:right="49" w:firstLine="0"/>
        <w:jc w:val="both"/>
        <w:rPr>
          <w:rFonts w:ascii="Palatino Linotype" w:hAnsi="Palatino Linotype"/>
          <w:color w:val="000000" w:themeColor="text1"/>
        </w:rPr>
      </w:pPr>
      <w:r w:rsidRPr="00FA45F8">
        <w:rPr>
          <w:rFonts w:ascii="Palatino Linotype" w:eastAsia="Palatino Linotype" w:hAnsi="Palatino Linotype" w:cs="Palatino Linotype"/>
          <w:color w:val="000000" w:themeColor="text1"/>
        </w:rPr>
        <w:t>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VII del artíc</w:t>
      </w:r>
      <w:r w:rsidR="00294284" w:rsidRPr="00FA45F8">
        <w:rPr>
          <w:rFonts w:ascii="Palatino Linotype" w:eastAsia="Palatino Linotype" w:hAnsi="Palatino Linotype" w:cs="Palatino Linotype"/>
          <w:color w:val="000000" w:themeColor="text1"/>
        </w:rPr>
        <w:t xml:space="preserve">ulo 129 de la Ley en la materia, invocada por la parte </w:t>
      </w:r>
      <w:r w:rsidR="00294284" w:rsidRPr="00FA45F8">
        <w:rPr>
          <w:rFonts w:ascii="Palatino Linotype" w:eastAsia="Palatino Linotype" w:hAnsi="Palatino Linotype" w:cs="Palatino Linotype"/>
          <w:b/>
          <w:color w:val="000000" w:themeColor="text1"/>
        </w:rPr>
        <w:t>RECURRENTE.</w:t>
      </w:r>
    </w:p>
    <w:p w:rsidR="00565957" w:rsidRPr="00FA45F8" w:rsidRDefault="00565957" w:rsidP="00FA45F8">
      <w:pPr>
        <w:spacing w:line="360" w:lineRule="auto"/>
        <w:ind w:right="49"/>
        <w:jc w:val="both"/>
        <w:rPr>
          <w:rFonts w:ascii="Palatino Linotype" w:hAnsi="Palatino Linotype"/>
          <w:color w:val="000000" w:themeColor="text1"/>
        </w:rPr>
      </w:pPr>
    </w:p>
    <w:p w:rsidR="00565957" w:rsidRPr="00FA45F8" w:rsidRDefault="00565957" w:rsidP="00FA45F8">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FA45F8">
        <w:rPr>
          <w:rFonts w:ascii="Palatino Linotype" w:eastAsia="Palatino Linotype" w:hAnsi="Palatino Linotype" w:cs="Palatino Linotype"/>
          <w:b/>
          <w:color w:val="000000" w:themeColor="text1"/>
          <w:sz w:val="24"/>
          <w:szCs w:val="24"/>
        </w:rPr>
        <w:lastRenderedPageBreak/>
        <w:t>CUARTO. Estudio y resolución</w:t>
      </w:r>
    </w:p>
    <w:p w:rsidR="008D0CF1" w:rsidRPr="00FA45F8" w:rsidRDefault="00402401" w:rsidP="00FA45F8">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Previo al análisis de fondo de la controversia presentada en el asunto que nos ocupa, </w:t>
      </w:r>
      <w:r w:rsidR="00A46E30" w:rsidRPr="00FA45F8">
        <w:rPr>
          <w:rFonts w:ascii="Palatino Linotype" w:eastAsia="Palatino Linotype" w:hAnsi="Palatino Linotype" w:cs="Palatino Linotype"/>
          <w:color w:val="000000" w:themeColor="text1"/>
        </w:rPr>
        <w:t>es menester inicial, señalar</w:t>
      </w:r>
      <w:r w:rsidR="001C75FA" w:rsidRPr="00FA45F8">
        <w:rPr>
          <w:rFonts w:ascii="Palatino Linotype" w:eastAsia="Palatino Linotype" w:hAnsi="Palatino Linotype" w:cs="Palatino Linotype"/>
          <w:color w:val="000000" w:themeColor="text1"/>
        </w:rPr>
        <w:t xml:space="preserve"> que e</w:t>
      </w:r>
      <w:r w:rsidRPr="00FA45F8">
        <w:rPr>
          <w:rFonts w:ascii="Palatino Linotype" w:eastAsia="Palatino Linotype" w:hAnsi="Palatino Linotype" w:cs="Palatino Linotype"/>
          <w:color w:val="000000" w:themeColor="text1"/>
        </w:rPr>
        <w:t>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8D0CF1" w:rsidRPr="00FA45F8" w:rsidRDefault="008D0CF1" w:rsidP="00FA45F8">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FA45F8" w:rsidRDefault="00402401" w:rsidP="00FA45F8">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8D0CF1" w:rsidRPr="00FA45F8" w:rsidRDefault="00402401" w:rsidP="00FA45F8">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lastRenderedPageBreak/>
        <w:t>Así las cosas, tenemos que cuando hablamos de una solicitud de derechos ARCO se refiere a aquel derecho que tiene un titular de datos personales para solicitar el acceso, rectificación, cancelación, oposición y portabilidad sobre el tratamiento de sus datos, ante el Sujeto Obligado que esté en posesión de los mismos.</w:t>
      </w:r>
    </w:p>
    <w:p w:rsidR="00C014D8" w:rsidRPr="00FA45F8" w:rsidRDefault="00C014D8" w:rsidP="00FA45F8">
      <w:pPr>
        <w:pStyle w:val="Prrafodelista"/>
        <w:spacing w:line="360" w:lineRule="auto"/>
        <w:ind w:left="0" w:right="49"/>
        <w:rPr>
          <w:rFonts w:ascii="Palatino Linotype" w:eastAsia="Palatino Linotype" w:hAnsi="Palatino Linotype" w:cs="Palatino Linotype"/>
          <w:color w:val="000000" w:themeColor="text1"/>
        </w:rPr>
      </w:pPr>
    </w:p>
    <w:p w:rsidR="008D0CF1" w:rsidRPr="00FA45F8" w:rsidRDefault="00402401" w:rsidP="00FA45F8">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Es importante señalar, </w:t>
      </w:r>
      <w:r w:rsidR="00BD5D68" w:rsidRPr="00FA45F8">
        <w:rPr>
          <w:rFonts w:ascii="Palatino Linotype" w:eastAsia="Palatino Linotype" w:hAnsi="Palatino Linotype" w:cs="Palatino Linotype"/>
          <w:color w:val="000000" w:themeColor="text1"/>
        </w:rPr>
        <w:t>que la</w:t>
      </w:r>
      <w:r w:rsidRPr="00FA45F8">
        <w:rPr>
          <w:rFonts w:ascii="Palatino Linotype" w:eastAsia="Palatino Linotype" w:hAnsi="Palatino Linotype" w:cs="Palatino Linotype"/>
          <w:color w:val="000000" w:themeColor="text1"/>
        </w:rPr>
        <w:t xml:space="preserve"> procedencia de los derechos de acceso, rectificación, cancelación y oposición de datos personales, ARCO, es efectiva una vez que el titular o su representante legal acrediten su identidad o representación, respectivamente.</w:t>
      </w:r>
    </w:p>
    <w:p w:rsidR="008D0CF1" w:rsidRPr="00FA45F8" w:rsidRDefault="008D0CF1" w:rsidP="00FA45F8">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FA45F8" w:rsidRDefault="00A46E30" w:rsidP="00FA45F8">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Luego entonces, d</w:t>
      </w:r>
      <w:r w:rsidR="00402401" w:rsidRPr="00FA45F8">
        <w:rPr>
          <w:rFonts w:ascii="Palatino Linotype" w:eastAsia="Palatino Linotype" w:hAnsi="Palatino Linotype" w:cs="Palatino Linotype"/>
          <w:color w:val="000000" w:themeColor="text1"/>
        </w:rPr>
        <w:t xml:space="preserve">el análisis a la solicitud se advierte que la parte </w:t>
      </w:r>
      <w:r w:rsidR="00402401" w:rsidRPr="00FA45F8">
        <w:rPr>
          <w:rFonts w:ascii="Palatino Linotype" w:eastAsia="Palatino Linotype" w:hAnsi="Palatino Linotype" w:cs="Palatino Linotype"/>
          <w:b/>
          <w:color w:val="000000" w:themeColor="text1"/>
        </w:rPr>
        <w:t>Recurrente</w:t>
      </w:r>
      <w:r w:rsidR="00402401" w:rsidRPr="00FA45F8">
        <w:rPr>
          <w:rFonts w:ascii="Palatino Linotype" w:eastAsia="Palatino Linotype" w:hAnsi="Palatino Linotype" w:cs="Palatino Linotype"/>
          <w:color w:val="000000" w:themeColor="text1"/>
        </w:rPr>
        <w:t xml:space="preserve"> requiere acceder </w:t>
      </w:r>
      <w:r w:rsidR="00294284" w:rsidRPr="00FA45F8">
        <w:rPr>
          <w:rFonts w:ascii="Palatino Linotype" w:eastAsia="Palatino Linotype" w:hAnsi="Palatino Linotype" w:cs="Palatino Linotype"/>
          <w:color w:val="000000" w:themeColor="text1"/>
        </w:rPr>
        <w:t xml:space="preserve">a </w:t>
      </w:r>
      <w:r w:rsidR="00402401" w:rsidRPr="00FA45F8">
        <w:rPr>
          <w:rFonts w:ascii="Palatino Linotype" w:eastAsia="Palatino Linotype" w:hAnsi="Palatino Linotype" w:cs="Palatino Linotype"/>
          <w:color w:val="000000" w:themeColor="text1"/>
        </w:rPr>
        <w:t>los siguientes datos</w:t>
      </w:r>
      <w:r w:rsidR="001C75FA" w:rsidRPr="00FA45F8">
        <w:rPr>
          <w:rFonts w:ascii="Palatino Linotype" w:eastAsia="Palatino Linotype" w:hAnsi="Palatino Linotype" w:cs="Palatino Linotype"/>
          <w:color w:val="000000" w:themeColor="text1"/>
        </w:rPr>
        <w:t xml:space="preserve"> personales</w:t>
      </w:r>
      <w:r w:rsidR="006B5121" w:rsidRPr="00FA45F8">
        <w:rPr>
          <w:rFonts w:ascii="Palatino Linotype" w:eastAsia="Palatino Linotype" w:hAnsi="Palatino Linotype" w:cs="Palatino Linotype"/>
          <w:color w:val="000000" w:themeColor="text1"/>
        </w:rPr>
        <w:t xml:space="preserve"> </w:t>
      </w:r>
      <w:r w:rsidR="00294284" w:rsidRPr="00FA45F8">
        <w:rPr>
          <w:rFonts w:ascii="Palatino Linotype" w:eastAsia="Palatino Linotype" w:hAnsi="Palatino Linotype" w:cs="Palatino Linotype"/>
          <w:color w:val="000000" w:themeColor="text1"/>
        </w:rPr>
        <w:t xml:space="preserve">en representación de una persona fallecida, </w:t>
      </w:r>
      <w:r w:rsidR="00D1289F" w:rsidRPr="00FA45F8">
        <w:rPr>
          <w:rFonts w:ascii="Palatino Linotype" w:eastAsia="Palatino Linotype" w:hAnsi="Palatino Linotype" w:cs="Palatino Linotype"/>
          <w:color w:val="000000" w:themeColor="text1"/>
        </w:rPr>
        <w:t>en</w:t>
      </w:r>
      <w:r w:rsidR="006B5121" w:rsidRPr="00FA45F8">
        <w:rPr>
          <w:rFonts w:ascii="Palatino Linotype" w:eastAsia="Palatino Linotype" w:hAnsi="Palatino Linotype" w:cs="Palatino Linotype"/>
          <w:color w:val="000000" w:themeColor="text1"/>
        </w:rPr>
        <w:t xml:space="preserve"> copias certificadas con costo</w:t>
      </w:r>
      <w:r w:rsidR="00402401" w:rsidRPr="00FA45F8">
        <w:rPr>
          <w:rFonts w:ascii="Palatino Linotype" w:eastAsia="Palatino Linotype" w:hAnsi="Palatino Linotype" w:cs="Palatino Linotype"/>
          <w:color w:val="000000" w:themeColor="text1"/>
        </w:rPr>
        <w:t xml:space="preserve">: </w:t>
      </w:r>
    </w:p>
    <w:p w:rsidR="005162D2" w:rsidRPr="00FA45F8" w:rsidRDefault="00294284" w:rsidP="00FA45F8">
      <w:pPr>
        <w:pStyle w:val="Prrafodelista"/>
        <w:numPr>
          <w:ilvl w:val="0"/>
          <w:numId w:val="1"/>
        </w:numPr>
        <w:spacing w:line="360" w:lineRule="auto"/>
        <w:ind w:left="0" w:right="49" w:firstLine="0"/>
        <w:jc w:val="both"/>
        <w:rPr>
          <w:rFonts w:ascii="Palatino Linotype" w:hAnsi="Palatino Linotype" w:cs="Arial"/>
          <w:color w:val="000000" w:themeColor="text1"/>
        </w:rPr>
      </w:pPr>
      <w:r w:rsidRPr="00FA45F8">
        <w:rPr>
          <w:rFonts w:ascii="Palatino Linotype" w:eastAsia="Palatino Linotype" w:hAnsi="Palatino Linotype" w:cs="Palatino Linotype"/>
          <w:color w:val="000000" w:themeColor="text1"/>
        </w:rPr>
        <w:t>A</w:t>
      </w:r>
      <w:r w:rsidR="00C92E47" w:rsidRPr="00FA45F8">
        <w:rPr>
          <w:rFonts w:ascii="Palatino Linotype" w:eastAsia="Palatino Linotype" w:hAnsi="Palatino Linotype" w:cs="Palatino Linotype"/>
          <w:color w:val="000000" w:themeColor="text1"/>
        </w:rPr>
        <w:t>viso de movimiento de baja</w:t>
      </w:r>
      <w:r w:rsidR="00C92E47" w:rsidRPr="00FA45F8">
        <w:rPr>
          <w:rFonts w:ascii="Palatino Linotype" w:hAnsi="Palatino Linotype" w:cs="Arial"/>
          <w:color w:val="000000" w:themeColor="text1"/>
        </w:rPr>
        <w:t>, de la persona titular de los datos personales referida en la solicitud de acceso a datos.</w:t>
      </w:r>
    </w:p>
    <w:p w:rsidR="004312AD" w:rsidRPr="00FA45F8" w:rsidRDefault="004312AD" w:rsidP="00FA45F8">
      <w:pPr>
        <w:pStyle w:val="Prrafodelista"/>
        <w:spacing w:line="360" w:lineRule="auto"/>
        <w:ind w:left="0" w:right="49"/>
        <w:jc w:val="both"/>
        <w:rPr>
          <w:rFonts w:ascii="Palatino Linotype" w:hAnsi="Palatino Linotype" w:cs="Arial"/>
          <w:color w:val="000000" w:themeColor="text1"/>
        </w:rPr>
      </w:pPr>
    </w:p>
    <w:p w:rsidR="005416D2" w:rsidRPr="00FA45F8" w:rsidRDefault="00EB335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olor w:val="000000" w:themeColor="text1"/>
          <w:lang w:eastAsia="es-MX"/>
        </w:rPr>
      </w:pPr>
      <w:r w:rsidRPr="00FA45F8">
        <w:rPr>
          <w:rFonts w:ascii="Palatino Linotype" w:eastAsia="Palatino Linotype" w:hAnsi="Palatino Linotype" w:cs="Palatino Linotype"/>
          <w:color w:val="000000" w:themeColor="text1"/>
        </w:rPr>
        <w:t>En respuesta</w:t>
      </w:r>
      <w:r w:rsidR="00402401" w:rsidRPr="00FA45F8">
        <w:rPr>
          <w:rFonts w:ascii="Palatino Linotype" w:eastAsia="Palatino Linotype" w:hAnsi="Palatino Linotype" w:cs="Palatino Linotype"/>
          <w:color w:val="000000" w:themeColor="text1"/>
        </w:rPr>
        <w:t xml:space="preserve"> el </w:t>
      </w:r>
      <w:r w:rsidR="00C014D8" w:rsidRPr="00FA45F8">
        <w:rPr>
          <w:rFonts w:ascii="Palatino Linotype" w:eastAsia="Palatino Linotype" w:hAnsi="Palatino Linotype" w:cs="Palatino Linotype"/>
          <w:b/>
          <w:color w:val="000000" w:themeColor="text1"/>
        </w:rPr>
        <w:t xml:space="preserve">SUJETO OBLIGADO </w:t>
      </w:r>
      <w:r w:rsidR="00C92E47" w:rsidRPr="00FA45F8">
        <w:rPr>
          <w:rFonts w:ascii="Palatino Linotype" w:eastAsia="Palatino Linotype" w:hAnsi="Palatino Linotype" w:cs="Palatino Linotype"/>
          <w:color w:val="000000" w:themeColor="text1"/>
        </w:rPr>
        <w:t>informó del archivo de la solicitud, derivado que no se acredito el interés de la solicitante para</w:t>
      </w:r>
      <w:r w:rsidR="00294284" w:rsidRPr="00FA45F8">
        <w:rPr>
          <w:rFonts w:ascii="Palatino Linotype" w:eastAsia="Palatino Linotype" w:hAnsi="Palatino Linotype" w:cs="Palatino Linotype"/>
          <w:color w:val="000000" w:themeColor="text1"/>
        </w:rPr>
        <w:t xml:space="preserve"> acceder a los datos personales. Dicho </w:t>
      </w:r>
      <w:r w:rsidR="005416D2" w:rsidRPr="00FA45F8">
        <w:rPr>
          <w:rFonts w:ascii="Palatino Linotype" w:hAnsi="Palatino Linotype"/>
          <w:color w:val="000000" w:themeColor="text1"/>
          <w:lang w:eastAsia="es-MX"/>
        </w:rPr>
        <w:t>contexto</w:t>
      </w:r>
      <w:r w:rsidR="00294284" w:rsidRPr="00FA45F8">
        <w:rPr>
          <w:rFonts w:ascii="Palatino Linotype" w:hAnsi="Palatino Linotype"/>
          <w:color w:val="000000" w:themeColor="text1"/>
          <w:lang w:eastAsia="es-MX"/>
        </w:rPr>
        <w:t>, obedece a que</w:t>
      </w:r>
      <w:r w:rsidR="005416D2" w:rsidRPr="00FA45F8">
        <w:rPr>
          <w:rFonts w:ascii="Palatino Linotype" w:hAnsi="Palatino Linotype"/>
          <w:color w:val="000000" w:themeColor="text1"/>
          <w:lang w:eastAsia="es-MX"/>
        </w:rPr>
        <w:t xml:space="preserve"> para ejercer los derechos </w:t>
      </w:r>
      <w:r w:rsidR="005416D2" w:rsidRPr="00FA45F8">
        <w:rPr>
          <w:rFonts w:ascii="Palatino Linotype" w:hAnsi="Palatino Linotype"/>
          <w:b/>
          <w:color w:val="000000" w:themeColor="text1"/>
          <w:lang w:eastAsia="es-MX"/>
        </w:rPr>
        <w:t xml:space="preserve">ARCO </w:t>
      </w:r>
      <w:r w:rsidR="005416D2" w:rsidRPr="00FA45F8">
        <w:rPr>
          <w:rFonts w:ascii="Palatino Linotype" w:hAnsi="Palatino Linotype"/>
          <w:color w:val="000000" w:themeColor="text1"/>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rsidR="005416D2" w:rsidRPr="00FA45F8" w:rsidRDefault="005416D2" w:rsidP="00FA45F8">
      <w:pPr>
        <w:pStyle w:val="Infoem"/>
        <w:spacing w:before="0" w:after="0"/>
        <w:ind w:left="0" w:right="49"/>
        <w:rPr>
          <w:color w:val="000000" w:themeColor="text1"/>
          <w:sz w:val="24"/>
          <w:szCs w:val="24"/>
          <w:lang w:eastAsia="es-MX"/>
        </w:rPr>
      </w:pPr>
      <w:r w:rsidRPr="00FA45F8">
        <w:rPr>
          <w:color w:val="000000" w:themeColor="text1"/>
          <w:sz w:val="24"/>
          <w:szCs w:val="24"/>
          <w:lang w:eastAsia="es-MX"/>
        </w:rPr>
        <w:t>“Legitimación para Ejercer los Derechos ARCO</w:t>
      </w:r>
    </w:p>
    <w:p w:rsidR="005416D2" w:rsidRPr="00FA45F8" w:rsidRDefault="005416D2" w:rsidP="00FA45F8">
      <w:pPr>
        <w:pStyle w:val="Infoem"/>
        <w:spacing w:before="0" w:after="0"/>
        <w:ind w:left="0" w:right="49"/>
        <w:rPr>
          <w:color w:val="000000" w:themeColor="text1"/>
          <w:sz w:val="24"/>
          <w:szCs w:val="24"/>
          <w:lang w:eastAsia="es-MX"/>
        </w:rPr>
      </w:pPr>
      <w:r w:rsidRPr="00FA45F8">
        <w:rPr>
          <w:color w:val="000000" w:themeColor="text1"/>
          <w:sz w:val="24"/>
          <w:szCs w:val="24"/>
          <w:lang w:eastAsia="es-MX"/>
        </w:rPr>
        <w:t>Artículo 106.</w:t>
      </w:r>
    </w:p>
    <w:p w:rsidR="005416D2" w:rsidRPr="00FA45F8" w:rsidRDefault="005416D2" w:rsidP="00FA45F8">
      <w:pPr>
        <w:pStyle w:val="Infoem"/>
        <w:spacing w:before="0" w:after="0"/>
        <w:ind w:left="0" w:right="49"/>
        <w:rPr>
          <w:color w:val="000000" w:themeColor="text1"/>
          <w:sz w:val="24"/>
          <w:szCs w:val="24"/>
          <w:lang w:eastAsia="es-MX"/>
        </w:rPr>
      </w:pPr>
      <w:r w:rsidRPr="00FA45F8">
        <w:rPr>
          <w:color w:val="000000" w:themeColor="text1"/>
          <w:sz w:val="24"/>
          <w:szCs w:val="24"/>
          <w:lang w:eastAsia="es-MX"/>
        </w:rPr>
        <w:t>(…)</w:t>
      </w:r>
    </w:p>
    <w:p w:rsidR="005416D2" w:rsidRPr="00FA45F8" w:rsidRDefault="005416D2" w:rsidP="00FA45F8">
      <w:pPr>
        <w:pStyle w:val="Infoem"/>
        <w:spacing w:before="0" w:after="0"/>
        <w:ind w:left="0" w:right="49"/>
        <w:rPr>
          <w:b/>
          <w:color w:val="000000" w:themeColor="text1"/>
          <w:sz w:val="24"/>
          <w:szCs w:val="24"/>
          <w:u w:val="single"/>
          <w:lang w:eastAsia="es-MX"/>
        </w:rPr>
      </w:pPr>
      <w:r w:rsidRPr="00FA45F8">
        <w:rPr>
          <w:color w:val="000000" w:themeColor="text1"/>
          <w:sz w:val="24"/>
          <w:szCs w:val="24"/>
          <w:lang w:eastAsia="es-MX"/>
        </w:rPr>
        <w:lastRenderedPageBreak/>
        <w:t xml:space="preserve">Tratándose de datos personales concernientes a personas fallecidas o de quienes haya sido declarada judicialmente su presunción de muerte, </w:t>
      </w:r>
      <w:r w:rsidRPr="00FA45F8">
        <w:rPr>
          <w:b/>
          <w:color w:val="000000" w:themeColor="text1"/>
          <w:sz w:val="24"/>
          <w:szCs w:val="24"/>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5416D2" w:rsidRPr="00FA45F8" w:rsidRDefault="005416D2" w:rsidP="00FA45F8">
      <w:pPr>
        <w:pStyle w:val="Infoem"/>
        <w:spacing w:before="0" w:after="0"/>
        <w:ind w:left="0" w:right="49"/>
        <w:rPr>
          <w:color w:val="000000" w:themeColor="text1"/>
          <w:sz w:val="24"/>
          <w:szCs w:val="24"/>
          <w:lang w:eastAsia="es-MX"/>
        </w:rPr>
      </w:pPr>
      <w:r w:rsidRPr="00FA45F8">
        <w:rPr>
          <w:color w:val="000000" w:themeColor="text1"/>
          <w:sz w:val="24"/>
          <w:szCs w:val="24"/>
          <w:lang w:eastAsia="es-MX"/>
        </w:rPr>
        <w:t xml:space="preserve">El titular podrá autorizar dentro de una cláusula del testamento a las personas que podrán ejercer sus derechos ARCO al momento del fallecimiento.  </w:t>
      </w:r>
    </w:p>
    <w:p w:rsidR="005416D2" w:rsidRPr="00FA45F8" w:rsidRDefault="005416D2" w:rsidP="00FA45F8">
      <w:pPr>
        <w:pStyle w:val="Infoem"/>
        <w:spacing w:before="0" w:after="0"/>
        <w:ind w:left="0" w:right="49"/>
        <w:rPr>
          <w:b/>
          <w:color w:val="000000" w:themeColor="text1"/>
          <w:sz w:val="24"/>
          <w:szCs w:val="24"/>
          <w:lang w:eastAsia="es-MX"/>
        </w:rPr>
      </w:pPr>
      <w:r w:rsidRPr="00FA45F8">
        <w:rPr>
          <w:color w:val="000000" w:themeColor="text1"/>
          <w:sz w:val="24"/>
          <w:szCs w:val="24"/>
          <w:lang w:eastAsia="es-MX"/>
        </w:rPr>
        <w:t xml:space="preserve">El ejercicio de los derechos ARCO por persona distinta a su titular o a su representante, será posible, excepcionalmente, en aquellos supuestos previstos por disposición legal, o en su caso, por mandato judicial (…)” </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cs="Arial"/>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s="Arial"/>
          <w:color w:val="000000" w:themeColor="text1"/>
        </w:rPr>
      </w:pPr>
      <w:r w:rsidRPr="00FA45F8">
        <w:rPr>
          <w:rFonts w:ascii="Palatino Linotype" w:eastAsia="Palatino Linotype" w:hAnsi="Palatino Linotype" w:cs="Palatino Linotype"/>
          <w:color w:val="000000" w:themeColor="text1"/>
        </w:rPr>
        <w:t>Disposiciones</w:t>
      </w:r>
      <w:r w:rsidRPr="00FA45F8">
        <w:rPr>
          <w:rFonts w:ascii="Palatino Linotype" w:hAnsi="Palatino Linotype" w:cs="Arial"/>
          <w:color w:val="000000" w:themeColor="text1"/>
        </w:rPr>
        <w:t xml:space="preserve">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cs="Arial"/>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s="Arial"/>
          <w:color w:val="000000" w:themeColor="text1"/>
        </w:rPr>
      </w:pPr>
      <w:r w:rsidRPr="00FA45F8">
        <w:rPr>
          <w:rFonts w:ascii="Palatino Linotype" w:hAnsi="Palatino Linotype" w:cs="Arial"/>
          <w:color w:val="000000" w:themeColor="text1"/>
        </w:rPr>
        <w:t xml:space="preserve">Ordenamiento al cual se encuentran sujetos los titulares de las unidades de transparencia de los </w:t>
      </w:r>
      <w:r w:rsidR="00294284" w:rsidRPr="00FA45F8">
        <w:rPr>
          <w:rFonts w:ascii="Palatino Linotype" w:eastAsia="Palatino Linotype" w:hAnsi="Palatino Linotype" w:cs="Palatino Linotype"/>
          <w:color w:val="000000" w:themeColor="text1"/>
        </w:rPr>
        <w:t>sujetos</w:t>
      </w:r>
      <w:r w:rsidR="00294284" w:rsidRPr="00FA45F8">
        <w:rPr>
          <w:rFonts w:ascii="Palatino Linotype" w:hAnsi="Palatino Linotype" w:cs="Arial"/>
          <w:color w:val="000000" w:themeColor="text1"/>
        </w:rPr>
        <w:t xml:space="preserve"> obligados</w:t>
      </w:r>
      <w:r w:rsidRPr="00FA45F8">
        <w:rPr>
          <w:rFonts w:ascii="Palatino Linotype" w:hAnsi="Palatino Linotype" w:cs="Arial"/>
          <w:b/>
          <w:color w:val="000000" w:themeColor="text1"/>
        </w:rPr>
        <w:t>,</w:t>
      </w:r>
      <w:r w:rsidRPr="00FA45F8">
        <w:rPr>
          <w:rFonts w:ascii="Palatino Linotype" w:hAnsi="Palatino Linotype" w:cs="Arial"/>
          <w:color w:val="000000" w:themeColor="text1"/>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FA45F8">
        <w:rPr>
          <w:rFonts w:ascii="Palatino Linotype" w:hAnsi="Palatino Linotype" w:cs="Arial"/>
          <w:b/>
          <w:color w:val="000000" w:themeColor="text1"/>
          <w:u w:val="single"/>
        </w:rPr>
        <w:t xml:space="preserve">que implica que la información </w:t>
      </w:r>
      <w:r w:rsidRPr="00FA45F8">
        <w:rPr>
          <w:rFonts w:ascii="Palatino Linotype" w:hAnsi="Palatino Linotype" w:cs="Arial"/>
          <w:b/>
          <w:color w:val="000000" w:themeColor="text1"/>
          <w:u w:val="single"/>
        </w:rPr>
        <w:lastRenderedPageBreak/>
        <w:t>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FA45F8">
        <w:rPr>
          <w:rFonts w:ascii="Palatino Linotype" w:hAnsi="Palatino Linotype" w:cs="Arial"/>
          <w:b/>
          <w:color w:val="000000" w:themeColor="text1"/>
        </w:rPr>
        <w:t xml:space="preserve">, </w:t>
      </w:r>
      <w:r w:rsidRPr="00FA45F8">
        <w:rPr>
          <w:rFonts w:ascii="Palatino Linotype" w:hAnsi="Palatino Linotype" w:cs="Arial"/>
          <w:color w:val="000000" w:themeColor="text1"/>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cs="Arial"/>
          <w:color w:val="000000" w:themeColor="text1"/>
        </w:rPr>
      </w:pPr>
    </w:p>
    <w:p w:rsidR="005416D2"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s="Arial"/>
          <w:color w:val="000000" w:themeColor="text1"/>
          <w:lang w:eastAsia="es-MX"/>
        </w:rPr>
      </w:pPr>
      <w:r w:rsidRPr="00FA45F8">
        <w:rPr>
          <w:rFonts w:ascii="Palatino Linotype" w:hAnsi="Palatino Linotype" w:cs="Arial"/>
          <w:color w:val="000000" w:themeColor="text1"/>
        </w:rPr>
        <w:t xml:space="preserve">En consecuencia, el ejercicio de derechos ARCO respecto de personas fallecidas a través de las Unidades de Transparencia, únicamente podrá llevarse a cabo por quienes cuenten con interés jurídico, por lo cual </w:t>
      </w:r>
      <w:r w:rsidRPr="00FA45F8">
        <w:rPr>
          <w:rFonts w:ascii="Palatino Linotype" w:hAnsi="Palatino Linotype"/>
          <w:color w:val="000000" w:themeColor="text1"/>
          <w:lang w:eastAsia="es-MX"/>
        </w:rPr>
        <w:t xml:space="preserve">conviene señalar lo estipulado por </w:t>
      </w:r>
      <w:r w:rsidRPr="00FA45F8">
        <w:rPr>
          <w:rFonts w:ascii="Palatino Linotype" w:hAnsi="Palatino Linotype" w:cs="Arial"/>
          <w:color w:val="000000" w:themeColor="text1"/>
        </w:rPr>
        <w:t xml:space="preserve">el Poder Judicial de la Federación a través de las Tesis y Jurisprudencias con </w:t>
      </w:r>
      <w:r w:rsidRPr="00FA45F8">
        <w:rPr>
          <w:rFonts w:ascii="Palatino Linotype" w:hAnsi="Palatino Linotype" w:cs="Arial"/>
          <w:color w:val="000000" w:themeColor="text1"/>
          <w:lang w:eastAsia="es-MX"/>
        </w:rPr>
        <w:t xml:space="preserve">números de registro </w:t>
      </w:r>
      <w:r w:rsidRPr="00FA45F8">
        <w:rPr>
          <w:rFonts w:ascii="Palatino Linotype" w:hAnsi="Palatino Linotype" w:cs="Arial"/>
          <w:b/>
          <w:color w:val="000000" w:themeColor="text1"/>
          <w:lang w:eastAsia="es-MX"/>
        </w:rPr>
        <w:t>181719, 170500</w:t>
      </w:r>
      <w:r w:rsidRPr="00FA45F8">
        <w:rPr>
          <w:rFonts w:ascii="Palatino Linotype" w:hAnsi="Palatino Linotype" w:cs="Arial"/>
          <w:color w:val="000000" w:themeColor="text1"/>
          <w:lang w:eastAsia="es-MX"/>
        </w:rPr>
        <w:t xml:space="preserve"> de la Novena y Décima Épocas, sustentadas por el Segundo Tribunal Colegiado en Materia Civil del Segundo Circuito, y por la Primera y Segunda Salas de la Suprema Corte de Justicia de la Nación</w:t>
      </w:r>
      <w:r w:rsidRPr="00FA45F8">
        <w:rPr>
          <w:rStyle w:val="Refdenotaalpie"/>
          <w:rFonts w:ascii="Palatino Linotype" w:eastAsiaTheme="majorEastAsia" w:hAnsi="Palatino Linotype"/>
          <w:color w:val="000000" w:themeColor="text1"/>
          <w:lang w:eastAsia="es-MX"/>
        </w:rPr>
        <w:footnoteReference w:id="1"/>
      </w:r>
      <w:r w:rsidRPr="00FA45F8">
        <w:rPr>
          <w:rFonts w:ascii="Palatino Linotype" w:hAnsi="Palatino Linotype" w:cs="Arial"/>
          <w:color w:val="000000" w:themeColor="text1"/>
          <w:lang w:eastAsia="es-MX"/>
        </w:rPr>
        <w:t>, se han pronunciado en cuanto al intereses jurídico en los términos siguientes:</w:t>
      </w:r>
    </w:p>
    <w:p w:rsidR="005416D2" w:rsidRPr="00FA45F8" w:rsidRDefault="005416D2" w:rsidP="00FA45F8">
      <w:pPr>
        <w:spacing w:line="360" w:lineRule="auto"/>
        <w:ind w:right="49"/>
        <w:jc w:val="center"/>
        <w:rPr>
          <w:rFonts w:ascii="Palatino Linotype" w:hAnsi="Palatino Linotype" w:cs="Bookman Old Style"/>
          <w:i/>
          <w:color w:val="000000" w:themeColor="text1"/>
        </w:rPr>
      </w:pPr>
      <w:r w:rsidRPr="00FA45F8">
        <w:rPr>
          <w:rFonts w:ascii="Palatino Linotype" w:hAnsi="Palatino Linotype" w:cs="Bookman Old Style"/>
          <w:i/>
          <w:color w:val="000000" w:themeColor="text1"/>
        </w:rPr>
        <w:t>“</w:t>
      </w:r>
      <w:r w:rsidRPr="00FA45F8">
        <w:rPr>
          <w:rFonts w:ascii="Palatino Linotype" w:hAnsi="Palatino Linotype" w:cs="Bookman Old Style"/>
          <w:b/>
          <w:i/>
          <w:color w:val="000000" w:themeColor="text1"/>
          <w:u w:val="single"/>
        </w:rPr>
        <w:t>INTERÉS JURÍDICO, CONCEPTO DE</w:t>
      </w:r>
      <w:r w:rsidRPr="00FA45F8">
        <w:rPr>
          <w:rFonts w:ascii="Palatino Linotype" w:hAnsi="Palatino Linotype" w:cs="Bookman Old Style"/>
          <w:i/>
          <w:color w:val="000000" w:themeColor="text1"/>
        </w:rPr>
        <w:t>.</w:t>
      </w:r>
    </w:p>
    <w:p w:rsidR="005416D2" w:rsidRPr="00FA45F8" w:rsidRDefault="005416D2" w:rsidP="00FA45F8">
      <w:pPr>
        <w:spacing w:line="360" w:lineRule="auto"/>
        <w:ind w:right="49"/>
        <w:rPr>
          <w:rFonts w:ascii="Palatino Linotype" w:hAnsi="Palatino Linotype" w:cs="Bookman Old Style"/>
          <w:i/>
          <w:color w:val="000000" w:themeColor="text1"/>
        </w:rPr>
      </w:pPr>
      <w:r w:rsidRPr="00FA45F8">
        <w:rPr>
          <w:rFonts w:ascii="Palatino Linotype" w:hAnsi="Palatino Linotype" w:cs="Bookman Old Style"/>
          <w:i/>
          <w:color w:val="000000" w:themeColor="text1"/>
        </w:rPr>
        <w:t xml:space="preserve">Tratándose del juicio de garantías, </w:t>
      </w:r>
      <w:r w:rsidRPr="00FA45F8">
        <w:rPr>
          <w:rFonts w:ascii="Palatino Linotype" w:hAnsi="Palatino Linotype" w:cs="Bookman Old Style"/>
          <w:b/>
          <w:i/>
          <w:color w:val="000000" w:themeColor="text1"/>
          <w:u w:val="single"/>
        </w:rPr>
        <w:t>el interés jurídico</w:t>
      </w:r>
      <w:r w:rsidRPr="00FA45F8">
        <w:rPr>
          <w:rFonts w:ascii="Palatino Linotype" w:hAnsi="Palatino Linotype" w:cs="Bookman Old Style"/>
          <w:i/>
          <w:color w:val="000000" w:themeColor="text1"/>
        </w:rPr>
        <w:t xml:space="preserve"> como noción fundamental </w:t>
      </w:r>
      <w:r w:rsidRPr="00FA45F8">
        <w:rPr>
          <w:rFonts w:ascii="Palatino Linotype" w:hAnsi="Palatino Linotype" w:cs="Bookman Old Style"/>
          <w:b/>
          <w:i/>
          <w:color w:val="000000" w:themeColor="text1"/>
          <w:u w:val="single"/>
        </w:rPr>
        <w:t>lo constituye la existencia o actualización de un derecho subjetivo jurídicamente tutelado que puede afectarse</w:t>
      </w:r>
      <w:r w:rsidRPr="00FA45F8">
        <w:rPr>
          <w:rFonts w:ascii="Palatino Linotype" w:hAnsi="Palatino Linotype" w:cs="Bookman Old Style"/>
          <w:i/>
          <w:color w:val="000000" w:themeColor="text1"/>
        </w:rPr>
        <w:t xml:space="preserve">, ya sea por la violación de ese derecho, o bien, por el desconocimiento del mismo </w:t>
      </w:r>
      <w:r w:rsidRPr="00FA45F8">
        <w:rPr>
          <w:rFonts w:ascii="Palatino Linotype" w:hAnsi="Palatino Linotype" w:cs="Bookman Old Style"/>
          <w:b/>
          <w:i/>
          <w:color w:val="000000" w:themeColor="text1"/>
          <w:u w:val="single"/>
        </w:rPr>
        <w:t xml:space="preserve">por virtud de un acto de autoridad, de ahí que sólo el titular de algún derecho legítimamente </w:t>
      </w:r>
      <w:r w:rsidRPr="00FA45F8">
        <w:rPr>
          <w:rFonts w:ascii="Palatino Linotype" w:hAnsi="Palatino Linotype" w:cs="Bookman Old Style"/>
          <w:b/>
          <w:i/>
          <w:color w:val="000000" w:themeColor="text1"/>
          <w:u w:val="single"/>
        </w:rPr>
        <w:lastRenderedPageBreak/>
        <w:t>protegible pueda acudir ante el órgano jurisdiccional</w:t>
      </w:r>
      <w:r w:rsidRPr="00FA45F8">
        <w:rPr>
          <w:rFonts w:ascii="Palatino Linotype" w:hAnsi="Palatino Linotype" w:cs="Bookman Old Style"/>
          <w:i/>
          <w:color w:val="000000" w:themeColor="text1"/>
        </w:rPr>
        <w:t xml:space="preserve"> de amparo en demanda de que cese esa situación </w:t>
      </w:r>
      <w:r w:rsidRPr="00FA45F8">
        <w:rPr>
          <w:rFonts w:ascii="Palatino Linotype" w:hAnsi="Palatino Linotype" w:cs="Bookman Old Style"/>
          <w:i/>
          <w:color w:val="000000" w:themeColor="text1"/>
          <w:u w:val="single"/>
        </w:rPr>
        <w:t>cuando se transgreda, por la actuación de cierta autoridad,</w:t>
      </w:r>
      <w:r w:rsidRPr="00FA45F8">
        <w:rPr>
          <w:rFonts w:ascii="Palatino Linotype" w:hAnsi="Palatino Linotype" w:cs="Bookman Old Style"/>
          <w:i/>
          <w:color w:val="000000" w:themeColor="text1"/>
        </w:rPr>
        <w:t xml:space="preserve"> determinada garantía.</w:t>
      </w:r>
    </w:p>
    <w:p w:rsidR="005416D2" w:rsidRPr="00FA45F8" w:rsidRDefault="005416D2" w:rsidP="00FA45F8">
      <w:pPr>
        <w:spacing w:line="360" w:lineRule="auto"/>
        <w:ind w:right="49"/>
        <w:rPr>
          <w:rFonts w:ascii="Palatino Linotype" w:hAnsi="Palatino Linotype" w:cs="Bookman Old Style"/>
          <w:i/>
          <w:color w:val="000000" w:themeColor="text1"/>
        </w:rPr>
      </w:pPr>
    </w:p>
    <w:p w:rsidR="005416D2" w:rsidRPr="00FA45F8" w:rsidRDefault="005416D2" w:rsidP="00FA45F8">
      <w:pPr>
        <w:spacing w:line="360" w:lineRule="auto"/>
        <w:ind w:right="49"/>
        <w:rPr>
          <w:rFonts w:ascii="Palatino Linotype" w:hAnsi="Palatino Linotype" w:cs="Bookman Old Style"/>
          <w:i/>
          <w:color w:val="000000" w:themeColor="text1"/>
        </w:rPr>
      </w:pPr>
      <w:r w:rsidRPr="00FA45F8">
        <w:rPr>
          <w:rFonts w:ascii="Palatino Linotype" w:hAnsi="Palatino Linotype" w:cs="Bookman Old Style"/>
          <w:b/>
          <w:i/>
          <w:color w:val="000000" w:themeColor="text1"/>
        </w:rPr>
        <w:t>INTERÉS JURÍDICO EN EL AMPARO. ELEMENTOS CONSTITUTIVOS</w:t>
      </w:r>
      <w:r w:rsidRPr="00FA45F8">
        <w:rPr>
          <w:rFonts w:ascii="Palatino Linotype" w:hAnsi="Palatino Linotype" w:cs="Bookman Old Style"/>
          <w:i/>
          <w:color w:val="000000" w:themeColor="text1"/>
        </w:rPr>
        <w:t xml:space="preserve">. </w:t>
      </w:r>
    </w:p>
    <w:p w:rsidR="005416D2" w:rsidRPr="00FA45F8" w:rsidRDefault="005416D2" w:rsidP="00FA45F8">
      <w:pPr>
        <w:spacing w:line="360" w:lineRule="auto"/>
        <w:ind w:right="49"/>
        <w:jc w:val="both"/>
        <w:rPr>
          <w:rFonts w:ascii="Palatino Linotype" w:hAnsi="Palatino Linotype" w:cs="Bookman Old Style"/>
          <w:b/>
          <w:i/>
          <w:color w:val="000000" w:themeColor="text1"/>
        </w:rPr>
      </w:pPr>
      <w:r w:rsidRPr="00FA45F8">
        <w:rPr>
          <w:rFonts w:ascii="Palatino Linotype" w:hAnsi="Palatino Linotype" w:cs="Bookman Old Style"/>
          <w:b/>
          <w:i/>
          <w:color w:val="000000" w:themeColor="text1"/>
          <w:u w:val="single"/>
        </w:rPr>
        <w:t>El artículo 4o. de la Ley de Amparo contempla, para la procedencia del juicio de garantías</w:t>
      </w:r>
      <w:r w:rsidRPr="00FA45F8">
        <w:rPr>
          <w:rFonts w:ascii="Palatino Linotype" w:hAnsi="Palatino Linotype" w:cs="Bookman Old Style"/>
          <w:i/>
          <w:color w:val="000000" w:themeColor="text1"/>
        </w:rPr>
        <w:t xml:space="preserve">, </w:t>
      </w:r>
      <w:r w:rsidRPr="00FA45F8">
        <w:rPr>
          <w:rFonts w:ascii="Palatino Linotype" w:hAnsi="Palatino Linotype" w:cs="Bookman Old Style"/>
          <w:b/>
          <w:i/>
          <w:color w:val="000000" w:themeColor="text1"/>
          <w:u w:val="single"/>
        </w:rPr>
        <w:t>que el acto reclamado cause un perjuicio a la persona física o moral que se estime afectada, lo que ocurre cuando ese acto lesiona sus intereses jurídicos</w:t>
      </w:r>
      <w:r w:rsidRPr="00FA45F8">
        <w:rPr>
          <w:rFonts w:ascii="Palatino Linotype" w:hAnsi="Palatino Linotype" w:cs="Bookman Old Style"/>
          <w:i/>
          <w:color w:val="000000" w:themeColor="text1"/>
        </w:rPr>
        <w:t xml:space="preserve">, en su persona o en su patrimonio, y que de manera concomitante es lo que provoca la génesis de la acción constitucional. Así, como </w:t>
      </w:r>
      <w:r w:rsidRPr="00FA45F8">
        <w:rPr>
          <w:rFonts w:ascii="Palatino Linotype" w:hAnsi="Palatino Linotype" w:cs="Bookman Old Style"/>
          <w:b/>
          <w:i/>
          <w:color w:val="000000" w:themeColor="text1"/>
          <w:u w:val="single"/>
        </w:rPr>
        <w:t>la tutela del derecho sólo comprende a bienes jurídicos reales y objetivos</w:t>
      </w:r>
      <w:r w:rsidRPr="00FA45F8">
        <w:rPr>
          <w:rFonts w:ascii="Palatino Linotype" w:hAnsi="Palatino Linotype" w:cs="Bookman Old Style"/>
          <w:i/>
          <w:color w:val="000000" w:themeColor="text1"/>
        </w:rPr>
        <w:t xml:space="preserve">, las afectaciones deben igualmente ser </w:t>
      </w:r>
      <w:r w:rsidRPr="00FA45F8">
        <w:rPr>
          <w:rFonts w:ascii="Palatino Linotype" w:hAnsi="Palatino Linotype" w:cs="Bookman Old Style"/>
          <w:b/>
          <w:i/>
          <w:color w:val="000000" w:themeColor="text1"/>
          <w:u w:val="single"/>
        </w:rPr>
        <w:t>susceptibles de apreciarse en forma objetiva</w:t>
      </w:r>
      <w:r w:rsidRPr="00FA45F8">
        <w:rPr>
          <w:rFonts w:ascii="Palatino Linotype" w:hAnsi="Palatino Linotype" w:cs="Bookman Old Style"/>
          <w:i/>
          <w:color w:val="000000" w:themeColor="text1"/>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FA45F8">
        <w:rPr>
          <w:rFonts w:ascii="Palatino Linotype" w:hAnsi="Palatino Linotype" w:cs="Bookman Old Style"/>
          <w:b/>
          <w:i/>
          <w:color w:val="000000" w:themeColor="text1"/>
          <w:u w:val="single"/>
        </w:rPr>
        <w:t>sin que pueda hablarse entonces de agravio cuando los daños o perjuicios que una persona puede sufrir, no afecten real y efectivamente sus bienes jurídicamente amparados</w:t>
      </w:r>
      <w:r w:rsidRPr="00FA45F8">
        <w:rPr>
          <w:rFonts w:ascii="Palatino Linotype" w:hAnsi="Palatino Linotype" w:cs="Bookman Old Style"/>
          <w:i/>
          <w:color w:val="000000" w:themeColor="text1"/>
        </w:rPr>
        <w:t xml:space="preserve">” </w:t>
      </w:r>
      <w:r w:rsidR="007D4E37" w:rsidRPr="00FA45F8">
        <w:rPr>
          <w:rFonts w:ascii="Palatino Linotype" w:hAnsi="Palatino Linotype" w:cs="Bookman Old Style"/>
          <w:color w:val="000000" w:themeColor="text1"/>
        </w:rPr>
        <w:t>Énfasis añadido</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cs="Arial"/>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olor w:val="000000" w:themeColor="text1"/>
        </w:rPr>
      </w:pPr>
      <w:r w:rsidRPr="00FA45F8">
        <w:rPr>
          <w:rFonts w:ascii="Palatino Linotype" w:hAnsi="Palatino Linotype" w:cs="Arial"/>
          <w:color w:val="000000" w:themeColor="text1"/>
        </w:rPr>
        <w:t xml:space="preserve">Precisado lo anterior, se advierte que </w:t>
      </w:r>
      <w:r w:rsidR="00294284" w:rsidRPr="00FA45F8">
        <w:rPr>
          <w:rFonts w:ascii="Palatino Linotype" w:hAnsi="Palatino Linotype" w:cs="Arial"/>
          <w:color w:val="000000" w:themeColor="text1"/>
        </w:rPr>
        <w:t>la ahora</w:t>
      </w:r>
      <w:r w:rsidRPr="00FA45F8">
        <w:rPr>
          <w:rFonts w:ascii="Palatino Linotype" w:hAnsi="Palatino Linotype" w:cs="Arial"/>
          <w:b/>
          <w:color w:val="000000" w:themeColor="text1"/>
        </w:rPr>
        <w:t xml:space="preserve"> R</w:t>
      </w:r>
      <w:r w:rsidR="00294284" w:rsidRPr="00FA45F8">
        <w:rPr>
          <w:rFonts w:ascii="Palatino Linotype" w:hAnsi="Palatino Linotype" w:cs="Arial"/>
          <w:b/>
          <w:color w:val="000000" w:themeColor="text1"/>
        </w:rPr>
        <w:t>ECURRENTE</w:t>
      </w:r>
      <w:r w:rsidRPr="00FA45F8">
        <w:rPr>
          <w:rFonts w:ascii="Palatino Linotype" w:hAnsi="Palatino Linotype" w:cs="Arial"/>
          <w:color w:val="000000" w:themeColor="text1"/>
        </w:rPr>
        <w:t xml:space="preserve"> al realizar</w:t>
      </w:r>
      <w:r w:rsidRPr="00FA45F8">
        <w:rPr>
          <w:rFonts w:ascii="Palatino Linotype" w:hAnsi="Palatino Linotype" w:cs="Arial"/>
          <w:color w:val="000000" w:themeColor="text1"/>
          <w:lang w:val="es-419"/>
        </w:rPr>
        <w:t xml:space="preserve"> su solicitud de acceso a datos </w:t>
      </w:r>
      <w:r w:rsidRPr="00FA45F8">
        <w:rPr>
          <w:rFonts w:ascii="Palatino Linotype" w:hAnsi="Palatino Linotype" w:cs="Arial"/>
          <w:color w:val="000000" w:themeColor="text1"/>
        </w:rPr>
        <w:t>personales</w:t>
      </w:r>
      <w:r w:rsidRPr="00FA45F8">
        <w:rPr>
          <w:rFonts w:ascii="Palatino Linotype" w:hAnsi="Palatino Linotype" w:cs="Arial"/>
          <w:color w:val="000000" w:themeColor="text1"/>
          <w:lang w:val="es-419"/>
        </w:rPr>
        <w:t xml:space="preserve"> que nos ocupa, </w:t>
      </w:r>
      <w:r w:rsidRPr="00FA45F8">
        <w:rPr>
          <w:rFonts w:ascii="Palatino Linotype" w:hAnsi="Palatino Linotype" w:cs="Arial"/>
          <w:color w:val="000000" w:themeColor="text1"/>
        </w:rPr>
        <w:t xml:space="preserve">exhibió ante el </w:t>
      </w:r>
      <w:r w:rsidR="00294284" w:rsidRPr="00FA45F8">
        <w:rPr>
          <w:rFonts w:ascii="Palatino Linotype" w:hAnsi="Palatino Linotype" w:cs="Arial"/>
          <w:b/>
          <w:color w:val="000000" w:themeColor="text1"/>
        </w:rPr>
        <w:t>SUJETO OBLIGADO</w:t>
      </w:r>
      <w:r w:rsidR="00294284" w:rsidRPr="00FA45F8">
        <w:rPr>
          <w:rFonts w:ascii="Palatino Linotype" w:hAnsi="Palatino Linotype" w:cs="Arial"/>
          <w:color w:val="000000" w:themeColor="text1"/>
        </w:rPr>
        <w:t xml:space="preserve"> </w:t>
      </w:r>
      <w:r w:rsidRPr="00FA45F8">
        <w:rPr>
          <w:rFonts w:ascii="Palatino Linotype" w:hAnsi="Palatino Linotype" w:cs="Arial"/>
          <w:color w:val="000000" w:themeColor="text1"/>
        </w:rPr>
        <w:t>lo descrito en el Párrafo</w:t>
      </w:r>
      <w:r w:rsidR="00294284" w:rsidRPr="00FA45F8">
        <w:rPr>
          <w:rFonts w:ascii="Palatino Linotype" w:hAnsi="Palatino Linotype" w:cs="Arial"/>
          <w:color w:val="000000" w:themeColor="text1"/>
        </w:rPr>
        <w:t xml:space="preserve"> 1</w:t>
      </w:r>
      <w:r w:rsidRPr="00FA45F8">
        <w:rPr>
          <w:rFonts w:ascii="Palatino Linotype" w:hAnsi="Palatino Linotype" w:cs="Arial"/>
          <w:color w:val="000000" w:themeColor="text1"/>
        </w:rPr>
        <w:t>.</w:t>
      </w:r>
      <w:r w:rsidR="00294284" w:rsidRPr="00FA45F8">
        <w:rPr>
          <w:rFonts w:ascii="Palatino Linotype" w:hAnsi="Palatino Linotype" w:cs="Arial"/>
          <w:color w:val="000000" w:themeColor="text1"/>
        </w:rPr>
        <w:t xml:space="preserve"> </w:t>
      </w:r>
      <w:r w:rsidRPr="00FA45F8">
        <w:rPr>
          <w:rFonts w:ascii="Palatino Linotype" w:hAnsi="Palatino Linotype" w:cs="Arial"/>
          <w:color w:val="000000" w:themeColor="text1"/>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FA45F8">
        <w:rPr>
          <w:rFonts w:ascii="Palatino Linotype" w:hAnsi="Palatino Linotype"/>
          <w:color w:val="000000" w:themeColor="text1"/>
        </w:rPr>
        <w:t xml:space="preserve">criterios relevantes que ha emitido nuestro máximo Tribunal Constitucional en cuanto al interés legítimo, a través de </w:t>
      </w:r>
      <w:r w:rsidRPr="00FA45F8">
        <w:rPr>
          <w:rFonts w:ascii="Palatino Linotype" w:hAnsi="Palatino Linotype" w:cs="Arial"/>
          <w:color w:val="000000" w:themeColor="text1"/>
          <w:lang w:eastAsia="es-MX"/>
        </w:rPr>
        <w:t xml:space="preserve">las Jurisprudencias y Tesis Aisladas con números de registro </w:t>
      </w:r>
      <w:r w:rsidRPr="00FA45F8">
        <w:rPr>
          <w:rFonts w:ascii="Palatino Linotype" w:hAnsi="Palatino Linotype"/>
          <w:b/>
          <w:color w:val="000000" w:themeColor="text1"/>
        </w:rPr>
        <w:t>185376, 185377, 2005078</w:t>
      </w:r>
      <w:r w:rsidRPr="00FA45F8">
        <w:rPr>
          <w:rFonts w:ascii="Palatino Linotype" w:hAnsi="Palatino Linotype"/>
          <w:color w:val="000000" w:themeColor="text1"/>
        </w:rPr>
        <w:t xml:space="preserve"> y </w:t>
      </w:r>
      <w:r w:rsidRPr="00FA45F8">
        <w:rPr>
          <w:rFonts w:ascii="Palatino Linotype" w:hAnsi="Palatino Linotype"/>
          <w:b/>
          <w:color w:val="000000" w:themeColor="text1"/>
        </w:rPr>
        <w:t>2003608</w:t>
      </w:r>
      <w:r w:rsidRPr="00FA45F8">
        <w:rPr>
          <w:rFonts w:ascii="Palatino Linotype" w:hAnsi="Palatino Linotype"/>
          <w:color w:val="000000" w:themeColor="text1"/>
        </w:rPr>
        <w:t xml:space="preserve"> cuyos textos y sentidos literales </w:t>
      </w:r>
      <w:r w:rsidRPr="00FA45F8">
        <w:rPr>
          <w:rFonts w:ascii="Palatino Linotype" w:hAnsi="Palatino Linotype"/>
          <w:color w:val="000000" w:themeColor="text1"/>
        </w:rPr>
        <w:lastRenderedPageBreak/>
        <w:t>respectivos, son los siguientes:</w:t>
      </w:r>
    </w:p>
    <w:p w:rsidR="005416D2" w:rsidRPr="00FA45F8" w:rsidRDefault="005416D2" w:rsidP="00FA45F8">
      <w:pPr>
        <w:spacing w:line="360" w:lineRule="auto"/>
        <w:ind w:right="49"/>
        <w:rPr>
          <w:rFonts w:ascii="Palatino Linotype" w:hAnsi="Palatino Linotype"/>
          <w:i/>
          <w:color w:val="000000" w:themeColor="text1"/>
        </w:rPr>
      </w:pPr>
      <w:r w:rsidRPr="00FA45F8">
        <w:rPr>
          <w:rFonts w:ascii="Palatino Linotype" w:hAnsi="Palatino Linotype"/>
          <w:i/>
          <w:color w:val="000000" w:themeColor="text1"/>
        </w:rPr>
        <w:t>“</w:t>
      </w:r>
      <w:r w:rsidRPr="00FA45F8">
        <w:rPr>
          <w:rFonts w:ascii="Palatino Linotype" w:hAnsi="Palatino Linotype"/>
          <w:b/>
          <w:i/>
          <w:color w:val="000000" w:themeColor="text1"/>
        </w:rPr>
        <w:t>INTERÉS LEGÍTIMO, NOCIÓN DE, PARA LA PROCEDENCIA DEL JUICIO ANTE EL TRIBUNAL DE LO CONTENCIOSO ADMINISTRATIVO DEL DISTRITO FEDERAL</w:t>
      </w:r>
      <w:r w:rsidRPr="00FA45F8">
        <w:rPr>
          <w:rFonts w:ascii="Palatino Linotype" w:hAnsi="Palatino Linotype"/>
          <w:i/>
          <w:color w:val="000000" w:themeColor="text1"/>
        </w:rPr>
        <w:t>.</w:t>
      </w:r>
    </w:p>
    <w:p w:rsidR="005416D2" w:rsidRPr="00FA45F8" w:rsidRDefault="005416D2" w:rsidP="00FA45F8">
      <w:pPr>
        <w:spacing w:line="360" w:lineRule="auto"/>
        <w:ind w:right="49"/>
        <w:jc w:val="both"/>
        <w:rPr>
          <w:rFonts w:ascii="Palatino Linotype" w:hAnsi="Palatino Linotype"/>
          <w:b/>
          <w:i/>
          <w:color w:val="000000" w:themeColor="text1"/>
        </w:rPr>
      </w:pPr>
      <w:r w:rsidRPr="00FA45F8">
        <w:rPr>
          <w:rFonts w:ascii="Palatino Linotype" w:hAnsi="Palatino Linotype"/>
          <w:i/>
          <w:color w:val="000000" w:themeColor="text1"/>
        </w:rPr>
        <w:t xml:space="preserve"> De acuerdo con los artículos 34 y 72, fracción V, de la Ley del Tribunal de lo Contencioso Administrativo del Distrito Federal, </w:t>
      </w:r>
      <w:r w:rsidRPr="00FA45F8">
        <w:rPr>
          <w:rFonts w:ascii="Palatino Linotype" w:hAnsi="Palatino Linotype"/>
          <w:i/>
          <w:color w:val="000000" w:themeColor="text1"/>
          <w:u w:val="single"/>
        </w:rPr>
        <w:t>para la procedencia del juicio administrativo basta con que el acto de autoridad impugnado afecte la esfera jurídica del actor, para que le asista un interés legítimo para demandar la nulidad de ese acto</w:t>
      </w:r>
      <w:r w:rsidRPr="00FA45F8">
        <w:rPr>
          <w:rFonts w:ascii="Palatino Linotype" w:hAnsi="Palatino Linotype"/>
          <w:i/>
          <w:color w:val="000000" w:themeColor="text1"/>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FA45F8">
        <w:rPr>
          <w:rFonts w:ascii="Palatino Linotype" w:hAnsi="Palatino Linotype"/>
          <w:b/>
          <w:i/>
          <w:color w:val="000000" w:themeColor="text1"/>
          <w:u w:val="single"/>
        </w:rPr>
        <w:t>En efecto, tales preceptos aluden a la procedencia o improcedencia del juicio administrativo, a los presupuestos de admisibilidad de la acción ante el Tribunal de lo Contencioso Administrativo</w:t>
      </w:r>
      <w:r w:rsidRPr="00FA45F8">
        <w:rPr>
          <w:rFonts w:ascii="Palatino Linotype" w:hAnsi="Palatino Linotype"/>
          <w:b/>
          <w:i/>
          <w:color w:val="000000" w:themeColor="text1"/>
        </w:rPr>
        <w:t xml:space="preserve">; </w:t>
      </w:r>
      <w:r w:rsidRPr="00FA45F8">
        <w:rPr>
          <w:rFonts w:ascii="Palatino Linotype" w:hAnsi="Palatino Linotype"/>
          <w:b/>
          <w:i/>
          <w:color w:val="000000" w:themeColor="text1"/>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FA45F8">
        <w:rPr>
          <w:rFonts w:ascii="Palatino Linotype" w:hAnsi="Palatino Linotype"/>
          <w:i/>
          <w:color w:val="000000" w:themeColor="text1"/>
        </w:rPr>
        <w:t xml:space="preserve"> </w:t>
      </w:r>
      <w:r w:rsidRPr="00FA45F8">
        <w:rPr>
          <w:rFonts w:ascii="Palatino Linotype" w:hAnsi="Palatino Linotype"/>
          <w:i/>
          <w:color w:val="000000" w:themeColor="text1"/>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FA45F8">
        <w:rPr>
          <w:rFonts w:ascii="Palatino Linotype" w:hAnsi="Palatino Linotype"/>
          <w:i/>
          <w:color w:val="000000" w:themeColor="text1"/>
        </w:rPr>
        <w:t xml:space="preserve">, de donde se sigue que los preceptos de la ley analizada, </w:t>
      </w:r>
      <w:r w:rsidRPr="00FA45F8">
        <w:rPr>
          <w:rFonts w:ascii="Palatino Linotype" w:hAnsi="Palatino Linotype"/>
          <w:b/>
          <w:i/>
          <w:color w:val="000000" w:themeColor="text1"/>
        </w:rPr>
        <w:t>al requerir un interés legítimo como presupuesto de admisibilidad de la acción correspondiente, también comprende por mayoría de razón al referido interés jurídico, al resultar aquél de mayores alcances que éste.</w:t>
      </w:r>
    </w:p>
    <w:p w:rsidR="005416D2" w:rsidRPr="00FA45F8" w:rsidRDefault="005416D2" w:rsidP="00FA45F8">
      <w:pPr>
        <w:spacing w:line="360" w:lineRule="auto"/>
        <w:ind w:right="49"/>
        <w:rPr>
          <w:rFonts w:ascii="Palatino Linotype" w:hAnsi="Palatino Linotype"/>
          <w:i/>
          <w:color w:val="000000" w:themeColor="text1"/>
        </w:rPr>
      </w:pPr>
    </w:p>
    <w:p w:rsidR="005416D2" w:rsidRPr="00FA45F8" w:rsidRDefault="005416D2" w:rsidP="00FA45F8">
      <w:pPr>
        <w:spacing w:line="360" w:lineRule="auto"/>
        <w:ind w:right="49"/>
        <w:rPr>
          <w:rFonts w:ascii="Palatino Linotype" w:hAnsi="Palatino Linotype"/>
          <w:i/>
          <w:color w:val="000000" w:themeColor="text1"/>
        </w:rPr>
      </w:pPr>
      <w:r w:rsidRPr="00FA45F8">
        <w:rPr>
          <w:rFonts w:ascii="Palatino Linotype" w:hAnsi="Palatino Linotype"/>
          <w:b/>
          <w:i/>
          <w:color w:val="000000" w:themeColor="text1"/>
        </w:rPr>
        <w:t>INTERÉS LEGÍTIMO E INTERÉS JURÍDICO. AMBOS TÉRMINOS TIENEN DIFERENTE CONNOTACIÓN EN EL JUICIO CONTENCIOSO ADMINISTRATIVO</w:t>
      </w:r>
      <w:r w:rsidRPr="00FA45F8">
        <w:rPr>
          <w:rFonts w:ascii="Palatino Linotype" w:hAnsi="Palatino Linotype"/>
          <w:i/>
          <w:color w:val="000000" w:themeColor="text1"/>
        </w:rPr>
        <w:t xml:space="preserve">. </w:t>
      </w:r>
    </w:p>
    <w:p w:rsidR="005416D2" w:rsidRPr="00FA45F8" w:rsidRDefault="005416D2" w:rsidP="00FA45F8">
      <w:pPr>
        <w:spacing w:line="360" w:lineRule="auto"/>
        <w:ind w:right="49"/>
        <w:jc w:val="both"/>
        <w:rPr>
          <w:rFonts w:ascii="Palatino Linotype" w:hAnsi="Palatino Linotype"/>
          <w:b/>
          <w:i/>
          <w:color w:val="000000" w:themeColor="text1"/>
          <w:u w:val="single"/>
        </w:rPr>
      </w:pPr>
      <w:r w:rsidRPr="00FA45F8">
        <w:rPr>
          <w:rFonts w:ascii="Palatino Linotype" w:hAnsi="Palatino Linotype"/>
          <w:i/>
          <w:color w:val="000000" w:themeColor="text1"/>
        </w:rPr>
        <w:lastRenderedPageBreak/>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FA45F8">
        <w:rPr>
          <w:rFonts w:ascii="Palatino Linotype" w:hAnsi="Palatino Linotype"/>
          <w:b/>
          <w:i/>
          <w:color w:val="000000" w:themeColor="text1"/>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FA45F8">
        <w:rPr>
          <w:rFonts w:ascii="Palatino Linotype" w:hAnsi="Palatino Linotype"/>
          <w:i/>
          <w:color w:val="000000" w:themeColor="text1"/>
        </w:rPr>
        <w:t xml:space="preserve">. Así, el interés jurídico tiene una connotación diversa a la del legítimo, pues mientras el primero requiere que se acredite la afectación a un derecho subjetivo, </w:t>
      </w:r>
      <w:r w:rsidRPr="00FA45F8">
        <w:rPr>
          <w:rFonts w:ascii="Palatino Linotype" w:hAnsi="Palatino Linotype"/>
          <w:b/>
          <w:i/>
          <w:color w:val="000000" w:themeColor="text1"/>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5416D2" w:rsidRPr="00FA45F8" w:rsidRDefault="005416D2" w:rsidP="00FA45F8">
      <w:pPr>
        <w:spacing w:line="360" w:lineRule="auto"/>
        <w:ind w:right="49"/>
        <w:rPr>
          <w:rFonts w:ascii="Palatino Linotype" w:hAnsi="Palatino Linotype"/>
          <w:b/>
          <w:i/>
          <w:color w:val="000000" w:themeColor="text1"/>
        </w:rPr>
      </w:pPr>
    </w:p>
    <w:p w:rsidR="005416D2" w:rsidRPr="00FA45F8" w:rsidRDefault="005416D2" w:rsidP="00FA45F8">
      <w:pPr>
        <w:spacing w:line="360" w:lineRule="auto"/>
        <w:ind w:right="49"/>
        <w:jc w:val="both"/>
        <w:rPr>
          <w:rFonts w:ascii="Palatino Linotype" w:hAnsi="Palatino Linotype"/>
          <w:i/>
          <w:color w:val="000000" w:themeColor="text1"/>
        </w:rPr>
      </w:pPr>
      <w:r w:rsidRPr="00FA45F8">
        <w:rPr>
          <w:rFonts w:ascii="Palatino Linotype" w:hAnsi="Palatino Linotype"/>
          <w:b/>
          <w:i/>
          <w:color w:val="000000" w:themeColor="text1"/>
        </w:rPr>
        <w:t xml:space="preserve">INTERÉS LEGÍTIMO EN EL AMPARO. SU ORIGEN Y CARACTERÍSTICAS. </w:t>
      </w:r>
      <w:r w:rsidRPr="00FA45F8">
        <w:rPr>
          <w:rFonts w:ascii="Palatino Linotype" w:hAnsi="Palatino Linotype"/>
          <w:b/>
          <w:i/>
          <w:color w:val="000000" w:themeColor="text1"/>
          <w:u w:val="single"/>
        </w:rPr>
        <w:t>El interés legítimo tiene su origen en las llamadas normas de acción</w:t>
      </w:r>
      <w:r w:rsidRPr="00FA45F8">
        <w:rPr>
          <w:rFonts w:ascii="Palatino Linotype" w:hAnsi="Palatino Linotype"/>
          <w:i/>
          <w:color w:val="000000" w:themeColor="text1"/>
        </w:rPr>
        <w:t xml:space="preserve">, las cuales regulan lo relativo a la organización, contenido y procedimientos que han de regir la actividad administrativa, y </w:t>
      </w:r>
      <w:r w:rsidRPr="00FA45F8">
        <w:rPr>
          <w:rFonts w:ascii="Palatino Linotype" w:hAnsi="Palatino Linotype"/>
          <w:i/>
          <w:color w:val="000000" w:themeColor="text1"/>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FA45F8">
        <w:rPr>
          <w:rFonts w:ascii="Palatino Linotype" w:hAnsi="Palatino Linotype"/>
          <w:i/>
          <w:color w:val="000000" w:themeColor="text1"/>
        </w:rPr>
        <w:t xml:space="preserve"> En ese contexto, por </w:t>
      </w:r>
      <w:r w:rsidRPr="00FA45F8">
        <w:rPr>
          <w:rFonts w:ascii="Palatino Linotype" w:hAnsi="Palatino Linotype"/>
          <w:b/>
          <w:i/>
          <w:color w:val="000000" w:themeColor="text1"/>
          <w:u w:val="single"/>
        </w:rPr>
        <w:t>el actuar de la administración, un determinado sujeto de derecho puede llegar a tener una ventaja en relación con los demás, o bien, sufrir un daño</w:t>
      </w:r>
      <w:r w:rsidRPr="00FA45F8">
        <w:rPr>
          <w:rFonts w:ascii="Palatino Linotype" w:hAnsi="Palatino Linotype"/>
          <w:i/>
          <w:color w:val="000000" w:themeColor="text1"/>
        </w:rPr>
        <w:t xml:space="preserve">; en este caso, los particulares únicamente se aprovechan de la necesidad de que </w:t>
      </w:r>
      <w:r w:rsidRPr="00FA45F8">
        <w:rPr>
          <w:rFonts w:ascii="Palatino Linotype" w:hAnsi="Palatino Linotype"/>
          <w:i/>
          <w:color w:val="000000" w:themeColor="text1"/>
        </w:rPr>
        <w:lastRenderedPageBreak/>
        <w:t xml:space="preserve">se observen las normas dictadas en interés colectivo, por lo que a través y como consecuencia de esa observancia resultan ocasionalmente protegidos sus intereses. </w:t>
      </w:r>
      <w:r w:rsidRPr="00FA45F8">
        <w:rPr>
          <w:rFonts w:ascii="Palatino Linotype" w:hAnsi="Palatino Linotype"/>
          <w:b/>
          <w:i/>
          <w:color w:val="000000" w:themeColor="text1"/>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FA45F8">
        <w:rPr>
          <w:rFonts w:ascii="Palatino Linotype" w:hAnsi="Palatino Linotype"/>
          <w:i/>
          <w:color w:val="000000" w:themeColor="text1"/>
        </w:rPr>
        <w:t xml:space="preserve"> Por tanto, el quejoso debe acreditar que se encuentra en esa especial situación que afecta su esfera jurídica con el acatamiento de las llamadas normas de acción, a fin de demostrar su legitimación para instar la acción de amparo.</w:t>
      </w:r>
    </w:p>
    <w:p w:rsidR="005416D2" w:rsidRPr="00FA45F8" w:rsidRDefault="005416D2" w:rsidP="00FA45F8">
      <w:pPr>
        <w:spacing w:line="360" w:lineRule="auto"/>
        <w:ind w:right="49"/>
        <w:rPr>
          <w:rFonts w:ascii="Palatino Linotype" w:hAnsi="Palatino Linotype"/>
          <w:i/>
          <w:color w:val="000000" w:themeColor="text1"/>
        </w:rPr>
      </w:pPr>
    </w:p>
    <w:p w:rsidR="005416D2" w:rsidRPr="00FA45F8" w:rsidRDefault="005416D2" w:rsidP="00FA45F8">
      <w:pPr>
        <w:spacing w:line="360" w:lineRule="auto"/>
        <w:ind w:right="49"/>
        <w:rPr>
          <w:rFonts w:ascii="Palatino Linotype" w:hAnsi="Palatino Linotype"/>
          <w:i/>
          <w:color w:val="000000" w:themeColor="text1"/>
        </w:rPr>
      </w:pPr>
      <w:r w:rsidRPr="00FA45F8">
        <w:rPr>
          <w:rFonts w:ascii="Palatino Linotype" w:hAnsi="Palatino Linotype"/>
          <w:b/>
          <w:i/>
          <w:color w:val="000000" w:themeColor="text1"/>
        </w:rPr>
        <w:t xml:space="preserve">INTERÉS JURÍDICO E </w:t>
      </w:r>
      <w:r w:rsidRPr="00FA45F8">
        <w:rPr>
          <w:rFonts w:ascii="Palatino Linotype" w:hAnsi="Palatino Linotype"/>
          <w:b/>
          <w:i/>
          <w:color w:val="000000" w:themeColor="text1"/>
          <w:u w:val="single"/>
        </w:rPr>
        <w:t>INTERÉS LEGÍTIMO</w:t>
      </w:r>
      <w:r w:rsidRPr="00FA45F8">
        <w:rPr>
          <w:rFonts w:ascii="Palatino Linotype" w:hAnsi="Palatino Linotype"/>
          <w:b/>
          <w:i/>
          <w:color w:val="000000" w:themeColor="text1"/>
        </w:rPr>
        <w:t xml:space="preserve"> PARA EFECTOS DE LA PROCEDENCIA DEL JUICIO DE AMPARO CONFORME AL ARTÍCULO 107, FRACCIÓN I, DE LA CONSTITUCIÓN FEDERAL, VIGENTE A PARTIR DEL 4 DE OCTUBRE DE 2011. SUS DIFERENCIAS.</w:t>
      </w:r>
      <w:r w:rsidRPr="00FA45F8">
        <w:rPr>
          <w:rFonts w:ascii="Palatino Linotype" w:hAnsi="Palatino Linotype"/>
          <w:i/>
          <w:color w:val="000000" w:themeColor="text1"/>
        </w:rPr>
        <w:t xml:space="preserve"> </w:t>
      </w:r>
    </w:p>
    <w:p w:rsidR="005416D2" w:rsidRPr="00FA45F8" w:rsidRDefault="005416D2" w:rsidP="00FA45F8">
      <w:pPr>
        <w:spacing w:line="360" w:lineRule="auto"/>
        <w:ind w:right="49"/>
        <w:jc w:val="both"/>
        <w:rPr>
          <w:rFonts w:ascii="Palatino Linotype" w:hAnsi="Palatino Linotype"/>
          <w:b/>
          <w:i/>
          <w:color w:val="000000" w:themeColor="text1"/>
        </w:rPr>
      </w:pPr>
      <w:r w:rsidRPr="00FA45F8">
        <w:rPr>
          <w:rFonts w:ascii="Palatino Linotype" w:hAnsi="Palatino Linotype"/>
          <w:i/>
          <w:color w:val="000000" w:themeColor="text1"/>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FA45F8">
        <w:rPr>
          <w:rFonts w:ascii="Palatino Linotype" w:hAnsi="Palatino Linotype"/>
          <w:b/>
          <w:i/>
          <w:color w:val="000000" w:themeColor="text1"/>
          <w:u w:val="single"/>
        </w:rPr>
        <w:t>o, en su caso, por aquella que tenga un interés cualificado respecto de la constitucionalidad de los actos reclamados (interés legítimo),</w:t>
      </w:r>
      <w:r w:rsidRPr="00FA45F8">
        <w:rPr>
          <w:rFonts w:ascii="Palatino Linotype" w:hAnsi="Palatino Linotype"/>
          <w:i/>
          <w:color w:val="000000" w:themeColor="text1"/>
        </w:rPr>
        <w:t xml:space="preserve"> el </w:t>
      </w:r>
      <w:r w:rsidRPr="00FA45F8">
        <w:rPr>
          <w:rFonts w:ascii="Palatino Linotype" w:hAnsi="Palatino Linotype"/>
          <w:b/>
          <w:i/>
          <w:color w:val="000000" w:themeColor="text1"/>
          <w:u w:val="single"/>
        </w:rPr>
        <w:t>cual proviene de la afectación a su esfera jurídica</w:t>
      </w:r>
      <w:r w:rsidRPr="00FA45F8">
        <w:rPr>
          <w:rFonts w:ascii="Palatino Linotype" w:hAnsi="Palatino Linotype"/>
          <w:i/>
          <w:color w:val="000000" w:themeColor="text1"/>
        </w:rPr>
        <w:t xml:space="preserve">, ya sea directa o derivada de su situación particular respecto del orden jurídico, para que la sentencia que se dicte sólo la proteja a ella, en cumplimiento del principio conocido como de relatividad o particularidad de las sentencias. …” </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cs="Arial"/>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s="Arial"/>
          <w:color w:val="000000" w:themeColor="text1"/>
        </w:rPr>
      </w:pPr>
      <w:r w:rsidRPr="00FA45F8">
        <w:rPr>
          <w:rFonts w:ascii="Palatino Linotype" w:hAnsi="Palatino Linotype" w:cs="Arial"/>
          <w:color w:val="000000" w:themeColor="text1"/>
        </w:rPr>
        <w:t xml:space="preserve">Acotado lo anterior, se advierte que </w:t>
      </w:r>
      <w:r w:rsidR="00294284" w:rsidRPr="00FA45F8">
        <w:rPr>
          <w:rFonts w:ascii="Palatino Linotype" w:hAnsi="Palatino Linotype" w:cs="Arial"/>
          <w:color w:val="000000" w:themeColor="text1"/>
        </w:rPr>
        <w:t>la</w:t>
      </w:r>
      <w:r w:rsidRPr="00FA45F8">
        <w:rPr>
          <w:rFonts w:ascii="Palatino Linotype" w:hAnsi="Palatino Linotype" w:cs="Arial"/>
          <w:b/>
          <w:color w:val="000000" w:themeColor="text1"/>
        </w:rPr>
        <w:t xml:space="preserve"> R</w:t>
      </w:r>
      <w:r w:rsidR="00294284" w:rsidRPr="00FA45F8">
        <w:rPr>
          <w:rFonts w:ascii="Palatino Linotype" w:hAnsi="Palatino Linotype" w:cs="Arial"/>
          <w:b/>
          <w:color w:val="000000" w:themeColor="text1"/>
        </w:rPr>
        <w:t>ECURRENTE</w:t>
      </w:r>
      <w:r w:rsidRPr="00FA45F8">
        <w:rPr>
          <w:rFonts w:ascii="Palatino Linotype" w:hAnsi="Palatino Linotype" w:cs="Arial"/>
          <w:color w:val="000000" w:themeColor="text1"/>
        </w:rPr>
        <w:t xml:space="preserve"> acredita su interés legítimo al acceso a datos personales al dar cumplimiento a las formalidades previstas por la Ley de Protección de Datos Personales en Posesión de Sujetos Obligados del Estado de México y </w:t>
      </w:r>
      <w:r w:rsidRPr="00FA45F8">
        <w:rPr>
          <w:rFonts w:ascii="Palatino Linotype" w:hAnsi="Palatino Linotype" w:cs="Arial"/>
          <w:color w:val="000000" w:themeColor="text1"/>
        </w:rPr>
        <w:lastRenderedPageBreak/>
        <w:t>Municipios.</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cs="Arial"/>
          <w:i/>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s="Arial"/>
          <w:color w:val="000000" w:themeColor="text1"/>
        </w:rPr>
      </w:pPr>
      <w:r w:rsidRPr="00FA45F8">
        <w:rPr>
          <w:rFonts w:ascii="Palatino Linotype" w:hAnsi="Palatino Linotype" w:cs="Arial"/>
          <w:color w:val="000000" w:themeColor="text1"/>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b/>
          <w:i/>
          <w:color w:val="000000" w:themeColor="text1"/>
        </w:rPr>
      </w:pPr>
      <w:r w:rsidRPr="00FA45F8">
        <w:rPr>
          <w:rFonts w:ascii="Palatino Linotype" w:hAnsi="Palatino Linotype"/>
          <w:b/>
          <w:i/>
          <w:color w:val="000000" w:themeColor="text1"/>
        </w:rPr>
        <w:t xml:space="preserve">“Atribuciones del Instituto </w:t>
      </w:r>
    </w:p>
    <w:p w:rsidR="005416D2" w:rsidRPr="00FA45F8" w:rsidRDefault="005416D2" w:rsidP="00FA45F8">
      <w:pPr>
        <w:pStyle w:val="Prrafodelista"/>
        <w:widowControl w:val="0"/>
        <w:autoSpaceDE w:val="0"/>
        <w:autoSpaceDN w:val="0"/>
        <w:adjustRightInd w:val="0"/>
        <w:spacing w:line="360" w:lineRule="auto"/>
        <w:ind w:left="0" w:right="49"/>
        <w:jc w:val="both"/>
        <w:rPr>
          <w:rFonts w:ascii="Palatino Linotype" w:hAnsi="Palatino Linotype"/>
          <w:i/>
          <w:color w:val="000000" w:themeColor="text1"/>
        </w:rPr>
      </w:pPr>
      <w:r w:rsidRPr="00FA45F8">
        <w:rPr>
          <w:rFonts w:ascii="Palatino Linotype" w:hAnsi="Palatino Linotype"/>
          <w:b/>
          <w:i/>
          <w:color w:val="000000" w:themeColor="text1"/>
        </w:rPr>
        <w:t>Artículo 82.</w:t>
      </w:r>
      <w:r w:rsidRPr="00FA45F8">
        <w:rPr>
          <w:rFonts w:ascii="Palatino Linotype" w:hAnsi="Palatino Linotype"/>
          <w:i/>
          <w:color w:val="000000" w:themeColor="text1"/>
        </w:rPr>
        <w:t xml:space="preserve"> El Instituto, además de las atribuciones encomendadas por la Ley de Transparencia y normatividad aplicable, tendrá las atribuciones siguientes:</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b/>
          <w:i/>
          <w:color w:val="000000" w:themeColor="text1"/>
        </w:rPr>
      </w:pPr>
      <w:r w:rsidRPr="00FA45F8">
        <w:rPr>
          <w:rFonts w:ascii="Palatino Linotype" w:hAnsi="Palatino Linotype"/>
          <w:b/>
          <w:i/>
          <w:color w:val="000000" w:themeColor="text1"/>
        </w:rPr>
        <w:t>(…)</w:t>
      </w:r>
    </w:p>
    <w:p w:rsidR="005416D2" w:rsidRPr="00FA45F8" w:rsidRDefault="005416D2" w:rsidP="00FA45F8">
      <w:pPr>
        <w:pStyle w:val="Prrafodelista"/>
        <w:widowControl w:val="0"/>
        <w:autoSpaceDE w:val="0"/>
        <w:autoSpaceDN w:val="0"/>
        <w:adjustRightInd w:val="0"/>
        <w:spacing w:line="360" w:lineRule="auto"/>
        <w:ind w:left="0" w:right="49"/>
        <w:jc w:val="both"/>
        <w:rPr>
          <w:rFonts w:ascii="Palatino Linotype" w:hAnsi="Palatino Linotype" w:cs="Arial"/>
          <w:i/>
          <w:color w:val="000000" w:themeColor="text1"/>
        </w:rPr>
      </w:pPr>
      <w:r w:rsidRPr="00FA45F8">
        <w:rPr>
          <w:rFonts w:ascii="Palatino Linotype" w:hAnsi="Palatino Linotype"/>
          <w:b/>
          <w:i/>
          <w:color w:val="000000" w:themeColor="text1"/>
        </w:rPr>
        <w:t>XXVIII.</w:t>
      </w:r>
      <w:r w:rsidRPr="00FA45F8">
        <w:rPr>
          <w:rFonts w:ascii="Palatino Linotype" w:hAnsi="Palatino Linotype"/>
          <w:i/>
          <w:color w:val="000000" w:themeColor="text1"/>
        </w:rPr>
        <w:t xml:space="preserve"> Procurar la conciliación entre las autoridades y los titulares de los datos personales en cualquier momento del procedimiento del Recurso de Revisión y en su caso, verificar el cumplimiento del acuerdo respectivo.</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b/>
          <w:i/>
          <w:color w:val="000000" w:themeColor="text1"/>
        </w:rPr>
      </w:pPr>
      <w:r w:rsidRPr="00FA45F8">
        <w:rPr>
          <w:rFonts w:ascii="Palatino Linotype" w:hAnsi="Palatino Linotype"/>
          <w:b/>
          <w:i/>
          <w:color w:val="000000" w:themeColor="text1"/>
        </w:rPr>
        <w:t xml:space="preserve">De la conciliación </w:t>
      </w:r>
    </w:p>
    <w:p w:rsidR="005416D2" w:rsidRPr="00FA45F8" w:rsidRDefault="005416D2" w:rsidP="00FA45F8">
      <w:pPr>
        <w:pStyle w:val="Prrafodelista"/>
        <w:widowControl w:val="0"/>
        <w:autoSpaceDE w:val="0"/>
        <w:autoSpaceDN w:val="0"/>
        <w:adjustRightInd w:val="0"/>
        <w:spacing w:line="360" w:lineRule="auto"/>
        <w:ind w:left="0" w:right="49"/>
        <w:jc w:val="both"/>
        <w:rPr>
          <w:rFonts w:ascii="Palatino Linotype" w:hAnsi="Palatino Linotype" w:cs="Arial"/>
          <w:b/>
          <w:i/>
          <w:color w:val="000000" w:themeColor="text1"/>
        </w:rPr>
      </w:pPr>
      <w:r w:rsidRPr="00FA45F8">
        <w:rPr>
          <w:rFonts w:ascii="Palatino Linotype" w:hAnsi="Palatino Linotype"/>
          <w:b/>
          <w:i/>
          <w:color w:val="000000" w:themeColor="text1"/>
        </w:rPr>
        <w:t>Artículo 131.</w:t>
      </w:r>
      <w:r w:rsidRPr="00FA45F8">
        <w:rPr>
          <w:rFonts w:ascii="Palatino Linotype" w:hAnsi="Palatino Linotype"/>
          <w:i/>
          <w:color w:val="000000" w:themeColor="text1"/>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p>
    <w:p w:rsidR="005416D2" w:rsidRPr="00FA45F8" w:rsidRDefault="005416D2" w:rsidP="00FA45F8">
      <w:pPr>
        <w:pStyle w:val="Prrafodelista"/>
        <w:widowControl w:val="0"/>
        <w:autoSpaceDE w:val="0"/>
        <w:autoSpaceDN w:val="0"/>
        <w:adjustRightInd w:val="0"/>
        <w:spacing w:line="360" w:lineRule="auto"/>
        <w:ind w:left="0" w:right="49"/>
        <w:rPr>
          <w:rFonts w:ascii="Palatino Linotype" w:hAnsi="Palatino Linotype" w:cs="Arial"/>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olor w:val="000000" w:themeColor="text1"/>
        </w:rPr>
      </w:pPr>
      <w:r w:rsidRPr="00FA45F8">
        <w:rPr>
          <w:rFonts w:ascii="Palatino Linotype" w:hAnsi="Palatino Linotype" w:cs="Arial"/>
          <w:color w:val="000000" w:themeColor="text1"/>
        </w:rPr>
        <w:t>Derivado de lo anterior, como quedó acreditado en el apartado de antecedentes, las partes manifestaron su voluntad de sujetarse al procedimiento de conciliación, por lo que una vez llegado el día y hora notificado en el citatorio correspondiente, y al haber asistido las partes, se celebró la audiencia correspondiente en donde de manera genera</w:t>
      </w:r>
      <w:r w:rsidR="00294284" w:rsidRPr="00FA45F8">
        <w:rPr>
          <w:rFonts w:ascii="Palatino Linotype" w:hAnsi="Palatino Linotype" w:cs="Arial"/>
          <w:color w:val="000000" w:themeColor="text1"/>
        </w:rPr>
        <w:t>,</w:t>
      </w:r>
      <w:r w:rsidRPr="00FA45F8">
        <w:rPr>
          <w:rFonts w:ascii="Palatino Linotype" w:hAnsi="Palatino Linotype" w:cs="Arial"/>
          <w:color w:val="000000" w:themeColor="text1"/>
        </w:rPr>
        <w:t xml:space="preserve"> se manifestó por parte del </w:t>
      </w:r>
      <w:r w:rsidRPr="00FA45F8">
        <w:rPr>
          <w:rFonts w:ascii="Palatino Linotype" w:hAnsi="Palatino Linotype" w:cs="Arial"/>
          <w:b/>
          <w:color w:val="000000" w:themeColor="text1"/>
        </w:rPr>
        <w:t>SUJETO OBLIGADO</w:t>
      </w:r>
      <w:r w:rsidR="00294284" w:rsidRPr="00FA45F8">
        <w:rPr>
          <w:rFonts w:ascii="Palatino Linotype" w:hAnsi="Palatino Linotype" w:cs="Arial"/>
          <w:b/>
          <w:color w:val="000000" w:themeColor="text1"/>
        </w:rPr>
        <w:t>:</w:t>
      </w:r>
      <w:r w:rsidRPr="00FA45F8">
        <w:rPr>
          <w:rFonts w:ascii="Palatino Linotype" w:hAnsi="Palatino Linotype" w:cs="Arial"/>
          <w:b/>
          <w:color w:val="000000" w:themeColor="text1"/>
        </w:rPr>
        <w:t xml:space="preserve"> </w:t>
      </w:r>
      <w:r w:rsidRPr="00FA45F8">
        <w:rPr>
          <w:rFonts w:ascii="Palatino Linotype" w:hAnsi="Palatino Linotype"/>
          <w:color w:val="000000" w:themeColor="text1"/>
        </w:rPr>
        <w:t xml:space="preserve">que si se localizó la información solicitada, la cual se </w:t>
      </w:r>
      <w:r w:rsidRPr="00FA45F8">
        <w:rPr>
          <w:rFonts w:ascii="Palatino Linotype" w:hAnsi="Palatino Linotype"/>
          <w:color w:val="000000" w:themeColor="text1"/>
        </w:rPr>
        <w:lastRenderedPageBreak/>
        <w:t>encuentra a disposición para ser entregada en la modalidad elegida, previa acreditación de la identidad en las oficinas que ocupan la Unidad de Transparencia</w:t>
      </w:r>
      <w:r w:rsidR="00294284" w:rsidRPr="00FA45F8">
        <w:rPr>
          <w:rFonts w:ascii="Palatino Linotype" w:hAnsi="Palatino Linotype"/>
          <w:color w:val="000000" w:themeColor="text1"/>
        </w:rPr>
        <w:t>,</w:t>
      </w:r>
      <w:r w:rsidRPr="00FA45F8">
        <w:rPr>
          <w:rFonts w:ascii="Palatino Linotype" w:hAnsi="Palatino Linotype"/>
          <w:color w:val="000000" w:themeColor="text1"/>
        </w:rPr>
        <w:t xml:space="preserve"> documental que cuenta con fecha de 31 de marzo de 2020.</w:t>
      </w:r>
    </w:p>
    <w:p w:rsidR="005416D2" w:rsidRPr="00FA45F8" w:rsidRDefault="005416D2" w:rsidP="00FA45F8">
      <w:pPr>
        <w:spacing w:line="360" w:lineRule="auto"/>
        <w:ind w:right="49"/>
        <w:rPr>
          <w:rFonts w:ascii="Palatino Linotype" w:hAnsi="Palatino Linotype"/>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olor w:val="000000" w:themeColor="text1"/>
        </w:rPr>
      </w:pPr>
      <w:r w:rsidRPr="00FA45F8">
        <w:rPr>
          <w:rFonts w:ascii="Palatino Linotype" w:hAnsi="Palatino Linotype"/>
          <w:color w:val="000000" w:themeColor="text1"/>
        </w:rPr>
        <w:t xml:space="preserve">A lo que el personal adscrito a la Ponencia </w:t>
      </w:r>
      <w:r w:rsidR="00294284" w:rsidRPr="00FA45F8">
        <w:rPr>
          <w:rFonts w:ascii="Palatino Linotype" w:hAnsi="Palatino Linotype"/>
          <w:color w:val="000000" w:themeColor="text1"/>
        </w:rPr>
        <w:t>r</w:t>
      </w:r>
      <w:r w:rsidRPr="00FA45F8">
        <w:rPr>
          <w:rFonts w:ascii="Palatino Linotype" w:hAnsi="Palatino Linotype"/>
          <w:color w:val="000000" w:themeColor="text1"/>
        </w:rPr>
        <w:t xml:space="preserve">esolutora, procedió a informar a la parte </w:t>
      </w:r>
      <w:r w:rsidRPr="00FA45F8">
        <w:rPr>
          <w:rFonts w:ascii="Palatino Linotype" w:hAnsi="Palatino Linotype"/>
          <w:b/>
          <w:color w:val="000000" w:themeColor="text1"/>
        </w:rPr>
        <w:t>RECURRENTE</w:t>
      </w:r>
      <w:r w:rsidRPr="00FA45F8">
        <w:rPr>
          <w:rFonts w:ascii="Palatino Linotype" w:hAnsi="Palatino Linotype"/>
          <w:color w:val="000000" w:themeColor="text1"/>
        </w:rPr>
        <w:t xml:space="preserve"> de la discrepancia que se advertía, en relación con la fecha aludida en la solicitud de información inicial; a lo que la solicitante de los datos personales manifestó su conformidad respecto de la fecha y del documento localizado, toda vez refirió no conocía la fecha exacta del documento al momento de interponer su solicitud de acceso a datos, manifestando en consecuencia, de manera expresa que con la entrega de dicha documental, si se colma su derecho de acceso a los datos personales.</w:t>
      </w:r>
    </w:p>
    <w:p w:rsidR="005416D2" w:rsidRPr="00FA45F8" w:rsidRDefault="005416D2" w:rsidP="00FA45F8">
      <w:pPr>
        <w:pStyle w:val="Prrafodelista"/>
        <w:spacing w:line="360" w:lineRule="auto"/>
        <w:ind w:left="0" w:right="49"/>
        <w:rPr>
          <w:rFonts w:ascii="Palatino Linotype" w:hAnsi="Palatino Linotype" w:cstheme="majorHAnsi"/>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olor w:val="000000" w:themeColor="text1"/>
        </w:rPr>
      </w:pPr>
      <w:r w:rsidRPr="00FA45F8">
        <w:rPr>
          <w:rFonts w:ascii="Palatino Linotype" w:hAnsi="Palatino Linotype"/>
          <w:color w:val="000000" w:themeColor="text1"/>
        </w:rPr>
        <w:t xml:space="preserve">Por </w:t>
      </w:r>
      <w:r w:rsidR="00294284" w:rsidRPr="00FA45F8">
        <w:rPr>
          <w:rFonts w:ascii="Palatino Linotype" w:hAnsi="Palatino Linotype"/>
          <w:color w:val="000000" w:themeColor="text1"/>
        </w:rPr>
        <w:t>otro lado</w:t>
      </w:r>
      <w:r w:rsidRPr="00FA45F8">
        <w:rPr>
          <w:rFonts w:ascii="Palatino Linotype" w:hAnsi="Palatino Linotype"/>
          <w:color w:val="000000" w:themeColor="text1"/>
        </w:rPr>
        <w:t xml:space="preserve">, el </w:t>
      </w:r>
      <w:r w:rsidRPr="00FA45F8">
        <w:rPr>
          <w:rFonts w:ascii="Palatino Linotype" w:hAnsi="Palatino Linotype"/>
          <w:b/>
          <w:color w:val="000000" w:themeColor="text1"/>
        </w:rPr>
        <w:t>SUJETO OBLIGADO</w:t>
      </w:r>
      <w:r w:rsidRPr="00FA45F8">
        <w:rPr>
          <w:rFonts w:ascii="Palatino Linotype" w:hAnsi="Palatino Linotype"/>
          <w:color w:val="000000" w:themeColor="text1"/>
        </w:rPr>
        <w:t xml:space="preserve"> señaló que, como no se superan las veinte fojas, la información </w:t>
      </w:r>
      <w:r w:rsidR="0056127E" w:rsidRPr="00FA45F8">
        <w:rPr>
          <w:rFonts w:ascii="Palatino Linotype" w:hAnsi="Palatino Linotype"/>
          <w:color w:val="000000" w:themeColor="text1"/>
        </w:rPr>
        <w:t>está</w:t>
      </w:r>
      <w:r w:rsidR="00294284" w:rsidRPr="00FA45F8">
        <w:rPr>
          <w:rFonts w:ascii="Palatino Linotype" w:hAnsi="Palatino Linotype"/>
          <w:color w:val="000000" w:themeColor="text1"/>
        </w:rPr>
        <w:t xml:space="preserve"> en condiciones de ser</w:t>
      </w:r>
      <w:r w:rsidRPr="00FA45F8">
        <w:rPr>
          <w:rFonts w:ascii="Palatino Linotype" w:hAnsi="Palatino Linotype"/>
          <w:color w:val="000000" w:themeColor="text1"/>
        </w:rPr>
        <w:t xml:space="preserve"> entregada en copia certificada sin costo en observancia al Criterio 002/2018 emitido por el entonces Instituto Nacional de Transparencia, Acceso a la Información y Protección de Datos Personales (INAI) que es de la literalidad siguiente:</w:t>
      </w:r>
    </w:p>
    <w:p w:rsidR="005416D2" w:rsidRPr="00FA45F8" w:rsidRDefault="005416D2" w:rsidP="00FA45F8">
      <w:pPr>
        <w:spacing w:line="360" w:lineRule="auto"/>
        <w:ind w:right="49"/>
        <w:jc w:val="both"/>
        <w:rPr>
          <w:rFonts w:ascii="Palatino Linotype" w:hAnsi="Palatino Linotype"/>
          <w:i/>
          <w:color w:val="000000" w:themeColor="text1"/>
        </w:rPr>
      </w:pPr>
      <w:r w:rsidRPr="00FA45F8">
        <w:rPr>
          <w:rFonts w:ascii="Palatino Linotype" w:hAnsi="Palatino Linotype"/>
          <w:i/>
          <w:color w:val="000000" w:themeColor="text1"/>
        </w:rPr>
        <w:t xml:space="preserve">“Cuando la entrega de los datos personales sea a través de copias simples o certificadas, </w:t>
      </w:r>
      <w:r w:rsidRPr="00FA45F8">
        <w:rPr>
          <w:rFonts w:ascii="Palatino Linotype" w:hAnsi="Palatino Linotype"/>
          <w:b/>
          <w:i/>
          <w:color w:val="000000" w:themeColor="text1"/>
        </w:rPr>
        <w:t>las primeras veinte hojas serán sin costo</w:t>
      </w:r>
      <w:r w:rsidRPr="00FA45F8">
        <w:rPr>
          <w:rFonts w:ascii="Palatino Linotype" w:hAnsi="Palatino Linotype"/>
          <w:i/>
          <w:color w:val="000000" w:themeColor="text1"/>
        </w:rPr>
        <w:t>.”</w:t>
      </w:r>
    </w:p>
    <w:p w:rsidR="005416D2" w:rsidRPr="00FA45F8" w:rsidRDefault="005416D2" w:rsidP="00FA45F8">
      <w:pPr>
        <w:spacing w:line="360" w:lineRule="auto"/>
        <w:ind w:right="49"/>
        <w:jc w:val="both"/>
        <w:rPr>
          <w:rFonts w:ascii="Palatino Linotype" w:hAnsi="Palatino Linotype"/>
          <w:color w:val="000000" w:themeColor="text1"/>
        </w:rPr>
      </w:pP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olor w:val="000000" w:themeColor="text1"/>
        </w:rPr>
      </w:pPr>
      <w:r w:rsidRPr="00FA45F8">
        <w:rPr>
          <w:rFonts w:ascii="Palatino Linotype" w:hAnsi="Palatino Linotype"/>
          <w:color w:val="000000" w:themeColor="text1"/>
        </w:rPr>
        <w:t xml:space="preserve">A lo que la parte solicitante manifestó su aprobación; no obstante </w:t>
      </w:r>
      <w:r w:rsidRPr="00FA45F8">
        <w:rPr>
          <w:rFonts w:ascii="Palatino Linotype" w:hAnsi="Palatino Linotype"/>
          <w:b/>
          <w:color w:val="000000" w:themeColor="text1"/>
        </w:rPr>
        <w:t xml:space="preserve">LA RECURRENTE </w:t>
      </w:r>
      <w:r w:rsidRPr="00FA45F8">
        <w:rPr>
          <w:rFonts w:ascii="Palatino Linotype" w:hAnsi="Palatino Linotype"/>
          <w:color w:val="000000" w:themeColor="text1"/>
        </w:rPr>
        <w:t>informó que por el momento le resultaba improbable acudir personalmente a la Unidad de Transparencia del Sujeto Obligado en razón de su ubicación actual en otro Estado de la República Mexicana.</w:t>
      </w:r>
    </w:p>
    <w:p w:rsidR="005416D2" w:rsidRPr="00FA45F8" w:rsidRDefault="005416D2" w:rsidP="00FA45F8">
      <w:pPr>
        <w:widowControl w:val="0"/>
        <w:numPr>
          <w:ilvl w:val="0"/>
          <w:numId w:val="2"/>
        </w:numPr>
        <w:autoSpaceDE w:val="0"/>
        <w:autoSpaceDN w:val="0"/>
        <w:adjustRightInd w:val="0"/>
        <w:spacing w:line="360" w:lineRule="auto"/>
        <w:ind w:left="0" w:right="49" w:firstLine="0"/>
        <w:jc w:val="both"/>
        <w:rPr>
          <w:rFonts w:ascii="Palatino Linotype" w:hAnsi="Palatino Linotype"/>
          <w:color w:val="000000" w:themeColor="text1"/>
        </w:rPr>
      </w:pPr>
      <w:r w:rsidRPr="00FA45F8">
        <w:rPr>
          <w:rFonts w:ascii="Palatino Linotype" w:hAnsi="Palatino Linotype"/>
          <w:color w:val="000000" w:themeColor="text1"/>
        </w:rPr>
        <w:lastRenderedPageBreak/>
        <w:t xml:space="preserve">Por lo anterior, ambas partes acordaron la asistencia y entrega de la información en el mes de diciembre del año en curso, sin definir día y hora especifico, pero definiendo que previo al periodo vacacional oficial del Instituto de Seguridad Social del Estado de México y Municipios, dejando constancia de su entrega y recepción a través del SARCOEM, aceptando como procedente que en tanto se materialice la entrega de los datos, que el </w:t>
      </w:r>
      <w:r w:rsidRPr="00FA45F8">
        <w:rPr>
          <w:rFonts w:ascii="Palatino Linotype" w:hAnsi="Palatino Linotype"/>
          <w:b/>
          <w:color w:val="000000" w:themeColor="text1"/>
        </w:rPr>
        <w:t>SUJETO OBLIGADO</w:t>
      </w:r>
      <w:r w:rsidRPr="00FA45F8">
        <w:rPr>
          <w:rFonts w:ascii="Palatino Linotype" w:hAnsi="Palatino Linotype"/>
          <w:color w:val="000000" w:themeColor="text1"/>
        </w:rPr>
        <w:t xml:space="preserve"> le informe de los días, horarios, domicilio y personal que la atenderá y el periodo que se encuentre a su disposición el Aviso de referencia en las oficinas que ocupa la Unidad de Transparencia.</w:t>
      </w:r>
    </w:p>
    <w:p w:rsidR="00565957" w:rsidRPr="00FA45F8" w:rsidRDefault="00565957" w:rsidP="00FA45F8">
      <w:pPr>
        <w:pStyle w:val="Prrafodelista"/>
        <w:spacing w:line="360" w:lineRule="auto"/>
        <w:ind w:left="0" w:right="49"/>
        <w:rPr>
          <w:rFonts w:ascii="Palatino Linotype" w:hAnsi="Palatino Linotype"/>
          <w:color w:val="000000" w:themeColor="text1"/>
        </w:rPr>
      </w:pPr>
    </w:p>
    <w:p w:rsidR="00AA618A" w:rsidRDefault="006E508C" w:rsidP="00AA618A">
      <w:pPr>
        <w:widowControl w:val="0"/>
        <w:numPr>
          <w:ilvl w:val="0"/>
          <w:numId w:val="2"/>
        </w:numPr>
        <w:autoSpaceDE w:val="0"/>
        <w:autoSpaceDN w:val="0"/>
        <w:adjustRightInd w:val="0"/>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 xml:space="preserve">Por </w:t>
      </w:r>
      <w:r w:rsidR="000D3A25" w:rsidRPr="00FA45F8">
        <w:rPr>
          <w:rFonts w:ascii="Palatino Linotype" w:eastAsia="Palatino Linotype" w:hAnsi="Palatino Linotype" w:cs="Palatino Linotype"/>
          <w:color w:val="000000" w:themeColor="text1"/>
        </w:rPr>
        <w:t>lo que en relatadas circunstancias</w:t>
      </w:r>
      <w:r w:rsidRPr="00FA45F8">
        <w:rPr>
          <w:rFonts w:ascii="Palatino Linotype" w:eastAsia="Palatino Linotype" w:hAnsi="Palatino Linotype" w:cs="Palatino Linotype"/>
          <w:color w:val="000000" w:themeColor="text1"/>
        </w:rPr>
        <w:t xml:space="preserve">, este Organismo Garante considera dable ordenar entregar vía </w:t>
      </w:r>
      <w:r w:rsidR="007D4E37" w:rsidRPr="00FA45F8">
        <w:rPr>
          <w:rFonts w:ascii="Palatino Linotype" w:eastAsia="Palatino Linotype" w:hAnsi="Palatino Linotype" w:cs="Palatino Linotype"/>
          <w:b/>
          <w:color w:val="000000" w:themeColor="text1"/>
        </w:rPr>
        <w:t xml:space="preserve">copias certificadas </w:t>
      </w:r>
      <w:r w:rsidR="00294284" w:rsidRPr="00FA45F8">
        <w:rPr>
          <w:rFonts w:ascii="Palatino Linotype" w:eastAsia="Palatino Linotype" w:hAnsi="Palatino Linotype" w:cs="Palatino Linotype"/>
          <w:b/>
          <w:color w:val="000000" w:themeColor="text1"/>
        </w:rPr>
        <w:t>sin</w:t>
      </w:r>
      <w:r w:rsidRPr="00FA45F8">
        <w:rPr>
          <w:rFonts w:ascii="Palatino Linotype" w:eastAsia="Palatino Linotype" w:hAnsi="Palatino Linotype" w:cs="Palatino Linotype"/>
          <w:b/>
          <w:color w:val="000000" w:themeColor="text1"/>
        </w:rPr>
        <w:t xml:space="preserve"> </w:t>
      </w:r>
      <w:r w:rsidR="00BD5D68" w:rsidRPr="00FA45F8">
        <w:rPr>
          <w:rFonts w:ascii="Palatino Linotype" w:eastAsia="Palatino Linotype" w:hAnsi="Palatino Linotype" w:cs="Palatino Linotype"/>
          <w:b/>
          <w:color w:val="000000" w:themeColor="text1"/>
        </w:rPr>
        <w:t xml:space="preserve">costo </w:t>
      </w:r>
      <w:r w:rsidR="00BD5D68" w:rsidRPr="00FA45F8">
        <w:rPr>
          <w:rFonts w:ascii="Palatino Linotype" w:eastAsia="Palatino Linotype" w:hAnsi="Palatino Linotype" w:cs="Palatino Linotype"/>
          <w:color w:val="000000" w:themeColor="text1"/>
        </w:rPr>
        <w:t>previa</w:t>
      </w:r>
      <w:r w:rsidRPr="00FA45F8">
        <w:rPr>
          <w:rFonts w:ascii="Palatino Linotype" w:eastAsia="Palatino Linotype" w:hAnsi="Palatino Linotype" w:cs="Palatino Linotype"/>
          <w:color w:val="000000" w:themeColor="text1"/>
        </w:rPr>
        <w:t xml:space="preserve"> acreditación de la identidad,</w:t>
      </w:r>
      <w:r w:rsidRPr="00FA45F8">
        <w:rPr>
          <w:rFonts w:ascii="Palatino Linotype" w:hAnsi="Palatino Linotype"/>
          <w:color w:val="000000" w:themeColor="text1"/>
        </w:rPr>
        <w:t xml:space="preserve"> </w:t>
      </w:r>
      <w:r w:rsidRPr="00FA45F8">
        <w:rPr>
          <w:rFonts w:ascii="Palatino Linotype" w:eastAsia="Palatino Linotype" w:hAnsi="Palatino Linotype" w:cs="Palatino Linotype"/>
          <w:color w:val="000000" w:themeColor="text1"/>
        </w:rPr>
        <w:t xml:space="preserve">del </w:t>
      </w:r>
      <w:r w:rsidR="000D3A25" w:rsidRPr="00FA45F8">
        <w:rPr>
          <w:rFonts w:ascii="Palatino Linotype" w:eastAsia="Palatino Linotype" w:hAnsi="Palatino Linotype" w:cs="Palatino Linotype"/>
          <w:color w:val="000000" w:themeColor="text1"/>
        </w:rPr>
        <w:t>Aviso referido en la solicitud de información.</w:t>
      </w:r>
    </w:p>
    <w:p w:rsidR="00AA618A" w:rsidRDefault="00AA618A" w:rsidP="00AA618A">
      <w:pPr>
        <w:widowControl w:val="0"/>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rsidR="000D3A25" w:rsidRPr="00AA618A" w:rsidRDefault="006E508C" w:rsidP="00AA618A">
      <w:pPr>
        <w:widowControl w:val="0"/>
        <w:numPr>
          <w:ilvl w:val="0"/>
          <w:numId w:val="2"/>
        </w:numPr>
        <w:autoSpaceDE w:val="0"/>
        <w:autoSpaceDN w:val="0"/>
        <w:adjustRightInd w:val="0"/>
        <w:spacing w:line="360" w:lineRule="auto"/>
        <w:ind w:left="0" w:right="49" w:firstLine="0"/>
        <w:jc w:val="both"/>
        <w:rPr>
          <w:rFonts w:ascii="Palatino Linotype" w:eastAsia="Palatino Linotype" w:hAnsi="Palatino Linotype" w:cs="Palatino Linotype"/>
          <w:color w:val="000000" w:themeColor="text1"/>
        </w:rPr>
      </w:pPr>
      <w:r w:rsidRPr="00AA618A">
        <w:rPr>
          <w:rFonts w:ascii="Palatino Linotype" w:eastAsia="Palatino Linotype" w:hAnsi="Palatino Linotype" w:cs="Palatino Linotype"/>
          <w:color w:val="000000" w:themeColor="text1"/>
        </w:rPr>
        <w:t xml:space="preserve">Para la acreditación de la identidad, así como entrega de la información, el </w:t>
      </w:r>
      <w:r w:rsidR="002D639A" w:rsidRPr="00AA618A">
        <w:rPr>
          <w:rFonts w:ascii="Palatino Linotype" w:eastAsia="Palatino Linotype" w:hAnsi="Palatino Linotype" w:cs="Palatino Linotype"/>
          <w:b/>
          <w:color w:val="000000" w:themeColor="text1"/>
        </w:rPr>
        <w:t>SUJETO OBLIGADO</w:t>
      </w:r>
      <w:r w:rsidR="002D639A" w:rsidRPr="00AA618A">
        <w:rPr>
          <w:rFonts w:ascii="Palatino Linotype" w:eastAsia="Palatino Linotype" w:hAnsi="Palatino Linotype" w:cs="Palatino Linotype"/>
          <w:color w:val="000000" w:themeColor="text1"/>
        </w:rPr>
        <w:t xml:space="preserve"> </w:t>
      </w:r>
      <w:r w:rsidRPr="00AA618A">
        <w:rPr>
          <w:rFonts w:ascii="Palatino Linotype" w:eastAsia="Palatino Linotype" w:hAnsi="Palatino Linotype" w:cs="Palatino Linotype"/>
          <w:color w:val="000000" w:themeColor="text1"/>
        </w:rPr>
        <w:t>previamente deberá hacer de conocimiento de la parte Recurrente, vía SARCOEM, el procedimiento para llevar a cabo dicha acreditación, el lugar, día y horarios en los que podrá acceder a la información, así como el nombre del o los servidores públicos que le atenderán.</w:t>
      </w:r>
      <w:r w:rsidR="000D3A25" w:rsidRPr="00AA618A">
        <w:rPr>
          <w:rFonts w:ascii="Palatino Linotype" w:eastAsia="Palatino Linotype" w:hAnsi="Palatino Linotype" w:cs="Palatino Linotype"/>
          <w:color w:val="000000" w:themeColor="text1"/>
        </w:rPr>
        <w:t xml:space="preserve"> Finalmente </w:t>
      </w:r>
      <w:r w:rsidR="000D3A25" w:rsidRPr="00AA618A">
        <w:rPr>
          <w:rFonts w:ascii="Palatino Linotype" w:hAnsi="Palatino Linotype" w:cs="Arial"/>
          <w:color w:val="000000" w:themeColor="text1"/>
        </w:rPr>
        <w:t xml:space="preserve">informar el periodo en se encontrara disponible para que acuda a </w:t>
      </w:r>
      <w:r w:rsidR="000D3A25" w:rsidRPr="00AA618A">
        <w:rPr>
          <w:rFonts w:ascii="Palatino Linotype" w:hAnsi="Palatino Linotype"/>
          <w:b/>
          <w:color w:val="000000" w:themeColor="text1"/>
        </w:rPr>
        <w:t>recogerla</w:t>
      </w:r>
      <w:r w:rsidR="000D3A25" w:rsidRPr="00AA618A">
        <w:rPr>
          <w:rFonts w:ascii="Palatino Linotype" w:hAnsi="Palatino Linotype" w:cs="Arial"/>
          <w:color w:val="000000" w:themeColor="text1"/>
        </w:rPr>
        <w:t xml:space="preserve">, y que corresponde a un plazo de </w:t>
      </w:r>
      <w:r w:rsidR="000D3A25" w:rsidRPr="00AA618A">
        <w:rPr>
          <w:rFonts w:ascii="Palatino Linotype" w:hAnsi="Palatino Linotype" w:cs="Arial"/>
          <w:b/>
          <w:color w:val="000000" w:themeColor="text1"/>
        </w:rPr>
        <w:t>sesenta días hábiles</w:t>
      </w:r>
      <w:r w:rsidR="000D3A25" w:rsidRPr="00AA618A">
        <w:rPr>
          <w:rFonts w:ascii="Palatino Linotype" w:hAnsi="Palatino Linotype" w:cs="Arial"/>
          <w:color w:val="000000" w:themeColor="text1"/>
        </w:rPr>
        <w:t>, de conformidad con lo establecido en el artículo 118 de la Ley de la materia, precepto que se cita para pronta referencia:</w:t>
      </w:r>
    </w:p>
    <w:p w:rsidR="000D3A25" w:rsidRPr="00FA45F8" w:rsidRDefault="000D3A25" w:rsidP="00FA45F8">
      <w:pPr>
        <w:spacing w:line="360" w:lineRule="auto"/>
        <w:ind w:right="49"/>
        <w:jc w:val="both"/>
        <w:rPr>
          <w:rFonts w:ascii="Palatino Linotype" w:hAnsi="Palatino Linotype" w:cs="Arial"/>
          <w:b/>
          <w:i/>
          <w:color w:val="000000" w:themeColor="text1"/>
        </w:rPr>
      </w:pPr>
      <w:r w:rsidRPr="00FA45F8">
        <w:rPr>
          <w:rFonts w:ascii="Palatino Linotype" w:hAnsi="Palatino Linotype" w:cs="Arial"/>
          <w:i/>
          <w:color w:val="000000" w:themeColor="text1"/>
        </w:rPr>
        <w:t>“</w:t>
      </w:r>
      <w:r w:rsidRPr="00FA45F8">
        <w:rPr>
          <w:rFonts w:ascii="Palatino Linotype" w:hAnsi="Palatino Linotype" w:cs="Arial"/>
          <w:b/>
          <w:i/>
          <w:color w:val="000000" w:themeColor="text1"/>
        </w:rPr>
        <w:t xml:space="preserve">Cumplimiento de la atención de solicitudes ARCO </w:t>
      </w:r>
    </w:p>
    <w:p w:rsidR="000D3A25" w:rsidRPr="00FA45F8" w:rsidRDefault="000D3A25" w:rsidP="00FA45F8">
      <w:pPr>
        <w:spacing w:line="360" w:lineRule="auto"/>
        <w:ind w:right="49"/>
        <w:jc w:val="both"/>
        <w:rPr>
          <w:rFonts w:ascii="Palatino Linotype" w:hAnsi="Palatino Linotype" w:cs="Arial"/>
          <w:b/>
          <w:i/>
          <w:color w:val="000000" w:themeColor="text1"/>
        </w:rPr>
      </w:pPr>
      <w:r w:rsidRPr="00FA45F8">
        <w:rPr>
          <w:rFonts w:ascii="Palatino Linotype" w:hAnsi="Palatino Linotype" w:cs="Arial"/>
          <w:b/>
          <w:i/>
          <w:color w:val="000000" w:themeColor="text1"/>
        </w:rPr>
        <w:t xml:space="preserve">Artículo 118. </w:t>
      </w:r>
      <w:r w:rsidRPr="00FA45F8">
        <w:rPr>
          <w:rFonts w:ascii="Palatino Linotype" w:hAnsi="Palatino Linotype" w:cs="Arial"/>
          <w:i/>
          <w:color w:val="000000" w:themeColor="text1"/>
        </w:rPr>
        <w:t xml:space="preserve">Las solicitudes de ejercicio de los derechos ARCO se darán por cumplidas a través de expedición de copias simples, copias certificadas, documentos en la modalidad que se hubiese solicitado, </w:t>
      </w:r>
      <w:r w:rsidRPr="00FA45F8">
        <w:rPr>
          <w:rFonts w:ascii="Palatino Linotype" w:hAnsi="Palatino Linotype" w:cs="Arial"/>
          <w:i/>
          <w:color w:val="000000" w:themeColor="text1"/>
        </w:rPr>
        <w:lastRenderedPageBreak/>
        <w:t xml:space="preserve">previa acreditación de la identidad y personalidad del solicitante o en su caso, ante la notificación de improcedencia de su solicitud. </w:t>
      </w:r>
    </w:p>
    <w:p w:rsidR="000D3A25" w:rsidRPr="00FA45F8" w:rsidRDefault="000D3A25" w:rsidP="00FA45F8">
      <w:pPr>
        <w:spacing w:line="360" w:lineRule="auto"/>
        <w:ind w:right="49"/>
        <w:jc w:val="both"/>
        <w:rPr>
          <w:rFonts w:ascii="Palatino Linotype" w:hAnsi="Palatino Linotype" w:cs="Arial"/>
          <w:i/>
          <w:color w:val="000000" w:themeColor="text1"/>
        </w:rPr>
      </w:pPr>
      <w:r w:rsidRPr="00FA45F8">
        <w:rPr>
          <w:rFonts w:ascii="Palatino Linotype" w:hAnsi="Palatino Linotype" w:cs="Arial"/>
          <w:b/>
          <w:i/>
          <w:color w:val="000000" w:themeColor="text1"/>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r w:rsidRPr="00FA45F8">
        <w:rPr>
          <w:rFonts w:ascii="Palatino Linotype" w:hAnsi="Palatino Linotype" w:cs="Arial"/>
          <w:i/>
          <w:color w:val="000000" w:themeColor="text1"/>
        </w:rPr>
        <w:t>”</w:t>
      </w:r>
    </w:p>
    <w:p w:rsidR="000D3A25" w:rsidRPr="00FA45F8" w:rsidRDefault="000D3A25" w:rsidP="00FA45F8">
      <w:pPr>
        <w:spacing w:line="360" w:lineRule="auto"/>
        <w:ind w:right="49"/>
        <w:jc w:val="both"/>
        <w:rPr>
          <w:rFonts w:ascii="Palatino Linotype" w:hAnsi="Palatino Linotype" w:cs="Arial"/>
          <w:color w:val="000000" w:themeColor="text1"/>
        </w:rPr>
      </w:pPr>
      <w:r w:rsidRPr="00FA45F8">
        <w:rPr>
          <w:rFonts w:ascii="Palatino Linotype" w:hAnsi="Palatino Linotype" w:cs="Arial"/>
          <w:color w:val="000000" w:themeColor="text1"/>
        </w:rPr>
        <w:t>Énfasis propio</w:t>
      </w:r>
    </w:p>
    <w:p w:rsidR="006E508C" w:rsidRPr="00FA45F8" w:rsidRDefault="006E508C"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116107" w:rsidP="00AA618A">
      <w:pPr>
        <w:pStyle w:val="Sinespaciado"/>
        <w:numPr>
          <w:ilvl w:val="0"/>
          <w:numId w:val="21"/>
        </w:numPr>
        <w:shd w:val="clear" w:color="auto" w:fill="FFFFFF"/>
        <w:suppressAutoHyphens/>
        <w:spacing w:line="360" w:lineRule="auto"/>
        <w:ind w:left="0" w:right="49" w:firstLine="0"/>
        <w:jc w:val="both"/>
        <w:textAlignment w:val="baseline"/>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y por lo</w:t>
      </w:r>
      <w:r w:rsidR="00402401" w:rsidRPr="00FA45F8">
        <w:rPr>
          <w:rFonts w:ascii="Palatino Linotype" w:eastAsia="Palatino Linotype" w:hAnsi="Palatino Linotype" w:cs="Palatino Linotype"/>
          <w:color w:val="000000" w:themeColor="text1"/>
        </w:rPr>
        <w:t xml:space="preserve"> expuesto y fundado, este </w:t>
      </w:r>
      <w:r w:rsidR="00402401" w:rsidRPr="00FA45F8">
        <w:rPr>
          <w:rFonts w:ascii="Palatino Linotype" w:eastAsia="Palatino Linotype" w:hAnsi="Palatino Linotype" w:cs="Palatino Linotype"/>
          <w:b/>
          <w:color w:val="000000" w:themeColor="text1"/>
        </w:rPr>
        <w:t>ÓRGANO GARANTE</w:t>
      </w:r>
      <w:r w:rsidR="00402401" w:rsidRPr="00FA45F8">
        <w:rPr>
          <w:rFonts w:ascii="Palatino Linotype" w:eastAsia="Palatino Linotype" w:hAnsi="Palatino Linotype" w:cs="Palatino Linotype"/>
          <w:color w:val="000000" w:themeColor="text1"/>
        </w:rPr>
        <w:t xml:space="preserve"> emite los siguientes:</w:t>
      </w:r>
    </w:p>
    <w:p w:rsidR="00F955E6" w:rsidRPr="00FA45F8" w:rsidRDefault="00F955E6" w:rsidP="00FA45F8">
      <w:pPr>
        <w:pStyle w:val="Prrafodelista"/>
        <w:spacing w:line="360" w:lineRule="auto"/>
        <w:ind w:left="0" w:right="49"/>
        <w:rPr>
          <w:rFonts w:ascii="Palatino Linotype" w:eastAsia="Palatino Linotype" w:hAnsi="Palatino Linotype" w:cs="Palatino Linotype"/>
          <w:color w:val="000000" w:themeColor="text1"/>
        </w:rPr>
      </w:pPr>
    </w:p>
    <w:p w:rsidR="008D0CF1" w:rsidRPr="00FA45F8" w:rsidRDefault="00402401" w:rsidP="00FA45F8">
      <w:pPr>
        <w:keepNext/>
        <w:keepLines/>
        <w:spacing w:line="360" w:lineRule="auto"/>
        <w:ind w:right="49"/>
        <w:jc w:val="center"/>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R E S O L U T I V O S</w:t>
      </w:r>
    </w:p>
    <w:p w:rsidR="008D0CF1" w:rsidRPr="00FA45F8" w:rsidRDefault="008D0CF1" w:rsidP="00FA45F8">
      <w:pPr>
        <w:keepNext/>
        <w:keepLines/>
        <w:spacing w:line="360" w:lineRule="auto"/>
        <w:ind w:right="49"/>
        <w:jc w:val="center"/>
        <w:rPr>
          <w:rFonts w:ascii="Palatino Linotype" w:eastAsia="Palatino Linotype" w:hAnsi="Palatino Linotype" w:cs="Palatino Linotype"/>
          <w:b/>
          <w:color w:val="000000" w:themeColor="text1"/>
        </w:rPr>
      </w:pPr>
    </w:p>
    <w:p w:rsidR="00CB217D" w:rsidRPr="00FA45F8" w:rsidRDefault="00CB217D" w:rsidP="00FA45F8">
      <w:pPr>
        <w:spacing w:line="360" w:lineRule="auto"/>
        <w:ind w:right="49"/>
        <w:jc w:val="both"/>
        <w:rPr>
          <w:rFonts w:ascii="Palatino Linotype" w:eastAsia="Palatino Linotype" w:hAnsi="Palatino Linotype" w:cs="Palatino Linotype"/>
          <w:color w:val="000000" w:themeColor="text1"/>
        </w:rPr>
      </w:pPr>
      <w:bookmarkStart w:id="7" w:name="_heading=h.17dp8vu" w:colFirst="0" w:colLast="0"/>
      <w:bookmarkEnd w:id="7"/>
      <w:r w:rsidRPr="00FA45F8">
        <w:rPr>
          <w:rFonts w:ascii="Palatino Linotype" w:eastAsia="Palatino Linotype" w:hAnsi="Palatino Linotype" w:cs="Palatino Linotype"/>
          <w:b/>
          <w:color w:val="000000" w:themeColor="text1"/>
        </w:rPr>
        <w:t>PRIMERO.</w:t>
      </w:r>
      <w:r w:rsidRPr="00FA45F8">
        <w:rPr>
          <w:rFonts w:ascii="Palatino Linotype" w:eastAsia="Palatino Linotype" w:hAnsi="Palatino Linotype" w:cs="Palatino Linotype"/>
          <w:color w:val="000000" w:themeColor="text1"/>
        </w:rPr>
        <w:t xml:space="preserve"> </w:t>
      </w:r>
      <w:r w:rsidR="000D3A25" w:rsidRPr="00FA45F8">
        <w:rPr>
          <w:rFonts w:ascii="Palatino Linotype" w:eastAsia="Palatino Linotype" w:hAnsi="Palatino Linotype" w:cs="Palatino Linotype"/>
          <w:color w:val="000000" w:themeColor="text1"/>
        </w:rPr>
        <w:t xml:space="preserve">Resultan fundadas las razones o motivos de inconformidad hechos valer en el Recurso de Revisión </w:t>
      </w:r>
      <w:r w:rsidR="000D3A25" w:rsidRPr="00FA45F8">
        <w:rPr>
          <w:rFonts w:ascii="Palatino Linotype" w:eastAsia="Palatino Linotype" w:hAnsi="Palatino Linotype" w:cs="Palatino Linotype"/>
          <w:b/>
          <w:color w:val="000000" w:themeColor="text1"/>
        </w:rPr>
        <w:t>11153/INFOEM/AD/RR/2025</w:t>
      </w:r>
      <w:r w:rsidR="000D3A25" w:rsidRPr="00FA45F8">
        <w:rPr>
          <w:rFonts w:ascii="Palatino Linotype" w:eastAsia="Palatino Linotype" w:hAnsi="Palatino Linotype" w:cs="Palatino Linotype"/>
          <w:color w:val="000000" w:themeColor="text1"/>
        </w:rPr>
        <w:t>,</w:t>
      </w:r>
      <w:r w:rsidR="000D3A25" w:rsidRPr="00FA45F8">
        <w:rPr>
          <w:rFonts w:ascii="Palatino Linotype" w:eastAsia="Palatino Linotype" w:hAnsi="Palatino Linotype" w:cs="Palatino Linotype"/>
          <w:b/>
          <w:color w:val="000000" w:themeColor="text1"/>
        </w:rPr>
        <w:t xml:space="preserve"> </w:t>
      </w:r>
      <w:r w:rsidR="000D3A25" w:rsidRPr="00FA45F8">
        <w:rPr>
          <w:rFonts w:ascii="Palatino Linotype" w:eastAsia="Palatino Linotype" w:hAnsi="Palatino Linotype" w:cs="Palatino Linotype"/>
          <w:color w:val="000000" w:themeColor="text1"/>
        </w:rPr>
        <w:t>en términos del Considerando Cuarto de la presente Resolución.</w:t>
      </w:r>
    </w:p>
    <w:p w:rsidR="00CB217D" w:rsidRPr="00FA45F8" w:rsidRDefault="00CB217D" w:rsidP="00FA45F8">
      <w:pPr>
        <w:spacing w:line="360" w:lineRule="auto"/>
        <w:ind w:right="49"/>
        <w:jc w:val="both"/>
        <w:rPr>
          <w:rFonts w:ascii="Palatino Linotype" w:eastAsia="Palatino Linotype" w:hAnsi="Palatino Linotype" w:cs="Palatino Linotype"/>
          <w:color w:val="000000" w:themeColor="text1"/>
        </w:rPr>
      </w:pPr>
    </w:p>
    <w:p w:rsidR="00CB217D" w:rsidRPr="00FA45F8" w:rsidRDefault="00CB217D" w:rsidP="00FA45F8">
      <w:pPr>
        <w:spacing w:line="360" w:lineRule="auto"/>
        <w:ind w:right="49"/>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b/>
          <w:color w:val="000000" w:themeColor="text1"/>
        </w:rPr>
        <w:lastRenderedPageBreak/>
        <w:t xml:space="preserve">SEGUNDO. </w:t>
      </w:r>
      <w:r w:rsidRPr="00FA45F8">
        <w:rPr>
          <w:rFonts w:ascii="Palatino Linotype" w:eastAsia="Palatino Linotype" w:hAnsi="Palatino Linotype" w:cs="Palatino Linotype"/>
          <w:color w:val="000000" w:themeColor="text1"/>
        </w:rPr>
        <w:t>Se</w:t>
      </w:r>
      <w:r w:rsidRPr="00FA45F8">
        <w:rPr>
          <w:rFonts w:ascii="Palatino Linotype" w:eastAsia="Palatino Linotype" w:hAnsi="Palatino Linotype" w:cs="Palatino Linotype"/>
          <w:b/>
          <w:color w:val="000000" w:themeColor="text1"/>
        </w:rPr>
        <w:t xml:space="preserve"> </w:t>
      </w:r>
      <w:r w:rsidR="00B33DBF" w:rsidRPr="00FA45F8">
        <w:rPr>
          <w:rFonts w:ascii="Palatino Linotype" w:eastAsia="Palatino Linotype" w:hAnsi="Palatino Linotype" w:cs="Palatino Linotype"/>
          <w:b/>
          <w:color w:val="000000" w:themeColor="text1"/>
        </w:rPr>
        <w:t xml:space="preserve">MODIFICA </w:t>
      </w:r>
      <w:r w:rsidR="00B33DBF" w:rsidRPr="00FA45F8">
        <w:rPr>
          <w:rFonts w:ascii="Palatino Linotype" w:eastAsia="Palatino Linotype" w:hAnsi="Palatino Linotype" w:cs="Palatino Linotype"/>
          <w:color w:val="000000" w:themeColor="text1"/>
        </w:rPr>
        <w:t>la respuesta y se</w:t>
      </w:r>
      <w:r w:rsidR="00B33DBF" w:rsidRPr="00FA45F8">
        <w:rPr>
          <w:rFonts w:ascii="Palatino Linotype" w:eastAsia="Palatino Linotype" w:hAnsi="Palatino Linotype" w:cs="Palatino Linotype"/>
          <w:b/>
          <w:color w:val="000000" w:themeColor="text1"/>
        </w:rPr>
        <w:t xml:space="preserve"> </w:t>
      </w:r>
      <w:r w:rsidRPr="00FA45F8">
        <w:rPr>
          <w:rFonts w:ascii="Palatino Linotype" w:eastAsia="Palatino Linotype" w:hAnsi="Palatino Linotype" w:cs="Palatino Linotype"/>
          <w:b/>
          <w:color w:val="000000" w:themeColor="text1"/>
        </w:rPr>
        <w:t xml:space="preserve">ORDENA </w:t>
      </w:r>
      <w:r w:rsidRPr="00FA45F8">
        <w:rPr>
          <w:rFonts w:ascii="Palatino Linotype" w:eastAsia="Palatino Linotype" w:hAnsi="Palatino Linotype" w:cs="Palatino Linotype"/>
          <w:color w:val="000000" w:themeColor="text1"/>
        </w:rPr>
        <w:t xml:space="preserve">al </w:t>
      </w:r>
      <w:r w:rsidR="00571DB3" w:rsidRPr="00FA45F8">
        <w:rPr>
          <w:rFonts w:ascii="Palatino Linotype" w:eastAsia="Palatino Linotype" w:hAnsi="Palatino Linotype" w:cs="Palatino Linotype"/>
          <w:b/>
          <w:color w:val="000000" w:themeColor="text1"/>
        </w:rPr>
        <w:t>SUJETO OBLIGADO</w:t>
      </w:r>
      <w:r w:rsidR="00571DB3" w:rsidRPr="00FA45F8">
        <w:rPr>
          <w:rFonts w:ascii="Palatino Linotype" w:eastAsia="Palatino Linotype" w:hAnsi="Palatino Linotype" w:cs="Palatino Linotype"/>
          <w:color w:val="000000" w:themeColor="text1"/>
        </w:rPr>
        <w:t xml:space="preserve"> </w:t>
      </w:r>
      <w:r w:rsidRPr="00FA45F8">
        <w:rPr>
          <w:rFonts w:ascii="Palatino Linotype" w:eastAsia="Palatino Linotype" w:hAnsi="Palatino Linotype" w:cs="Palatino Linotype"/>
          <w:color w:val="000000" w:themeColor="text1"/>
        </w:rPr>
        <w:t xml:space="preserve">que en términos del </w:t>
      </w:r>
      <w:r w:rsidRPr="00FA45F8">
        <w:rPr>
          <w:rFonts w:ascii="Palatino Linotype" w:eastAsia="Palatino Linotype" w:hAnsi="Palatino Linotype" w:cs="Palatino Linotype"/>
          <w:b/>
          <w:color w:val="000000" w:themeColor="text1"/>
        </w:rPr>
        <w:t xml:space="preserve">Considerando CUARTO </w:t>
      </w:r>
      <w:r w:rsidRPr="00FA45F8">
        <w:rPr>
          <w:rFonts w:ascii="Palatino Linotype" w:eastAsia="Palatino Linotype" w:hAnsi="Palatino Linotype" w:cs="Palatino Linotype"/>
          <w:color w:val="000000" w:themeColor="text1"/>
        </w:rPr>
        <w:t xml:space="preserve">de la presente Resolución; entregue a través de </w:t>
      </w:r>
      <w:r w:rsidR="00116107" w:rsidRPr="00FA45F8">
        <w:rPr>
          <w:rFonts w:ascii="Palatino Linotype" w:eastAsia="Palatino Linotype" w:hAnsi="Palatino Linotype" w:cs="Palatino Linotype"/>
          <w:b/>
          <w:color w:val="000000" w:themeColor="text1"/>
        </w:rPr>
        <w:t>c</w:t>
      </w:r>
      <w:r w:rsidRPr="00FA45F8">
        <w:rPr>
          <w:rFonts w:ascii="Palatino Linotype" w:eastAsia="Palatino Linotype" w:hAnsi="Palatino Linotype" w:cs="Palatino Linotype"/>
          <w:b/>
          <w:color w:val="000000" w:themeColor="text1"/>
        </w:rPr>
        <w:t xml:space="preserve">opias certificadas </w:t>
      </w:r>
      <w:r w:rsidR="000D3A25" w:rsidRPr="00FA45F8">
        <w:rPr>
          <w:rFonts w:ascii="Palatino Linotype" w:eastAsia="Palatino Linotype" w:hAnsi="Palatino Linotype" w:cs="Palatino Linotype"/>
          <w:b/>
          <w:color w:val="000000" w:themeColor="text1"/>
        </w:rPr>
        <w:t>sin</w:t>
      </w:r>
      <w:r w:rsidRPr="00FA45F8">
        <w:rPr>
          <w:rFonts w:ascii="Palatino Linotype" w:eastAsia="Palatino Linotype" w:hAnsi="Palatino Linotype" w:cs="Palatino Linotype"/>
          <w:b/>
          <w:color w:val="000000" w:themeColor="text1"/>
        </w:rPr>
        <w:t xml:space="preserve"> costo</w:t>
      </w:r>
      <w:r w:rsidR="00116107" w:rsidRPr="00FA45F8">
        <w:rPr>
          <w:rFonts w:ascii="Palatino Linotype" w:eastAsia="Palatino Linotype" w:hAnsi="Palatino Linotype" w:cs="Palatino Linotype"/>
          <w:color w:val="000000" w:themeColor="text1"/>
        </w:rPr>
        <w:t>,</w:t>
      </w:r>
      <w:r w:rsidR="00571DB3" w:rsidRPr="00FA45F8">
        <w:rPr>
          <w:rFonts w:ascii="Palatino Linotype" w:eastAsia="Palatino Linotype" w:hAnsi="Palatino Linotype" w:cs="Palatino Linotype"/>
          <w:color w:val="000000" w:themeColor="text1"/>
        </w:rPr>
        <w:t xml:space="preserve"> </w:t>
      </w:r>
      <w:r w:rsidRPr="00FA45F8">
        <w:rPr>
          <w:rFonts w:ascii="Palatino Linotype" w:eastAsia="Palatino Linotype" w:hAnsi="Palatino Linotype" w:cs="Palatino Linotype"/>
          <w:color w:val="000000" w:themeColor="text1"/>
        </w:rPr>
        <w:t>la siguiente información</w:t>
      </w:r>
      <w:r w:rsidR="00571DB3" w:rsidRPr="00FA45F8">
        <w:rPr>
          <w:rFonts w:ascii="Palatino Linotype" w:eastAsia="Palatino Linotype" w:hAnsi="Palatino Linotype" w:cs="Palatino Linotype"/>
          <w:color w:val="000000" w:themeColor="text1"/>
        </w:rPr>
        <w:t xml:space="preserve"> previa acreditación de identidad</w:t>
      </w:r>
      <w:r w:rsidRPr="00FA45F8">
        <w:rPr>
          <w:rFonts w:ascii="Palatino Linotype" w:eastAsia="Palatino Linotype" w:hAnsi="Palatino Linotype" w:cs="Palatino Linotype"/>
          <w:color w:val="000000" w:themeColor="text1"/>
        </w:rPr>
        <w:t xml:space="preserve">: </w:t>
      </w:r>
    </w:p>
    <w:p w:rsidR="00CB217D" w:rsidRPr="00FA45F8" w:rsidRDefault="00CB217D" w:rsidP="00FA45F8">
      <w:pPr>
        <w:spacing w:line="360" w:lineRule="auto"/>
        <w:ind w:right="49"/>
        <w:jc w:val="both"/>
        <w:rPr>
          <w:rFonts w:ascii="Palatino Linotype" w:eastAsia="Palatino Linotype" w:hAnsi="Palatino Linotype" w:cs="Palatino Linotype"/>
          <w:color w:val="000000" w:themeColor="text1"/>
        </w:rPr>
      </w:pPr>
    </w:p>
    <w:p w:rsidR="00CB217D" w:rsidRPr="00FA45F8" w:rsidRDefault="00116107" w:rsidP="00FA45F8">
      <w:pPr>
        <w:pStyle w:val="Prrafodelista"/>
        <w:numPr>
          <w:ilvl w:val="0"/>
          <w:numId w:val="20"/>
        </w:numPr>
        <w:pBdr>
          <w:top w:val="nil"/>
          <w:left w:val="nil"/>
          <w:bottom w:val="nil"/>
          <w:right w:val="nil"/>
          <w:between w:val="nil"/>
        </w:pBdr>
        <w:tabs>
          <w:tab w:val="left" w:pos="993"/>
        </w:tabs>
        <w:spacing w:line="360" w:lineRule="auto"/>
        <w:ind w:left="0" w:right="49" w:firstLine="0"/>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Aviso de movimiento de baja de la persona titular de los datos personales referida en la Solicitud de Acceso a Datos 01106/ISSEMYM/AD/2025, de fecha 31 de marzo de 2020.</w:t>
      </w:r>
    </w:p>
    <w:p w:rsidR="000D3A25" w:rsidRPr="00FA45F8" w:rsidRDefault="000D3A25" w:rsidP="00FA45F8">
      <w:pPr>
        <w:widowControl w:val="0"/>
        <w:tabs>
          <w:tab w:val="left" w:pos="1701"/>
        </w:tabs>
        <w:spacing w:line="360" w:lineRule="auto"/>
        <w:ind w:right="49"/>
        <w:jc w:val="both"/>
        <w:rPr>
          <w:rFonts w:ascii="Palatino Linotype" w:eastAsia="Palatino Linotype" w:hAnsi="Palatino Linotype" w:cs="Palatino Linotype"/>
          <w:i/>
          <w:color w:val="000000" w:themeColor="text1"/>
        </w:rPr>
      </w:pPr>
    </w:p>
    <w:p w:rsidR="000D3A25" w:rsidRPr="00FA45F8" w:rsidRDefault="000D3A25" w:rsidP="00FA45F8">
      <w:pPr>
        <w:tabs>
          <w:tab w:val="left" w:pos="8080"/>
        </w:tabs>
        <w:spacing w:line="360" w:lineRule="auto"/>
        <w:ind w:right="49"/>
        <w:jc w:val="both"/>
        <w:rPr>
          <w:rFonts w:ascii="Palatino Linotype" w:hAnsi="Palatino Linotype" w:cs="Arial"/>
          <w:color w:val="000000" w:themeColor="text1"/>
        </w:rPr>
      </w:pPr>
      <w:r w:rsidRPr="00FA45F8">
        <w:rPr>
          <w:rFonts w:ascii="Palatino Linotype" w:eastAsia="Palatino Linotype" w:hAnsi="Palatino Linotype" w:cs="Palatino Linotype"/>
          <w:color w:val="000000" w:themeColor="text1"/>
        </w:rPr>
        <w:t xml:space="preserve">Para la entrega de la información el </w:t>
      </w:r>
      <w:r w:rsidRPr="00FA45F8">
        <w:rPr>
          <w:rFonts w:ascii="Palatino Linotype" w:eastAsia="Palatino Linotype" w:hAnsi="Palatino Linotype" w:cs="Palatino Linotype"/>
          <w:b/>
          <w:color w:val="000000" w:themeColor="text1"/>
        </w:rPr>
        <w:t>SUJETO OBLIGADO</w:t>
      </w:r>
      <w:r w:rsidRPr="00FA45F8">
        <w:rPr>
          <w:rFonts w:ascii="Palatino Linotype" w:eastAsia="Palatino Linotype" w:hAnsi="Palatino Linotype" w:cs="Palatino Linotype"/>
          <w:color w:val="000000" w:themeColor="text1"/>
        </w:rPr>
        <w:t xml:space="preserve"> deberá notificar a la </w:t>
      </w:r>
      <w:r w:rsidRPr="00FA45F8">
        <w:rPr>
          <w:rFonts w:ascii="Palatino Linotype" w:eastAsia="Palatino Linotype" w:hAnsi="Palatino Linotype" w:cs="Palatino Linotype"/>
          <w:b/>
          <w:color w:val="000000" w:themeColor="text1"/>
        </w:rPr>
        <w:t>RECURRENTE</w:t>
      </w:r>
      <w:r w:rsidRPr="00FA45F8">
        <w:rPr>
          <w:rFonts w:ascii="Palatino Linotype" w:eastAsia="Palatino Linotype" w:hAnsi="Palatino Linotype" w:cs="Palatino Linotype"/>
          <w:color w:val="000000" w:themeColor="text1"/>
        </w:rPr>
        <w:t xml:space="preserve"> a través del </w:t>
      </w:r>
      <w:r w:rsidRPr="00FA45F8">
        <w:rPr>
          <w:rFonts w:ascii="Palatino Linotype" w:eastAsia="Palatino Linotype" w:hAnsi="Palatino Linotype" w:cs="Palatino Linotype"/>
          <w:b/>
          <w:color w:val="000000" w:themeColor="text1"/>
        </w:rPr>
        <w:t>SARCOEM</w:t>
      </w:r>
      <w:r w:rsidRPr="00FA45F8">
        <w:rPr>
          <w:rFonts w:ascii="Palatino Linotype" w:eastAsia="Palatino Linotype" w:hAnsi="Palatino Linotype" w:cs="Palatino Linotype"/>
          <w:color w:val="000000" w:themeColor="text1"/>
        </w:rPr>
        <w:t xml:space="preserve"> el procedimiento para la entrega de los datos personales, lugar, día y horarios en los que podrá presentarse a recoger las copias certificadas y el nombre de</w:t>
      </w:r>
      <w:r w:rsidR="00294284" w:rsidRPr="00FA45F8">
        <w:rPr>
          <w:rFonts w:ascii="Palatino Linotype" w:eastAsia="Palatino Linotype" w:hAnsi="Palatino Linotype" w:cs="Palatino Linotype"/>
          <w:color w:val="000000" w:themeColor="text1"/>
        </w:rPr>
        <w:t xml:space="preserve"> e</w:t>
      </w:r>
      <w:r w:rsidRPr="00FA45F8">
        <w:rPr>
          <w:rFonts w:ascii="Palatino Linotype" w:eastAsia="Palatino Linotype" w:hAnsi="Palatino Linotype" w:cs="Palatino Linotype"/>
          <w:color w:val="000000" w:themeColor="text1"/>
        </w:rPr>
        <w:t>l o los servidores públicos que le atenderán</w:t>
      </w:r>
      <w:r w:rsidRPr="00FA45F8">
        <w:rPr>
          <w:rFonts w:ascii="Palatino Linotype" w:eastAsia="MS Mincho" w:hAnsi="Palatino Linotype" w:cs="Times New Roman"/>
          <w:color w:val="000000" w:themeColor="text1"/>
          <w:shd w:val="clear" w:color="auto" w:fill="FFFFFF"/>
        </w:rPr>
        <w:t>, así como el periodo durante el cual quedará a su disposición la documentación conforme a lo dispuesto por el artículo 118 de la Ley de Protección de Datos Personales en Posesión de Sujetos Obligados del Estado de México y Municipios.  </w:t>
      </w:r>
    </w:p>
    <w:p w:rsidR="000D3A25" w:rsidRPr="00FA45F8" w:rsidRDefault="000D3A25" w:rsidP="00FA45F8">
      <w:pPr>
        <w:widowControl w:val="0"/>
        <w:tabs>
          <w:tab w:val="left" w:pos="1701"/>
        </w:tabs>
        <w:spacing w:line="360" w:lineRule="auto"/>
        <w:ind w:right="49"/>
        <w:jc w:val="both"/>
        <w:rPr>
          <w:rFonts w:ascii="Palatino Linotype" w:eastAsia="Palatino Linotype" w:hAnsi="Palatino Linotype" w:cs="Palatino Linotype"/>
          <w:i/>
          <w:color w:val="000000" w:themeColor="text1"/>
        </w:rPr>
      </w:pPr>
    </w:p>
    <w:p w:rsidR="00CB217D" w:rsidRPr="00FA45F8" w:rsidRDefault="00CB217D" w:rsidP="00FA45F8">
      <w:pPr>
        <w:spacing w:line="360" w:lineRule="auto"/>
        <w:ind w:right="49"/>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b/>
          <w:color w:val="000000" w:themeColor="text1"/>
        </w:rPr>
        <w:t xml:space="preserve">TERCERO. Notifíquese </w:t>
      </w:r>
      <w:r w:rsidRPr="00FA45F8">
        <w:rPr>
          <w:rFonts w:ascii="Palatino Linotype" w:eastAsia="Palatino Linotype" w:hAnsi="Palatino Linotype" w:cs="Palatino Linotype"/>
          <w:color w:val="000000" w:themeColor="text1"/>
        </w:rPr>
        <w:t xml:space="preserve">a través de </w:t>
      </w:r>
      <w:r w:rsidRPr="00FA45F8">
        <w:rPr>
          <w:rFonts w:ascii="Palatino Linotype" w:eastAsia="Palatino Linotype" w:hAnsi="Palatino Linotype" w:cs="Palatino Linotype"/>
          <w:b/>
          <w:color w:val="000000" w:themeColor="text1"/>
        </w:rPr>
        <w:t>SARCOEM</w:t>
      </w:r>
      <w:r w:rsidRPr="00FA45F8">
        <w:rPr>
          <w:rFonts w:ascii="Palatino Linotype" w:eastAsia="Palatino Linotype" w:hAnsi="Palatino Linotype" w:cs="Palatino Linotype"/>
          <w:b/>
          <w:i/>
          <w:color w:val="000000" w:themeColor="text1"/>
        </w:rPr>
        <w:t xml:space="preserve"> </w:t>
      </w:r>
      <w:r w:rsidRPr="00FA45F8">
        <w:rPr>
          <w:rFonts w:ascii="Palatino Linotype" w:eastAsia="Palatino Linotype" w:hAnsi="Palatino Linotype" w:cs="Palatino Linotype"/>
          <w:color w:val="000000" w:themeColor="text1"/>
        </w:rPr>
        <w:t xml:space="preserve">la presente Resolución al Titular de la Unidad de Transparencia del Sujeto Obligado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w:t>
      </w:r>
      <w:r w:rsidRPr="00AA618A">
        <w:rPr>
          <w:rFonts w:ascii="Palatino Linotype" w:eastAsia="Palatino Linotype" w:hAnsi="Palatino Linotype" w:cs="Palatino Linotype"/>
          <w:b/>
          <w:color w:val="000000" w:themeColor="text1"/>
        </w:rPr>
        <w:t xml:space="preserve">dé cumplimiento a lo ordenado dentro del plazo de diez días hábiles, </w:t>
      </w:r>
      <w:r w:rsidRPr="00FA45F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resolución.; y se le apercibe que, en caso de negarse a </w:t>
      </w:r>
      <w:r w:rsidRPr="00FA45F8">
        <w:rPr>
          <w:rFonts w:ascii="Palatino Linotype" w:eastAsia="Palatino Linotype" w:hAnsi="Palatino Linotype" w:cs="Palatino Linotype"/>
          <w:color w:val="000000" w:themeColor="text1"/>
        </w:rPr>
        <w:lastRenderedPageBreak/>
        <w:t>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CB217D" w:rsidRPr="00FA45F8" w:rsidRDefault="00CB217D" w:rsidP="00FA45F8">
      <w:pPr>
        <w:spacing w:line="360" w:lineRule="auto"/>
        <w:ind w:right="49"/>
        <w:jc w:val="both"/>
        <w:rPr>
          <w:rFonts w:ascii="Palatino Linotype" w:eastAsia="Palatino Linotype" w:hAnsi="Palatino Linotype" w:cs="Palatino Linotype"/>
          <w:color w:val="000000" w:themeColor="text1"/>
        </w:rPr>
      </w:pPr>
    </w:p>
    <w:p w:rsidR="00CB217D" w:rsidRPr="00FA45F8" w:rsidRDefault="00CB217D" w:rsidP="00FA45F8">
      <w:pPr>
        <w:spacing w:line="360" w:lineRule="auto"/>
        <w:ind w:right="49"/>
        <w:jc w:val="both"/>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 xml:space="preserve">CUARTO. Notifíquese </w:t>
      </w:r>
      <w:r w:rsidRPr="00FA45F8">
        <w:rPr>
          <w:rFonts w:ascii="Palatino Linotype" w:eastAsia="Palatino Linotype" w:hAnsi="Palatino Linotype" w:cs="Palatino Linotype"/>
          <w:color w:val="000000" w:themeColor="text1"/>
        </w:rPr>
        <w:t xml:space="preserve">a la </w:t>
      </w:r>
      <w:r w:rsidRPr="00FA45F8">
        <w:rPr>
          <w:rFonts w:ascii="Palatino Linotype" w:eastAsia="Palatino Linotype" w:hAnsi="Palatino Linotype" w:cs="Palatino Linotype"/>
          <w:b/>
          <w:color w:val="000000" w:themeColor="text1"/>
        </w:rPr>
        <w:t>RECURRENTE</w:t>
      </w:r>
      <w:r w:rsidRPr="00FA45F8">
        <w:rPr>
          <w:rFonts w:ascii="Palatino Linotype" w:eastAsia="Palatino Linotype" w:hAnsi="Palatino Linotype" w:cs="Palatino Linotype"/>
          <w:color w:val="000000" w:themeColor="text1"/>
        </w:rPr>
        <w:t xml:space="preserve"> la presente Resolución vía </w:t>
      </w:r>
      <w:r w:rsidRPr="00FA45F8">
        <w:rPr>
          <w:rFonts w:ascii="Palatino Linotype" w:eastAsia="Palatino Linotype" w:hAnsi="Palatino Linotype" w:cs="Palatino Linotype"/>
          <w:b/>
          <w:color w:val="000000" w:themeColor="text1"/>
        </w:rPr>
        <w:t>SARCOEM</w:t>
      </w:r>
      <w:r w:rsidR="00571DB3" w:rsidRPr="00FA45F8">
        <w:rPr>
          <w:rFonts w:ascii="Palatino Linotype" w:eastAsia="Palatino Linotype" w:hAnsi="Palatino Linotype" w:cs="Palatino Linotype"/>
          <w:b/>
          <w:color w:val="000000" w:themeColor="text1"/>
        </w:rPr>
        <w:t>.</w:t>
      </w:r>
    </w:p>
    <w:p w:rsidR="00CB217D" w:rsidRPr="00FA45F8" w:rsidRDefault="00CB217D" w:rsidP="00FA45F8">
      <w:pPr>
        <w:spacing w:line="360" w:lineRule="auto"/>
        <w:ind w:right="49"/>
        <w:jc w:val="both"/>
        <w:rPr>
          <w:rFonts w:ascii="Palatino Linotype" w:eastAsia="Palatino Linotype" w:hAnsi="Palatino Linotype" w:cs="Palatino Linotype"/>
          <w:b/>
          <w:color w:val="000000" w:themeColor="text1"/>
        </w:rPr>
      </w:pPr>
    </w:p>
    <w:p w:rsidR="00CB217D" w:rsidRPr="00FA45F8" w:rsidRDefault="00CB217D" w:rsidP="00FA45F8">
      <w:pPr>
        <w:spacing w:line="360" w:lineRule="auto"/>
        <w:ind w:right="49"/>
        <w:jc w:val="both"/>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b/>
          <w:color w:val="000000" w:themeColor="text1"/>
        </w:rPr>
        <w:t xml:space="preserve">QUINTO. </w:t>
      </w:r>
      <w:r w:rsidRPr="00FA45F8">
        <w:rPr>
          <w:rFonts w:ascii="Palatino Linotype" w:eastAsia="Palatino Linotype" w:hAnsi="Palatino Linotype" w:cs="Palatino Linotype"/>
          <w:color w:val="000000" w:themeColor="text1"/>
        </w:rPr>
        <w:t xml:space="preserve">Se hace del conocimiento de la </w:t>
      </w:r>
      <w:r w:rsidRPr="00FA45F8">
        <w:rPr>
          <w:rFonts w:ascii="Palatino Linotype" w:eastAsia="Palatino Linotype" w:hAnsi="Palatino Linotype" w:cs="Palatino Linotype"/>
          <w:b/>
          <w:color w:val="000000" w:themeColor="text1"/>
        </w:rPr>
        <w:t>RECURRENTE</w:t>
      </w:r>
      <w:r w:rsidRPr="00FA45F8">
        <w:rPr>
          <w:rFonts w:ascii="Palatino Linotype" w:eastAsia="Palatino Linotype" w:hAnsi="Palatino Linotype" w:cs="Palatino Linotype"/>
          <w:color w:val="000000" w:themeColor="text1"/>
        </w:rPr>
        <w:t xml:space="preserve"> que en caso de considerar que le causa algún perjuicio, podrá promover el Juicio de Amparo en los términos de las leyes aplicables, de acuerdo con lo estipulado por el artículo 142 de la Ley de Protección de Datos Personales en Posesión de Sujetos Obligados del Estado de México y Municipios.</w:t>
      </w: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BD5D68" w:rsidRPr="00444783" w:rsidRDefault="00BD5D68" w:rsidP="00BD5D6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AC6419">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MARÍA DEL ROSARIO MEJÍA AYALA, SHARON CRISTINA MORALES MARTÍNEZ, LUIS GUSTAVO PARRA NORIEGA Y GUADALUPE RAMÍREZ PEÑA</w:t>
      </w:r>
      <w:r w:rsidR="00AC6419">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8D0CF1" w:rsidRPr="00FA45F8" w:rsidRDefault="008D0CF1" w:rsidP="00FA45F8">
      <w:pPr>
        <w:spacing w:line="360" w:lineRule="auto"/>
        <w:ind w:right="49"/>
        <w:jc w:val="both"/>
        <w:rPr>
          <w:rFonts w:ascii="Palatino Linotype" w:eastAsia="Palatino Linotype" w:hAnsi="Palatino Linotype" w:cs="Palatino Linotype"/>
          <w:color w:val="000000" w:themeColor="text1"/>
        </w:rPr>
      </w:pPr>
    </w:p>
    <w:p w:rsidR="00565957" w:rsidRPr="00FA45F8" w:rsidRDefault="00565957" w:rsidP="00FA45F8">
      <w:pPr>
        <w:spacing w:line="360" w:lineRule="auto"/>
        <w:ind w:right="49"/>
        <w:jc w:val="both"/>
        <w:rPr>
          <w:rFonts w:ascii="Palatino Linotype" w:eastAsia="Palatino Linotype" w:hAnsi="Palatino Linotype" w:cs="Palatino Linotype"/>
          <w:color w:val="000000" w:themeColor="text1"/>
        </w:rPr>
      </w:pPr>
    </w:p>
    <w:sectPr w:rsidR="00565957" w:rsidRPr="00FA45F8" w:rsidSect="0056127E">
      <w:headerReference w:type="even" r:id="rId9"/>
      <w:headerReference w:type="default" r:id="rId10"/>
      <w:footerReference w:type="default" r:id="rId11"/>
      <w:headerReference w:type="first" r:id="rId12"/>
      <w:footerReference w:type="first" r:id="rId13"/>
      <w:pgSz w:w="12240" w:h="15840"/>
      <w:pgMar w:top="2268" w:right="758"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9E8" w:rsidRDefault="004339E8">
      <w:r>
        <w:separator/>
      </w:r>
    </w:p>
  </w:endnote>
  <w:endnote w:type="continuationSeparator" w:id="0">
    <w:p w:rsidR="004339E8" w:rsidRDefault="0043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BF" w:rsidRPr="0056127E" w:rsidRDefault="00B33DBF">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2"/>
      </w:rPr>
    </w:pPr>
    <w:r w:rsidRPr="0056127E">
      <w:rPr>
        <w:rFonts w:ascii="Palatino Linotype" w:eastAsia="Palatino Linotype" w:hAnsi="Palatino Linotype" w:cs="Palatino Linotype"/>
        <w:b/>
        <w:color w:val="000000"/>
        <w:sz w:val="22"/>
        <w:szCs w:val="22"/>
      </w:rPr>
      <w:t xml:space="preserve">Página </w:t>
    </w:r>
    <w:r w:rsidRPr="0056127E">
      <w:rPr>
        <w:rFonts w:ascii="Palatino Linotype" w:eastAsia="Palatino Linotype" w:hAnsi="Palatino Linotype" w:cs="Palatino Linotype"/>
        <w:b/>
        <w:color w:val="000000"/>
        <w:sz w:val="22"/>
        <w:szCs w:val="22"/>
      </w:rPr>
      <w:fldChar w:fldCharType="begin"/>
    </w:r>
    <w:r w:rsidRPr="0056127E">
      <w:rPr>
        <w:rFonts w:ascii="Palatino Linotype" w:eastAsia="Palatino Linotype" w:hAnsi="Palatino Linotype" w:cs="Palatino Linotype"/>
        <w:b/>
        <w:color w:val="000000"/>
        <w:sz w:val="22"/>
        <w:szCs w:val="22"/>
      </w:rPr>
      <w:instrText>PAGE</w:instrText>
    </w:r>
    <w:r w:rsidRPr="0056127E">
      <w:rPr>
        <w:rFonts w:ascii="Palatino Linotype" w:eastAsia="Palatino Linotype" w:hAnsi="Palatino Linotype" w:cs="Palatino Linotype"/>
        <w:b/>
        <w:color w:val="000000"/>
        <w:sz w:val="22"/>
        <w:szCs w:val="22"/>
      </w:rPr>
      <w:fldChar w:fldCharType="separate"/>
    </w:r>
    <w:r w:rsidR="00A12EA9">
      <w:rPr>
        <w:rFonts w:ascii="Palatino Linotype" w:eastAsia="Palatino Linotype" w:hAnsi="Palatino Linotype" w:cs="Palatino Linotype"/>
        <w:b/>
        <w:noProof/>
        <w:color w:val="000000"/>
        <w:sz w:val="22"/>
        <w:szCs w:val="22"/>
      </w:rPr>
      <w:t>21</w:t>
    </w:r>
    <w:r w:rsidRPr="0056127E">
      <w:rPr>
        <w:rFonts w:ascii="Palatino Linotype" w:eastAsia="Palatino Linotype" w:hAnsi="Palatino Linotype" w:cs="Palatino Linotype"/>
        <w:b/>
        <w:color w:val="000000"/>
        <w:sz w:val="22"/>
        <w:szCs w:val="22"/>
      </w:rPr>
      <w:fldChar w:fldCharType="end"/>
    </w:r>
    <w:r w:rsidRPr="0056127E">
      <w:rPr>
        <w:rFonts w:ascii="Palatino Linotype" w:eastAsia="Palatino Linotype" w:hAnsi="Palatino Linotype" w:cs="Palatino Linotype"/>
        <w:b/>
        <w:color w:val="000000"/>
        <w:sz w:val="22"/>
        <w:szCs w:val="22"/>
      </w:rPr>
      <w:t xml:space="preserve"> de </w:t>
    </w:r>
    <w:r w:rsidRPr="0056127E">
      <w:rPr>
        <w:rFonts w:ascii="Palatino Linotype" w:eastAsia="Palatino Linotype" w:hAnsi="Palatino Linotype" w:cs="Palatino Linotype"/>
        <w:b/>
        <w:color w:val="000000"/>
        <w:sz w:val="22"/>
        <w:szCs w:val="22"/>
      </w:rPr>
      <w:fldChar w:fldCharType="begin"/>
    </w:r>
    <w:r w:rsidRPr="0056127E">
      <w:rPr>
        <w:rFonts w:ascii="Palatino Linotype" w:eastAsia="Palatino Linotype" w:hAnsi="Palatino Linotype" w:cs="Palatino Linotype"/>
        <w:b/>
        <w:color w:val="000000"/>
        <w:sz w:val="22"/>
        <w:szCs w:val="22"/>
      </w:rPr>
      <w:instrText>NUMPAGES</w:instrText>
    </w:r>
    <w:r w:rsidRPr="0056127E">
      <w:rPr>
        <w:rFonts w:ascii="Palatino Linotype" w:eastAsia="Palatino Linotype" w:hAnsi="Palatino Linotype" w:cs="Palatino Linotype"/>
        <w:b/>
        <w:color w:val="000000"/>
        <w:sz w:val="22"/>
        <w:szCs w:val="22"/>
      </w:rPr>
      <w:fldChar w:fldCharType="separate"/>
    </w:r>
    <w:r w:rsidR="00A12EA9">
      <w:rPr>
        <w:rFonts w:ascii="Palatino Linotype" w:eastAsia="Palatino Linotype" w:hAnsi="Palatino Linotype" w:cs="Palatino Linotype"/>
        <w:b/>
        <w:noProof/>
        <w:color w:val="000000"/>
        <w:sz w:val="22"/>
        <w:szCs w:val="22"/>
      </w:rPr>
      <w:t>22</w:t>
    </w:r>
    <w:r w:rsidRPr="0056127E">
      <w:rPr>
        <w:rFonts w:ascii="Palatino Linotype" w:eastAsia="Palatino Linotype" w:hAnsi="Palatino Linotype" w:cs="Palatino Linotype"/>
        <w:b/>
        <w:color w:val="000000"/>
        <w:sz w:val="22"/>
        <w:szCs w:val="22"/>
      </w:rPr>
      <w:fldChar w:fldCharType="end"/>
    </w:r>
  </w:p>
  <w:p w:rsidR="00B33DBF" w:rsidRDefault="00B33DB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BF" w:rsidRPr="0056127E" w:rsidRDefault="00B33DBF">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56127E">
      <w:rPr>
        <w:rFonts w:ascii="Palatino Linotype" w:eastAsia="Palatino Linotype" w:hAnsi="Palatino Linotype" w:cs="Palatino Linotype"/>
        <w:b/>
        <w:color w:val="000000"/>
        <w:sz w:val="22"/>
        <w:szCs w:val="20"/>
      </w:rPr>
      <w:t xml:space="preserve">Página </w:t>
    </w:r>
    <w:r w:rsidRPr="0056127E">
      <w:rPr>
        <w:rFonts w:ascii="Palatino Linotype" w:eastAsia="Palatino Linotype" w:hAnsi="Palatino Linotype" w:cs="Palatino Linotype"/>
        <w:b/>
        <w:color w:val="000000"/>
        <w:sz w:val="22"/>
        <w:szCs w:val="20"/>
      </w:rPr>
      <w:fldChar w:fldCharType="begin"/>
    </w:r>
    <w:r w:rsidRPr="0056127E">
      <w:rPr>
        <w:rFonts w:ascii="Palatino Linotype" w:eastAsia="Palatino Linotype" w:hAnsi="Palatino Linotype" w:cs="Palatino Linotype"/>
        <w:b/>
        <w:color w:val="000000"/>
        <w:sz w:val="22"/>
        <w:szCs w:val="20"/>
      </w:rPr>
      <w:instrText>PAGE</w:instrText>
    </w:r>
    <w:r w:rsidRPr="0056127E">
      <w:rPr>
        <w:rFonts w:ascii="Palatino Linotype" w:eastAsia="Palatino Linotype" w:hAnsi="Palatino Linotype" w:cs="Palatino Linotype"/>
        <w:b/>
        <w:color w:val="000000"/>
        <w:sz w:val="22"/>
        <w:szCs w:val="20"/>
      </w:rPr>
      <w:fldChar w:fldCharType="separate"/>
    </w:r>
    <w:r w:rsidR="00A12EA9">
      <w:rPr>
        <w:rFonts w:ascii="Palatino Linotype" w:eastAsia="Palatino Linotype" w:hAnsi="Palatino Linotype" w:cs="Palatino Linotype"/>
        <w:b/>
        <w:noProof/>
        <w:color w:val="000000"/>
        <w:sz w:val="22"/>
        <w:szCs w:val="20"/>
      </w:rPr>
      <w:t>1</w:t>
    </w:r>
    <w:r w:rsidRPr="0056127E">
      <w:rPr>
        <w:rFonts w:ascii="Palatino Linotype" w:eastAsia="Palatino Linotype" w:hAnsi="Palatino Linotype" w:cs="Palatino Linotype"/>
        <w:b/>
        <w:color w:val="000000"/>
        <w:sz w:val="22"/>
        <w:szCs w:val="20"/>
      </w:rPr>
      <w:fldChar w:fldCharType="end"/>
    </w:r>
    <w:r w:rsidRPr="0056127E">
      <w:rPr>
        <w:rFonts w:ascii="Palatino Linotype" w:eastAsia="Palatino Linotype" w:hAnsi="Palatino Linotype" w:cs="Palatino Linotype"/>
        <w:b/>
        <w:color w:val="000000"/>
        <w:sz w:val="22"/>
        <w:szCs w:val="20"/>
      </w:rPr>
      <w:t xml:space="preserve"> de </w:t>
    </w:r>
    <w:r w:rsidRPr="0056127E">
      <w:rPr>
        <w:rFonts w:ascii="Palatino Linotype" w:eastAsia="Palatino Linotype" w:hAnsi="Palatino Linotype" w:cs="Palatino Linotype"/>
        <w:b/>
        <w:color w:val="000000"/>
        <w:sz w:val="22"/>
        <w:szCs w:val="20"/>
      </w:rPr>
      <w:fldChar w:fldCharType="begin"/>
    </w:r>
    <w:r w:rsidRPr="0056127E">
      <w:rPr>
        <w:rFonts w:ascii="Palatino Linotype" w:eastAsia="Palatino Linotype" w:hAnsi="Palatino Linotype" w:cs="Palatino Linotype"/>
        <w:b/>
        <w:color w:val="000000"/>
        <w:sz w:val="22"/>
        <w:szCs w:val="20"/>
      </w:rPr>
      <w:instrText>NUMPAGES</w:instrText>
    </w:r>
    <w:r w:rsidRPr="0056127E">
      <w:rPr>
        <w:rFonts w:ascii="Palatino Linotype" w:eastAsia="Palatino Linotype" w:hAnsi="Palatino Linotype" w:cs="Palatino Linotype"/>
        <w:b/>
        <w:color w:val="000000"/>
        <w:sz w:val="22"/>
        <w:szCs w:val="20"/>
      </w:rPr>
      <w:fldChar w:fldCharType="separate"/>
    </w:r>
    <w:r w:rsidR="00A12EA9">
      <w:rPr>
        <w:rFonts w:ascii="Palatino Linotype" w:eastAsia="Palatino Linotype" w:hAnsi="Palatino Linotype" w:cs="Palatino Linotype"/>
        <w:b/>
        <w:noProof/>
        <w:color w:val="000000"/>
        <w:sz w:val="22"/>
        <w:szCs w:val="20"/>
      </w:rPr>
      <w:t>22</w:t>
    </w:r>
    <w:r w:rsidRPr="0056127E">
      <w:rPr>
        <w:rFonts w:ascii="Palatino Linotype" w:eastAsia="Palatino Linotype" w:hAnsi="Palatino Linotype" w:cs="Palatino Linotype"/>
        <w:b/>
        <w:color w:val="000000"/>
        <w:sz w:val="22"/>
        <w:szCs w:val="20"/>
      </w:rPr>
      <w:fldChar w:fldCharType="end"/>
    </w:r>
  </w:p>
  <w:p w:rsidR="00B33DBF" w:rsidRDefault="00B33DB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9E8" w:rsidRDefault="004339E8">
      <w:r>
        <w:separator/>
      </w:r>
    </w:p>
  </w:footnote>
  <w:footnote w:type="continuationSeparator" w:id="0">
    <w:p w:rsidR="004339E8" w:rsidRDefault="004339E8">
      <w:r>
        <w:continuationSeparator/>
      </w:r>
    </w:p>
  </w:footnote>
  <w:footnote w:id="1">
    <w:p w:rsidR="00B33DBF" w:rsidRPr="006741D8" w:rsidRDefault="00B33DBF" w:rsidP="005416D2">
      <w:pPr>
        <w:pStyle w:val="Textonotapie"/>
        <w:jc w:val="both"/>
        <w:rPr>
          <w:rFonts w:ascii="Palatino Linotype" w:hAnsi="Palatino Linotype"/>
          <w:sz w:val="16"/>
          <w:szCs w:val="16"/>
        </w:rPr>
      </w:pPr>
    </w:p>
    <w:p w:rsidR="00B33DBF" w:rsidRPr="006741D8" w:rsidRDefault="00B33DBF" w:rsidP="005416D2">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BF" w:rsidRDefault="004339E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13" w:type="dxa"/>
      <w:tblInd w:w="2410" w:type="dxa"/>
      <w:tblLayout w:type="fixed"/>
      <w:tblLook w:val="0400" w:firstRow="0" w:lastRow="0" w:firstColumn="0" w:lastColumn="0" w:noHBand="0" w:noVBand="1"/>
    </w:tblPr>
    <w:tblGrid>
      <w:gridCol w:w="2693"/>
      <w:gridCol w:w="4820"/>
    </w:tblGrid>
    <w:tr w:rsidR="00B33DBF" w:rsidTr="0056127E">
      <w:trPr>
        <w:trHeight w:val="227"/>
      </w:trPr>
      <w:tc>
        <w:tcPr>
          <w:tcW w:w="2693" w:type="dxa"/>
          <w:vAlign w:val="center"/>
        </w:tcPr>
        <w:p w:rsidR="00B33DBF" w:rsidRPr="00FA45F8" w:rsidRDefault="00B33DBF" w:rsidP="00FA45F8">
          <w:pPr>
            <w:ind w:right="-9"/>
            <w:jc w:val="right"/>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Recurso de Revisión:</w:t>
          </w:r>
        </w:p>
      </w:tc>
      <w:tc>
        <w:tcPr>
          <w:tcW w:w="4820" w:type="dxa"/>
          <w:vAlign w:val="center"/>
        </w:tcPr>
        <w:p w:rsidR="00B33DBF" w:rsidRPr="00FA45F8" w:rsidRDefault="00294284" w:rsidP="00FA45F8">
          <w:pPr>
            <w:pBdr>
              <w:top w:val="nil"/>
              <w:left w:val="nil"/>
              <w:bottom w:val="nil"/>
              <w:right w:val="nil"/>
              <w:between w:val="nil"/>
            </w:pBdr>
            <w:tabs>
              <w:tab w:val="right" w:pos="8838"/>
            </w:tabs>
            <w:ind w:right="58"/>
            <w:rPr>
              <w:rFonts w:ascii="Palatino Linotype" w:eastAsia="Palatino Linotype" w:hAnsi="Palatino Linotype" w:cs="Palatino Linotype"/>
              <w:color w:val="000000" w:themeColor="text1"/>
              <w:highlight w:val="green"/>
            </w:rPr>
          </w:pPr>
          <w:r w:rsidRPr="00FA45F8">
            <w:rPr>
              <w:rFonts w:ascii="Palatino Linotype" w:eastAsia="Palatino Linotype" w:hAnsi="Palatino Linotype" w:cs="Palatino Linotype"/>
              <w:color w:val="000000" w:themeColor="text1"/>
            </w:rPr>
            <w:t>11153/INFOEM/AD/RR/2025</w:t>
          </w:r>
        </w:p>
      </w:tc>
    </w:tr>
    <w:tr w:rsidR="00B33DBF" w:rsidTr="0056127E">
      <w:trPr>
        <w:trHeight w:val="242"/>
      </w:trPr>
      <w:tc>
        <w:tcPr>
          <w:tcW w:w="2693" w:type="dxa"/>
          <w:vAlign w:val="center"/>
        </w:tcPr>
        <w:p w:rsidR="00B33DBF" w:rsidRDefault="00B33DBF" w:rsidP="00FA45F8">
          <w:pPr>
            <w:ind w:right="-9"/>
            <w:jc w:val="right"/>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Sujeto Obligado:</w:t>
          </w:r>
        </w:p>
        <w:p w:rsidR="00FB13AB" w:rsidRPr="00FA45F8" w:rsidRDefault="00FB13AB" w:rsidP="00FA45F8">
          <w:pPr>
            <w:ind w:right="-9"/>
            <w:jc w:val="right"/>
            <w:rPr>
              <w:rFonts w:ascii="Palatino Linotype" w:eastAsia="Palatino Linotype" w:hAnsi="Palatino Linotype" w:cs="Palatino Linotype"/>
              <w:b/>
              <w:color w:val="000000" w:themeColor="text1"/>
            </w:rPr>
          </w:pPr>
        </w:p>
      </w:tc>
      <w:tc>
        <w:tcPr>
          <w:tcW w:w="4820" w:type="dxa"/>
          <w:vAlign w:val="center"/>
        </w:tcPr>
        <w:p w:rsidR="00B33DBF" w:rsidRPr="00FA45F8" w:rsidRDefault="007D4E37" w:rsidP="00FA45F8">
          <w:pPr>
            <w:pBdr>
              <w:top w:val="nil"/>
              <w:left w:val="nil"/>
              <w:bottom w:val="nil"/>
              <w:right w:val="nil"/>
              <w:between w:val="nil"/>
            </w:pBdr>
            <w:tabs>
              <w:tab w:val="right" w:pos="8838"/>
            </w:tabs>
            <w:ind w:right="58"/>
            <w:rPr>
              <w:rFonts w:ascii="Palatino Linotype" w:eastAsia="Palatino Linotype" w:hAnsi="Palatino Linotype" w:cs="Palatino Linotype"/>
              <w:color w:val="000000" w:themeColor="text1"/>
              <w:highlight w:val="green"/>
            </w:rPr>
          </w:pPr>
          <w:r w:rsidRPr="00FA45F8">
            <w:rPr>
              <w:rFonts w:ascii="Palatino Linotype" w:eastAsia="Palatino Linotype" w:hAnsi="Palatino Linotype" w:cs="Palatino Linotype"/>
              <w:color w:val="000000" w:themeColor="text1"/>
            </w:rPr>
            <w:t>Instituto de Seguridad Social del Estado de México y Municipios</w:t>
          </w:r>
        </w:p>
      </w:tc>
    </w:tr>
    <w:tr w:rsidR="00B33DBF" w:rsidTr="0056127E">
      <w:trPr>
        <w:trHeight w:val="342"/>
      </w:trPr>
      <w:tc>
        <w:tcPr>
          <w:tcW w:w="2693" w:type="dxa"/>
          <w:vAlign w:val="center"/>
        </w:tcPr>
        <w:p w:rsidR="00B33DBF" w:rsidRPr="00FA45F8" w:rsidRDefault="00B33DBF" w:rsidP="00FA45F8">
          <w:pPr>
            <w:ind w:right="-9"/>
            <w:jc w:val="right"/>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Comisionada Ponente:</w:t>
          </w:r>
        </w:p>
      </w:tc>
      <w:tc>
        <w:tcPr>
          <w:tcW w:w="4820" w:type="dxa"/>
          <w:vAlign w:val="center"/>
        </w:tcPr>
        <w:p w:rsidR="00B33DBF" w:rsidRPr="00FA45F8" w:rsidRDefault="00B33DBF" w:rsidP="00FA45F8">
          <w:pPr>
            <w:pBdr>
              <w:top w:val="nil"/>
              <w:left w:val="nil"/>
              <w:bottom w:val="nil"/>
              <w:right w:val="nil"/>
              <w:between w:val="nil"/>
            </w:pBdr>
            <w:tabs>
              <w:tab w:val="right" w:pos="8838"/>
            </w:tabs>
            <w:ind w:right="58"/>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María del Rosario Mejía Ayala</w:t>
          </w:r>
        </w:p>
      </w:tc>
    </w:tr>
  </w:tbl>
  <w:p w:rsidR="00B33DBF" w:rsidRPr="0056127E" w:rsidRDefault="004339E8">
    <w:pPr>
      <w:rPr>
        <w:color w:val="000000"/>
        <w:sz w:val="16"/>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598" w:type="dxa"/>
      <w:tblInd w:w="2410" w:type="dxa"/>
      <w:tblLayout w:type="fixed"/>
      <w:tblLook w:val="0400" w:firstRow="0" w:lastRow="0" w:firstColumn="0" w:lastColumn="0" w:noHBand="0" w:noVBand="1"/>
    </w:tblPr>
    <w:tblGrid>
      <w:gridCol w:w="2644"/>
      <w:gridCol w:w="5670"/>
      <w:gridCol w:w="284"/>
    </w:tblGrid>
    <w:tr w:rsidR="00B33DBF" w:rsidTr="0056127E">
      <w:trPr>
        <w:gridAfter w:val="1"/>
        <w:wAfter w:w="284" w:type="dxa"/>
        <w:trHeight w:val="227"/>
      </w:trPr>
      <w:tc>
        <w:tcPr>
          <w:tcW w:w="2644" w:type="dxa"/>
          <w:vAlign w:val="center"/>
        </w:tcPr>
        <w:p w:rsidR="00B33DBF" w:rsidRPr="00FA45F8" w:rsidRDefault="00B33DBF" w:rsidP="00FA45F8">
          <w:pPr>
            <w:ind w:left="23"/>
            <w:jc w:val="right"/>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Recurso de Revisión:</w:t>
          </w:r>
        </w:p>
      </w:tc>
      <w:tc>
        <w:tcPr>
          <w:tcW w:w="5670" w:type="dxa"/>
          <w:vAlign w:val="center"/>
        </w:tcPr>
        <w:p w:rsidR="00B33DBF" w:rsidRPr="00FA45F8" w:rsidRDefault="00B33DBF" w:rsidP="00FA45F8">
          <w:pPr>
            <w:pBdr>
              <w:top w:val="nil"/>
              <w:left w:val="nil"/>
              <w:bottom w:val="nil"/>
              <w:right w:val="nil"/>
              <w:between w:val="nil"/>
            </w:pBdr>
            <w:tabs>
              <w:tab w:val="right" w:pos="8838"/>
            </w:tabs>
            <w:ind w:left="23"/>
            <w:rPr>
              <w:rFonts w:ascii="Palatino Linotype" w:eastAsia="Palatino Linotype" w:hAnsi="Palatino Linotype" w:cs="Palatino Linotype"/>
              <w:color w:val="000000" w:themeColor="text1"/>
              <w:highlight w:val="green"/>
            </w:rPr>
          </w:pPr>
          <w:r w:rsidRPr="00FA45F8">
            <w:rPr>
              <w:rFonts w:ascii="Palatino Linotype" w:eastAsia="Palatino Linotype" w:hAnsi="Palatino Linotype" w:cs="Palatino Linotype"/>
              <w:color w:val="000000" w:themeColor="text1"/>
            </w:rPr>
            <w:t>11153/INFOEM/AD/RR/2025</w:t>
          </w:r>
        </w:p>
      </w:tc>
    </w:tr>
    <w:tr w:rsidR="00B33DBF" w:rsidTr="0056127E">
      <w:trPr>
        <w:gridAfter w:val="1"/>
        <w:wAfter w:w="284" w:type="dxa"/>
        <w:trHeight w:val="242"/>
      </w:trPr>
      <w:tc>
        <w:tcPr>
          <w:tcW w:w="2644" w:type="dxa"/>
          <w:vAlign w:val="center"/>
        </w:tcPr>
        <w:p w:rsidR="00B33DBF" w:rsidRPr="00FA45F8" w:rsidRDefault="00B33DBF" w:rsidP="00FA45F8">
          <w:pPr>
            <w:ind w:left="23"/>
            <w:jc w:val="right"/>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Recurrente:</w:t>
          </w:r>
        </w:p>
      </w:tc>
      <w:tc>
        <w:tcPr>
          <w:tcW w:w="5670" w:type="dxa"/>
        </w:tcPr>
        <w:p w:rsidR="00B33DBF" w:rsidRPr="00FA45F8" w:rsidRDefault="00A12EA9" w:rsidP="00FA45F8">
          <w:pPr>
            <w:ind w:left="23"/>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B33DBF" w:rsidTr="0056127E">
      <w:trPr>
        <w:gridAfter w:val="1"/>
        <w:wAfter w:w="284" w:type="dxa"/>
        <w:trHeight w:val="342"/>
      </w:trPr>
      <w:tc>
        <w:tcPr>
          <w:tcW w:w="2644" w:type="dxa"/>
          <w:vAlign w:val="center"/>
        </w:tcPr>
        <w:p w:rsidR="00B33DBF" w:rsidRDefault="00B33DBF" w:rsidP="00FA45F8">
          <w:pPr>
            <w:ind w:left="23"/>
            <w:jc w:val="right"/>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Sujeto Obligado:</w:t>
          </w:r>
        </w:p>
        <w:p w:rsidR="00FA45F8" w:rsidRPr="00FA45F8" w:rsidRDefault="00FA45F8" w:rsidP="00FA45F8">
          <w:pPr>
            <w:ind w:left="23"/>
            <w:jc w:val="right"/>
            <w:rPr>
              <w:rFonts w:ascii="Palatino Linotype" w:eastAsia="Palatino Linotype" w:hAnsi="Palatino Linotype" w:cs="Palatino Linotype"/>
              <w:b/>
              <w:color w:val="000000" w:themeColor="text1"/>
            </w:rPr>
          </w:pPr>
        </w:p>
      </w:tc>
      <w:tc>
        <w:tcPr>
          <w:tcW w:w="5670" w:type="dxa"/>
          <w:vAlign w:val="center"/>
        </w:tcPr>
        <w:p w:rsidR="00B33DBF" w:rsidRPr="00FA45F8" w:rsidRDefault="00B33DBF" w:rsidP="00FA45F8">
          <w:pPr>
            <w:pBdr>
              <w:top w:val="nil"/>
              <w:left w:val="nil"/>
              <w:bottom w:val="nil"/>
              <w:right w:val="nil"/>
              <w:between w:val="nil"/>
            </w:pBdr>
            <w:tabs>
              <w:tab w:val="right" w:pos="8838"/>
            </w:tabs>
            <w:ind w:left="23" w:right="214"/>
            <w:rPr>
              <w:rFonts w:ascii="Palatino Linotype" w:eastAsia="Palatino Linotype" w:hAnsi="Palatino Linotype" w:cs="Palatino Linotype"/>
              <w:color w:val="000000" w:themeColor="text1"/>
              <w:highlight w:val="green"/>
            </w:rPr>
          </w:pPr>
          <w:r w:rsidRPr="00FA45F8">
            <w:rPr>
              <w:rFonts w:ascii="Palatino Linotype" w:eastAsia="Palatino Linotype" w:hAnsi="Palatino Linotype" w:cs="Palatino Linotype"/>
              <w:color w:val="000000" w:themeColor="text1"/>
            </w:rPr>
            <w:t>Instituto de Seguridad Social del Estado de México y Municipios</w:t>
          </w:r>
        </w:p>
      </w:tc>
    </w:tr>
    <w:tr w:rsidR="00B33DBF" w:rsidTr="0056127E">
      <w:trPr>
        <w:trHeight w:val="342"/>
      </w:trPr>
      <w:tc>
        <w:tcPr>
          <w:tcW w:w="2644" w:type="dxa"/>
          <w:vAlign w:val="center"/>
        </w:tcPr>
        <w:p w:rsidR="00B33DBF" w:rsidRPr="00FA45F8" w:rsidRDefault="00B33DBF" w:rsidP="00FA45F8">
          <w:pPr>
            <w:ind w:left="23"/>
            <w:jc w:val="right"/>
            <w:rPr>
              <w:rFonts w:ascii="Palatino Linotype" w:eastAsia="Palatino Linotype" w:hAnsi="Palatino Linotype" w:cs="Palatino Linotype"/>
              <w:b/>
              <w:color w:val="000000" w:themeColor="text1"/>
            </w:rPr>
          </w:pPr>
          <w:r w:rsidRPr="00FA45F8">
            <w:rPr>
              <w:rFonts w:ascii="Palatino Linotype" w:eastAsia="Palatino Linotype" w:hAnsi="Palatino Linotype" w:cs="Palatino Linotype"/>
              <w:b/>
              <w:color w:val="000000" w:themeColor="text1"/>
            </w:rPr>
            <w:t>Comisionada Ponente:</w:t>
          </w:r>
        </w:p>
      </w:tc>
      <w:tc>
        <w:tcPr>
          <w:tcW w:w="5954" w:type="dxa"/>
          <w:gridSpan w:val="2"/>
          <w:vAlign w:val="center"/>
        </w:tcPr>
        <w:p w:rsidR="00B33DBF" w:rsidRPr="00FA45F8" w:rsidRDefault="00B33DBF" w:rsidP="00FA45F8">
          <w:pPr>
            <w:pBdr>
              <w:top w:val="nil"/>
              <w:left w:val="nil"/>
              <w:bottom w:val="nil"/>
              <w:right w:val="nil"/>
              <w:between w:val="nil"/>
            </w:pBdr>
            <w:tabs>
              <w:tab w:val="right" w:pos="8838"/>
            </w:tabs>
            <w:ind w:left="23"/>
            <w:rPr>
              <w:rFonts w:ascii="Palatino Linotype" w:eastAsia="Palatino Linotype" w:hAnsi="Palatino Linotype" w:cs="Palatino Linotype"/>
              <w:color w:val="000000" w:themeColor="text1"/>
            </w:rPr>
          </w:pPr>
          <w:r w:rsidRPr="00FA45F8">
            <w:rPr>
              <w:rFonts w:ascii="Palatino Linotype" w:eastAsia="Palatino Linotype" w:hAnsi="Palatino Linotype" w:cs="Palatino Linotype"/>
              <w:color w:val="000000" w:themeColor="text1"/>
            </w:rPr>
            <w:t>María del Rosario Mejía Ayala</w:t>
          </w:r>
        </w:p>
      </w:tc>
    </w:tr>
  </w:tbl>
  <w:p w:rsidR="00B33DBF" w:rsidRDefault="004339E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55C3F"/>
    <w:multiLevelType w:val="multilevel"/>
    <w:tmpl w:val="51A46B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55425"/>
    <w:multiLevelType w:val="hybridMultilevel"/>
    <w:tmpl w:val="03B0BDA0"/>
    <w:lvl w:ilvl="0" w:tplc="59D84B8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7F0F1F"/>
    <w:multiLevelType w:val="multilevel"/>
    <w:tmpl w:val="B3CE91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7" w15:restartNumberingAfterBreak="0">
    <w:nsid w:val="3EE931F0"/>
    <w:multiLevelType w:val="hybridMultilevel"/>
    <w:tmpl w:val="08DE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6C93DD2"/>
    <w:multiLevelType w:val="hybridMultilevel"/>
    <w:tmpl w:val="7CF4FA26"/>
    <w:lvl w:ilvl="0" w:tplc="33A6F02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7907869"/>
    <w:multiLevelType w:val="multilevel"/>
    <w:tmpl w:val="5BBCABBA"/>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3" w15:restartNumberingAfterBreak="0">
    <w:nsid w:val="57A34F23"/>
    <w:multiLevelType w:val="hybridMultilevel"/>
    <w:tmpl w:val="DCAC5C08"/>
    <w:lvl w:ilvl="0" w:tplc="4732CCCA">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842E464C">
      <w:numFmt w:val="bullet"/>
      <w:lvlText w:val="•"/>
      <w:lvlJc w:val="left"/>
      <w:pPr>
        <w:ind w:left="1128" w:hanging="152"/>
      </w:pPr>
      <w:rPr>
        <w:rFonts w:hint="default"/>
      </w:rPr>
    </w:lvl>
    <w:lvl w:ilvl="2" w:tplc="618240BA">
      <w:numFmt w:val="bullet"/>
      <w:lvlText w:val="•"/>
      <w:lvlJc w:val="left"/>
      <w:pPr>
        <w:ind w:left="2136" w:hanging="152"/>
      </w:pPr>
      <w:rPr>
        <w:rFonts w:hint="default"/>
      </w:rPr>
    </w:lvl>
    <w:lvl w:ilvl="3" w:tplc="6C3A8594">
      <w:numFmt w:val="bullet"/>
      <w:lvlText w:val="•"/>
      <w:lvlJc w:val="left"/>
      <w:pPr>
        <w:ind w:left="3144" w:hanging="152"/>
      </w:pPr>
      <w:rPr>
        <w:rFonts w:hint="default"/>
      </w:rPr>
    </w:lvl>
    <w:lvl w:ilvl="4" w:tplc="1A907134">
      <w:numFmt w:val="bullet"/>
      <w:lvlText w:val="•"/>
      <w:lvlJc w:val="left"/>
      <w:pPr>
        <w:ind w:left="4152" w:hanging="152"/>
      </w:pPr>
      <w:rPr>
        <w:rFonts w:hint="default"/>
      </w:rPr>
    </w:lvl>
    <w:lvl w:ilvl="5" w:tplc="49022D06">
      <w:numFmt w:val="bullet"/>
      <w:lvlText w:val="•"/>
      <w:lvlJc w:val="left"/>
      <w:pPr>
        <w:ind w:left="5161" w:hanging="152"/>
      </w:pPr>
      <w:rPr>
        <w:rFonts w:hint="default"/>
      </w:rPr>
    </w:lvl>
    <w:lvl w:ilvl="6" w:tplc="C0A61F92">
      <w:numFmt w:val="bullet"/>
      <w:lvlText w:val="•"/>
      <w:lvlJc w:val="left"/>
      <w:pPr>
        <w:ind w:left="6169" w:hanging="152"/>
      </w:pPr>
      <w:rPr>
        <w:rFonts w:hint="default"/>
      </w:rPr>
    </w:lvl>
    <w:lvl w:ilvl="7" w:tplc="79FC4ABA">
      <w:numFmt w:val="bullet"/>
      <w:lvlText w:val="•"/>
      <w:lvlJc w:val="left"/>
      <w:pPr>
        <w:ind w:left="7177" w:hanging="152"/>
      </w:pPr>
      <w:rPr>
        <w:rFonts w:hint="default"/>
      </w:rPr>
    </w:lvl>
    <w:lvl w:ilvl="8" w:tplc="584CD38E">
      <w:numFmt w:val="bullet"/>
      <w:lvlText w:val="•"/>
      <w:lvlJc w:val="left"/>
      <w:pPr>
        <w:ind w:left="8185" w:hanging="152"/>
      </w:pPr>
      <w:rPr>
        <w:rFonts w:hint="default"/>
      </w:rPr>
    </w:lvl>
  </w:abstractNum>
  <w:abstractNum w:abstractNumId="1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5A5835"/>
    <w:multiLevelType w:val="multilevel"/>
    <w:tmpl w:val="97203EA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4E6D97"/>
    <w:multiLevelType w:val="hybridMultilevel"/>
    <w:tmpl w:val="508C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5D014D"/>
    <w:multiLevelType w:val="multilevel"/>
    <w:tmpl w:val="4BD69E2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C74795"/>
    <w:multiLevelType w:val="multilevel"/>
    <w:tmpl w:val="B846E2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16"/>
  </w:num>
  <w:num w:numId="3">
    <w:abstractNumId w:val="3"/>
  </w:num>
  <w:num w:numId="4">
    <w:abstractNumId w:val="12"/>
  </w:num>
  <w:num w:numId="5">
    <w:abstractNumId w:val="8"/>
  </w:num>
  <w:num w:numId="6">
    <w:abstractNumId w:val="21"/>
  </w:num>
  <w:num w:numId="7">
    <w:abstractNumId w:val="1"/>
  </w:num>
  <w:num w:numId="8">
    <w:abstractNumId w:val="13"/>
  </w:num>
  <w:num w:numId="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num>
  <w:num w:numId="17">
    <w:abstractNumId w:val="18"/>
  </w:num>
  <w:num w:numId="18">
    <w:abstractNumId w:val="2"/>
  </w:num>
  <w:num w:numId="19">
    <w:abstractNumId w:val="19"/>
  </w:num>
  <w:num w:numId="20">
    <w:abstractNumId w:val="9"/>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1"/>
    <w:rsid w:val="000022AE"/>
    <w:rsid w:val="0001083A"/>
    <w:rsid w:val="00063BD5"/>
    <w:rsid w:val="00080540"/>
    <w:rsid w:val="000D3A25"/>
    <w:rsid w:val="00103C1D"/>
    <w:rsid w:val="00116107"/>
    <w:rsid w:val="001459D8"/>
    <w:rsid w:val="00177A97"/>
    <w:rsid w:val="00197A57"/>
    <w:rsid w:val="001A1734"/>
    <w:rsid w:val="001B5B65"/>
    <w:rsid w:val="001C05AF"/>
    <w:rsid w:val="001C75FA"/>
    <w:rsid w:val="001C7A5D"/>
    <w:rsid w:val="002224A8"/>
    <w:rsid w:val="0022266D"/>
    <w:rsid w:val="00273B2F"/>
    <w:rsid w:val="00294284"/>
    <w:rsid w:val="002A6D84"/>
    <w:rsid w:val="002B4632"/>
    <w:rsid w:val="002B711E"/>
    <w:rsid w:val="002D13A2"/>
    <w:rsid w:val="002D48F6"/>
    <w:rsid w:val="002D639A"/>
    <w:rsid w:val="002E3D73"/>
    <w:rsid w:val="00305F77"/>
    <w:rsid w:val="0035008C"/>
    <w:rsid w:val="00352175"/>
    <w:rsid w:val="00381F72"/>
    <w:rsid w:val="003A0970"/>
    <w:rsid w:val="003C1454"/>
    <w:rsid w:val="003C243C"/>
    <w:rsid w:val="003D13F2"/>
    <w:rsid w:val="003E0BBF"/>
    <w:rsid w:val="00402401"/>
    <w:rsid w:val="004312AD"/>
    <w:rsid w:val="004339E8"/>
    <w:rsid w:val="00475FC4"/>
    <w:rsid w:val="004848D4"/>
    <w:rsid w:val="004C7F12"/>
    <w:rsid w:val="004D4AC3"/>
    <w:rsid w:val="004D6973"/>
    <w:rsid w:val="005162D2"/>
    <w:rsid w:val="00526EC9"/>
    <w:rsid w:val="005416D2"/>
    <w:rsid w:val="0055364E"/>
    <w:rsid w:val="00557963"/>
    <w:rsid w:val="0056127E"/>
    <w:rsid w:val="00561A2F"/>
    <w:rsid w:val="00565957"/>
    <w:rsid w:val="00571DB3"/>
    <w:rsid w:val="005A68FC"/>
    <w:rsid w:val="005B34C6"/>
    <w:rsid w:val="005C3528"/>
    <w:rsid w:val="005E0CAE"/>
    <w:rsid w:val="00603072"/>
    <w:rsid w:val="006231A2"/>
    <w:rsid w:val="00652C96"/>
    <w:rsid w:val="00670644"/>
    <w:rsid w:val="00681174"/>
    <w:rsid w:val="0069477F"/>
    <w:rsid w:val="006A4F31"/>
    <w:rsid w:val="006B5121"/>
    <w:rsid w:val="006C0D6F"/>
    <w:rsid w:val="006D2D59"/>
    <w:rsid w:val="006E1B58"/>
    <w:rsid w:val="006E508C"/>
    <w:rsid w:val="0070374D"/>
    <w:rsid w:val="00715C25"/>
    <w:rsid w:val="007313E8"/>
    <w:rsid w:val="00775A8F"/>
    <w:rsid w:val="007A0A18"/>
    <w:rsid w:val="007A1AC9"/>
    <w:rsid w:val="007D4E37"/>
    <w:rsid w:val="007E252F"/>
    <w:rsid w:val="007F466F"/>
    <w:rsid w:val="00837692"/>
    <w:rsid w:val="00837D8F"/>
    <w:rsid w:val="00840B12"/>
    <w:rsid w:val="008616DA"/>
    <w:rsid w:val="008A23E9"/>
    <w:rsid w:val="008A329C"/>
    <w:rsid w:val="008A5239"/>
    <w:rsid w:val="008D0CF1"/>
    <w:rsid w:val="008E100D"/>
    <w:rsid w:val="00900E4D"/>
    <w:rsid w:val="00905CE7"/>
    <w:rsid w:val="009351C2"/>
    <w:rsid w:val="00980816"/>
    <w:rsid w:val="00982E51"/>
    <w:rsid w:val="009C0634"/>
    <w:rsid w:val="009C3BB2"/>
    <w:rsid w:val="009F10B8"/>
    <w:rsid w:val="00A12EA9"/>
    <w:rsid w:val="00A36AAE"/>
    <w:rsid w:val="00A40CED"/>
    <w:rsid w:val="00A46E30"/>
    <w:rsid w:val="00A52698"/>
    <w:rsid w:val="00A74689"/>
    <w:rsid w:val="00A93E51"/>
    <w:rsid w:val="00AA618A"/>
    <w:rsid w:val="00AC6419"/>
    <w:rsid w:val="00AE2C91"/>
    <w:rsid w:val="00AE4F6D"/>
    <w:rsid w:val="00AE5C5E"/>
    <w:rsid w:val="00AE750A"/>
    <w:rsid w:val="00AF4683"/>
    <w:rsid w:val="00AF6AA6"/>
    <w:rsid w:val="00B33DBF"/>
    <w:rsid w:val="00B36637"/>
    <w:rsid w:val="00B40CD2"/>
    <w:rsid w:val="00B5634F"/>
    <w:rsid w:val="00BD1530"/>
    <w:rsid w:val="00BD5D68"/>
    <w:rsid w:val="00BF3610"/>
    <w:rsid w:val="00C014D8"/>
    <w:rsid w:val="00C15AE3"/>
    <w:rsid w:val="00C514FD"/>
    <w:rsid w:val="00C92E47"/>
    <w:rsid w:val="00C96886"/>
    <w:rsid w:val="00CB217D"/>
    <w:rsid w:val="00CD4E46"/>
    <w:rsid w:val="00CD752B"/>
    <w:rsid w:val="00D06E8A"/>
    <w:rsid w:val="00D10E55"/>
    <w:rsid w:val="00D1289F"/>
    <w:rsid w:val="00D2179D"/>
    <w:rsid w:val="00D25D8B"/>
    <w:rsid w:val="00D326EE"/>
    <w:rsid w:val="00D454C4"/>
    <w:rsid w:val="00D71313"/>
    <w:rsid w:val="00D96CD3"/>
    <w:rsid w:val="00DD055C"/>
    <w:rsid w:val="00DE688F"/>
    <w:rsid w:val="00DF728E"/>
    <w:rsid w:val="00E03A43"/>
    <w:rsid w:val="00E15413"/>
    <w:rsid w:val="00E21F35"/>
    <w:rsid w:val="00E361D8"/>
    <w:rsid w:val="00E544A5"/>
    <w:rsid w:val="00E61814"/>
    <w:rsid w:val="00E67AA0"/>
    <w:rsid w:val="00E86A16"/>
    <w:rsid w:val="00E9326C"/>
    <w:rsid w:val="00E96DD1"/>
    <w:rsid w:val="00E97F52"/>
    <w:rsid w:val="00EA0AD1"/>
    <w:rsid w:val="00EB3352"/>
    <w:rsid w:val="00ED40B1"/>
    <w:rsid w:val="00F01C27"/>
    <w:rsid w:val="00F215C4"/>
    <w:rsid w:val="00F318E1"/>
    <w:rsid w:val="00F3711F"/>
    <w:rsid w:val="00F42BEA"/>
    <w:rsid w:val="00F67542"/>
    <w:rsid w:val="00F70895"/>
    <w:rsid w:val="00F83F43"/>
    <w:rsid w:val="00F955E6"/>
    <w:rsid w:val="00FA190C"/>
    <w:rsid w:val="00FA45F8"/>
    <w:rsid w:val="00FB13AB"/>
    <w:rsid w:val="00FD689D"/>
    <w:rsid w:val="00FF0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5878F3-2BEF-4081-B105-066BAF3F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semiHidden/>
    <w:unhideWhenUsed/>
    <w:rsid w:val="00184E79"/>
    <w:pPr>
      <w:spacing w:after="120"/>
    </w:pPr>
  </w:style>
  <w:style w:type="character" w:customStyle="1" w:styleId="TextoindependienteCar">
    <w:name w:val="Texto independiente Car"/>
    <w:basedOn w:val="Fuentedeprrafopredeter"/>
    <w:link w:val="Textoindependiente"/>
    <w:uiPriority w:val="99"/>
    <w:semiHidden/>
    <w:rsid w:val="00184E79"/>
    <w:rPr>
      <w:rFonts w:eastAsiaTheme="minorEastAsia"/>
      <w:lang w:eastAsia="es-ES"/>
    </w:rPr>
  </w:style>
  <w:style w:type="paragraph" w:styleId="Listaconvietas3">
    <w:name w:val="List Bullet 3"/>
    <w:basedOn w:val="Normal"/>
    <w:uiPriority w:val="99"/>
    <w:unhideWhenUsed/>
    <w:rsid w:val="00757D69"/>
    <w:pPr>
      <w:numPr>
        <w:numId w:val="7"/>
      </w:numPr>
      <w:contextualSpacing/>
    </w:pPr>
    <w:rPr>
      <w:rFonts w:ascii="Times New Roman" w:eastAsia="Times New Roman" w:hAnsi="Times New Roman" w:cs="Times New Roman"/>
      <w:lang w:val="es-MX" w:eastAsia="es-MX"/>
    </w:rPr>
  </w:style>
  <w:style w:type="table" w:customStyle="1" w:styleId="Tablanormal12">
    <w:name w:val="Tabla normal 12"/>
    <w:basedOn w:val="Tablanormal"/>
    <w:next w:val="Tablanormal1"/>
    <w:uiPriority w:val="41"/>
    <w:rsid w:val="00066071"/>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Ttulo21">
    <w:name w:val="Título 21"/>
    <w:basedOn w:val="Normal"/>
    <w:uiPriority w:val="1"/>
    <w:qFormat/>
    <w:rsid w:val="00E9326C"/>
    <w:pPr>
      <w:widowControl w:val="0"/>
      <w:ind w:left="2062" w:right="2063"/>
      <w:jc w:val="center"/>
      <w:outlineLvl w:val="2"/>
    </w:pPr>
    <w:rPr>
      <w:rFonts w:ascii="Arial" w:eastAsia="Arial" w:hAnsi="Arial" w:cs="Arial"/>
      <w:b/>
      <w:bCs/>
      <w:sz w:val="18"/>
      <w:szCs w:val="18"/>
      <w:lang w:val="en-US" w:eastAsia="en-US"/>
    </w:rPr>
  </w:style>
  <w:style w:type="paragraph" w:customStyle="1" w:styleId="j">
    <w:name w:val="j"/>
    <w:basedOn w:val="Normal"/>
    <w:rsid w:val="008616DA"/>
    <w:pPr>
      <w:spacing w:before="100" w:beforeAutospacing="1" w:after="100" w:afterAutospacing="1"/>
    </w:pPr>
    <w:rPr>
      <w:rFonts w:ascii="Times New Roman" w:eastAsiaTheme="minorHAnsi" w:hAnsi="Times New Roman" w:cs="Times New Roman"/>
      <w:lang w:eastAsia="es-ES_tradnl"/>
    </w:rPr>
  </w:style>
  <w:style w:type="paragraph" w:customStyle="1" w:styleId="Infoem">
    <w:name w:val="Infoem"/>
    <w:basedOn w:val="Normal"/>
    <w:qFormat/>
    <w:rsid w:val="005416D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Cita">
    <w:name w:val="Quote"/>
    <w:basedOn w:val="Normal"/>
    <w:next w:val="Normal"/>
    <w:link w:val="CitaCar"/>
    <w:uiPriority w:val="29"/>
    <w:qFormat/>
    <w:rsid w:val="005416D2"/>
    <w:pPr>
      <w:spacing w:before="160" w:line="360" w:lineRule="auto"/>
      <w:jc w:val="center"/>
    </w:pPr>
    <w:rPr>
      <w:rFonts w:ascii="Palatino Linotype" w:eastAsia="Times New Roman" w:hAnsi="Palatino Linotype" w:cs="Times New Roman"/>
      <w:i/>
      <w:iCs/>
      <w:color w:val="404040" w:themeColor="text1" w:themeTint="BF"/>
      <w:sz w:val="22"/>
      <w:szCs w:val="20"/>
      <w:lang w:val="es-MX"/>
    </w:rPr>
  </w:style>
  <w:style w:type="character" w:customStyle="1" w:styleId="CitaCar">
    <w:name w:val="Cita Car"/>
    <w:basedOn w:val="Fuentedeprrafopredeter"/>
    <w:link w:val="Cita"/>
    <w:uiPriority w:val="29"/>
    <w:rsid w:val="005416D2"/>
    <w:rPr>
      <w:rFonts w:ascii="Palatino Linotype" w:eastAsia="Times New Roman" w:hAnsi="Palatino Linotype" w:cs="Times New Roman"/>
      <w:i/>
      <w:iCs/>
      <w:color w:val="404040" w:themeColor="text1" w:themeTint="BF"/>
      <w:sz w:val="22"/>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kcGZBaPpiVNL1wOvUJ1Cu6wnA==">CgMxLjAyCGguZ2pkZ3hzMgloLjMwajB6bGwyCWguMWZvYjl0ZTIJaC4zem55c2g3MgloLjJldDkycDAyCGgudHlqY3d0MgloLjNkeTZ2a20yCWguMXQzaDVzZjIJaC4xN2RwOHZ1OAByITFSYXgwTmlYdWVvX01qeVVGaFl3cFRoY2xVbGhxRFVpSA==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0DECCB-B795-4F93-A2C3-34D51A60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22</Pages>
  <Words>5336</Words>
  <Characters>29354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15</cp:revision>
  <cp:lastPrinted>2025-12-05T16:11:00Z</cp:lastPrinted>
  <dcterms:created xsi:type="dcterms:W3CDTF">2025-11-24T23:36:00Z</dcterms:created>
  <dcterms:modified xsi:type="dcterms:W3CDTF">2026-01-22T19:44:00Z</dcterms:modified>
</cp:coreProperties>
</file>