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s-ES"/>
        </w:rPr>
        <w:id w:val="438804953"/>
        <w:docPartObj>
          <w:docPartGallery w:val="Table of Contents"/>
          <w:docPartUnique/>
        </w:docPartObj>
      </w:sdtPr>
      <w:sdtEndPr>
        <w:rPr>
          <w:b/>
          <w:bCs/>
        </w:rPr>
      </w:sdtEndPr>
      <w:sdtContent>
        <w:p w14:paraId="33EE2669" w14:textId="77777777" w:rsidR="00920D0B" w:rsidRPr="009F2E67" w:rsidRDefault="00920D0B">
          <w:pPr>
            <w:pStyle w:val="TtuloTDC"/>
            <w:rPr>
              <w:rFonts w:ascii="Palatino Linotype" w:hAnsi="Palatino Linotype"/>
              <w:sz w:val="22"/>
            </w:rPr>
          </w:pPr>
          <w:r w:rsidRPr="009F2E67">
            <w:rPr>
              <w:rFonts w:ascii="Palatino Linotype" w:hAnsi="Palatino Linotype"/>
              <w:sz w:val="22"/>
              <w:lang w:val="es-ES"/>
            </w:rPr>
            <w:t>Tabla de contenido</w:t>
          </w:r>
        </w:p>
        <w:p w14:paraId="52446136" w14:textId="77777777" w:rsidR="00920D0B" w:rsidRPr="00FC6906" w:rsidRDefault="00920D0B">
          <w:pPr>
            <w:pStyle w:val="TDC1"/>
            <w:tabs>
              <w:tab w:val="right" w:leader="dot" w:pos="9034"/>
            </w:tabs>
            <w:rPr>
              <w:rFonts w:ascii="Palatino Linotype" w:eastAsiaTheme="minorEastAsia" w:hAnsi="Palatino Linotype" w:cstheme="minorBidi"/>
              <w:noProof/>
              <w:sz w:val="22"/>
              <w:szCs w:val="22"/>
            </w:rPr>
          </w:pPr>
          <w:r w:rsidRPr="00FC6906">
            <w:rPr>
              <w:rFonts w:ascii="Palatino Linotype" w:hAnsi="Palatino Linotype"/>
              <w:bCs/>
              <w:sz w:val="22"/>
              <w:szCs w:val="22"/>
              <w:lang w:val="es-ES"/>
            </w:rPr>
            <w:fldChar w:fldCharType="begin"/>
          </w:r>
          <w:r w:rsidRPr="00FC6906">
            <w:rPr>
              <w:rFonts w:ascii="Palatino Linotype" w:hAnsi="Palatino Linotype"/>
              <w:bCs/>
              <w:sz w:val="22"/>
              <w:szCs w:val="22"/>
              <w:lang w:val="es-ES"/>
            </w:rPr>
            <w:instrText xml:space="preserve"> TOC \o "1-3" \h \z \u </w:instrText>
          </w:r>
          <w:r w:rsidRPr="00FC6906">
            <w:rPr>
              <w:rFonts w:ascii="Palatino Linotype" w:hAnsi="Palatino Linotype"/>
              <w:bCs/>
              <w:sz w:val="22"/>
              <w:szCs w:val="22"/>
              <w:lang w:val="es-ES"/>
            </w:rPr>
            <w:fldChar w:fldCharType="separate"/>
          </w:r>
          <w:hyperlink w:anchor="_Toc211522617" w:history="1">
            <w:r w:rsidRPr="00FC6906">
              <w:rPr>
                <w:rStyle w:val="Hipervnculo"/>
                <w:rFonts w:ascii="Palatino Linotype" w:eastAsia="Palatino Linotype" w:hAnsi="Palatino Linotype" w:cs="Palatino Linotype"/>
                <w:noProof/>
                <w:sz w:val="22"/>
                <w:szCs w:val="22"/>
              </w:rPr>
              <w:t>A N T E C E D E N T E S</w:t>
            </w:r>
            <w:r w:rsidRPr="00FC6906">
              <w:rPr>
                <w:rFonts w:ascii="Palatino Linotype" w:hAnsi="Palatino Linotype"/>
                <w:noProof/>
                <w:webHidden/>
                <w:sz w:val="22"/>
                <w:szCs w:val="22"/>
              </w:rPr>
              <w:tab/>
            </w:r>
            <w:r w:rsidRPr="00FC6906">
              <w:rPr>
                <w:rFonts w:ascii="Palatino Linotype" w:hAnsi="Palatino Linotype"/>
                <w:noProof/>
                <w:webHidden/>
                <w:sz w:val="22"/>
                <w:szCs w:val="22"/>
              </w:rPr>
              <w:fldChar w:fldCharType="begin"/>
            </w:r>
            <w:r w:rsidRPr="00FC6906">
              <w:rPr>
                <w:rFonts w:ascii="Palatino Linotype" w:hAnsi="Palatino Linotype"/>
                <w:noProof/>
                <w:webHidden/>
                <w:sz w:val="22"/>
                <w:szCs w:val="22"/>
              </w:rPr>
              <w:instrText xml:space="preserve"> PAGEREF _Toc211522617 \h </w:instrText>
            </w:r>
            <w:r w:rsidRPr="00FC6906">
              <w:rPr>
                <w:rFonts w:ascii="Palatino Linotype" w:hAnsi="Palatino Linotype"/>
                <w:noProof/>
                <w:webHidden/>
                <w:sz w:val="22"/>
                <w:szCs w:val="22"/>
              </w:rPr>
            </w:r>
            <w:r w:rsidRPr="00FC6906">
              <w:rPr>
                <w:rFonts w:ascii="Palatino Linotype" w:hAnsi="Palatino Linotype"/>
                <w:noProof/>
                <w:webHidden/>
                <w:sz w:val="22"/>
                <w:szCs w:val="22"/>
              </w:rPr>
              <w:fldChar w:fldCharType="separate"/>
            </w:r>
            <w:r w:rsidR="00DC756F">
              <w:rPr>
                <w:rFonts w:ascii="Palatino Linotype" w:hAnsi="Palatino Linotype"/>
                <w:noProof/>
                <w:webHidden/>
                <w:sz w:val="22"/>
                <w:szCs w:val="22"/>
              </w:rPr>
              <w:t>2</w:t>
            </w:r>
            <w:r w:rsidRPr="00FC6906">
              <w:rPr>
                <w:rFonts w:ascii="Palatino Linotype" w:hAnsi="Palatino Linotype"/>
                <w:noProof/>
                <w:webHidden/>
                <w:sz w:val="22"/>
                <w:szCs w:val="22"/>
              </w:rPr>
              <w:fldChar w:fldCharType="end"/>
            </w:r>
          </w:hyperlink>
        </w:p>
        <w:p w14:paraId="24523101" w14:textId="77777777" w:rsidR="00920D0B" w:rsidRPr="00FC6906" w:rsidRDefault="00920D0B">
          <w:pPr>
            <w:pStyle w:val="TDC2"/>
            <w:tabs>
              <w:tab w:val="right" w:leader="dot" w:pos="9034"/>
            </w:tabs>
            <w:rPr>
              <w:rFonts w:ascii="Palatino Linotype" w:eastAsiaTheme="minorEastAsia" w:hAnsi="Palatino Linotype" w:cstheme="minorBidi"/>
              <w:noProof/>
              <w:sz w:val="22"/>
              <w:szCs w:val="22"/>
            </w:rPr>
          </w:pPr>
          <w:hyperlink w:anchor="_Toc211522618" w:history="1">
            <w:r w:rsidRPr="00FC6906">
              <w:rPr>
                <w:rStyle w:val="Hipervnculo"/>
                <w:rFonts w:ascii="Palatino Linotype" w:eastAsia="Palatino Linotype" w:hAnsi="Palatino Linotype" w:cs="Palatino Linotype"/>
                <w:noProof/>
                <w:sz w:val="22"/>
                <w:szCs w:val="22"/>
              </w:rPr>
              <w:t>I. Presentación de la solicitud de acceso a datos personales.</w:t>
            </w:r>
            <w:r w:rsidRPr="00FC6906">
              <w:rPr>
                <w:rFonts w:ascii="Palatino Linotype" w:hAnsi="Palatino Linotype"/>
                <w:noProof/>
                <w:webHidden/>
                <w:sz w:val="22"/>
                <w:szCs w:val="22"/>
              </w:rPr>
              <w:tab/>
            </w:r>
            <w:r w:rsidRPr="00FC6906">
              <w:rPr>
                <w:rFonts w:ascii="Palatino Linotype" w:hAnsi="Palatino Linotype"/>
                <w:noProof/>
                <w:webHidden/>
                <w:sz w:val="22"/>
                <w:szCs w:val="22"/>
              </w:rPr>
              <w:fldChar w:fldCharType="begin"/>
            </w:r>
            <w:r w:rsidRPr="00FC6906">
              <w:rPr>
                <w:rFonts w:ascii="Palatino Linotype" w:hAnsi="Palatino Linotype"/>
                <w:noProof/>
                <w:webHidden/>
                <w:sz w:val="22"/>
                <w:szCs w:val="22"/>
              </w:rPr>
              <w:instrText xml:space="preserve"> PAGEREF _Toc211522618 \h </w:instrText>
            </w:r>
            <w:r w:rsidRPr="00FC6906">
              <w:rPr>
                <w:rFonts w:ascii="Palatino Linotype" w:hAnsi="Palatino Linotype"/>
                <w:noProof/>
                <w:webHidden/>
                <w:sz w:val="22"/>
                <w:szCs w:val="22"/>
              </w:rPr>
            </w:r>
            <w:r w:rsidRPr="00FC6906">
              <w:rPr>
                <w:rFonts w:ascii="Palatino Linotype" w:hAnsi="Palatino Linotype"/>
                <w:noProof/>
                <w:webHidden/>
                <w:sz w:val="22"/>
                <w:szCs w:val="22"/>
              </w:rPr>
              <w:fldChar w:fldCharType="separate"/>
            </w:r>
            <w:r w:rsidR="00DC756F">
              <w:rPr>
                <w:rFonts w:ascii="Palatino Linotype" w:hAnsi="Palatino Linotype"/>
                <w:noProof/>
                <w:webHidden/>
                <w:sz w:val="22"/>
                <w:szCs w:val="22"/>
              </w:rPr>
              <w:t>2</w:t>
            </w:r>
            <w:r w:rsidRPr="00FC6906">
              <w:rPr>
                <w:rFonts w:ascii="Palatino Linotype" w:hAnsi="Palatino Linotype"/>
                <w:noProof/>
                <w:webHidden/>
                <w:sz w:val="22"/>
                <w:szCs w:val="22"/>
              </w:rPr>
              <w:fldChar w:fldCharType="end"/>
            </w:r>
          </w:hyperlink>
        </w:p>
        <w:p w14:paraId="002ECBC8" w14:textId="77777777" w:rsidR="00920D0B" w:rsidRPr="00FC6906" w:rsidRDefault="00920D0B">
          <w:pPr>
            <w:pStyle w:val="TDC2"/>
            <w:tabs>
              <w:tab w:val="right" w:leader="dot" w:pos="9034"/>
            </w:tabs>
            <w:rPr>
              <w:rFonts w:ascii="Palatino Linotype" w:eastAsiaTheme="minorEastAsia" w:hAnsi="Palatino Linotype" w:cstheme="minorBidi"/>
              <w:noProof/>
              <w:sz w:val="22"/>
              <w:szCs w:val="22"/>
            </w:rPr>
          </w:pPr>
          <w:hyperlink w:anchor="_Toc211522619" w:history="1">
            <w:r w:rsidRPr="00FC6906">
              <w:rPr>
                <w:rStyle w:val="Hipervnculo"/>
                <w:rFonts w:ascii="Palatino Linotype" w:eastAsia="Palatino Linotype" w:hAnsi="Palatino Linotype" w:cs="Palatino Linotype"/>
                <w:noProof/>
                <w:sz w:val="22"/>
                <w:szCs w:val="22"/>
              </w:rPr>
              <w:t>II. Solicitud de aclaración.</w:t>
            </w:r>
            <w:r w:rsidRPr="00FC6906">
              <w:rPr>
                <w:rFonts w:ascii="Palatino Linotype" w:hAnsi="Palatino Linotype"/>
                <w:noProof/>
                <w:webHidden/>
                <w:sz w:val="22"/>
                <w:szCs w:val="22"/>
              </w:rPr>
              <w:tab/>
            </w:r>
            <w:r w:rsidRPr="00FC6906">
              <w:rPr>
                <w:rFonts w:ascii="Palatino Linotype" w:hAnsi="Palatino Linotype"/>
                <w:noProof/>
                <w:webHidden/>
                <w:sz w:val="22"/>
                <w:szCs w:val="22"/>
              </w:rPr>
              <w:fldChar w:fldCharType="begin"/>
            </w:r>
            <w:r w:rsidRPr="00FC6906">
              <w:rPr>
                <w:rFonts w:ascii="Palatino Linotype" w:hAnsi="Palatino Linotype"/>
                <w:noProof/>
                <w:webHidden/>
                <w:sz w:val="22"/>
                <w:szCs w:val="22"/>
              </w:rPr>
              <w:instrText xml:space="preserve"> PAGEREF _Toc211522619 \h </w:instrText>
            </w:r>
            <w:r w:rsidRPr="00FC6906">
              <w:rPr>
                <w:rFonts w:ascii="Palatino Linotype" w:hAnsi="Palatino Linotype"/>
                <w:noProof/>
                <w:webHidden/>
                <w:sz w:val="22"/>
                <w:szCs w:val="22"/>
              </w:rPr>
            </w:r>
            <w:r w:rsidRPr="00FC6906">
              <w:rPr>
                <w:rFonts w:ascii="Palatino Linotype" w:hAnsi="Palatino Linotype"/>
                <w:noProof/>
                <w:webHidden/>
                <w:sz w:val="22"/>
                <w:szCs w:val="22"/>
              </w:rPr>
              <w:fldChar w:fldCharType="separate"/>
            </w:r>
            <w:r w:rsidR="00DC756F">
              <w:rPr>
                <w:rFonts w:ascii="Palatino Linotype" w:hAnsi="Palatino Linotype"/>
                <w:noProof/>
                <w:webHidden/>
                <w:sz w:val="22"/>
                <w:szCs w:val="22"/>
              </w:rPr>
              <w:t>3</w:t>
            </w:r>
            <w:r w:rsidRPr="00FC6906">
              <w:rPr>
                <w:rFonts w:ascii="Palatino Linotype" w:hAnsi="Palatino Linotype"/>
                <w:noProof/>
                <w:webHidden/>
                <w:sz w:val="22"/>
                <w:szCs w:val="22"/>
              </w:rPr>
              <w:fldChar w:fldCharType="end"/>
            </w:r>
          </w:hyperlink>
        </w:p>
        <w:p w14:paraId="1E4C7806" w14:textId="77777777" w:rsidR="00920D0B" w:rsidRPr="00FC6906" w:rsidRDefault="00920D0B">
          <w:pPr>
            <w:pStyle w:val="TDC2"/>
            <w:tabs>
              <w:tab w:val="right" w:leader="dot" w:pos="9034"/>
            </w:tabs>
            <w:rPr>
              <w:rFonts w:ascii="Palatino Linotype" w:eastAsiaTheme="minorEastAsia" w:hAnsi="Palatino Linotype" w:cstheme="minorBidi"/>
              <w:noProof/>
              <w:sz w:val="22"/>
              <w:szCs w:val="22"/>
            </w:rPr>
          </w:pPr>
          <w:hyperlink w:anchor="_Toc211522620" w:history="1">
            <w:r w:rsidRPr="00FC6906">
              <w:rPr>
                <w:rStyle w:val="Hipervnculo"/>
                <w:rFonts w:ascii="Palatino Linotype" w:eastAsia="Palatino Linotype" w:hAnsi="Palatino Linotype" w:cs="Palatino Linotype"/>
                <w:noProof/>
                <w:sz w:val="22"/>
                <w:szCs w:val="22"/>
              </w:rPr>
              <w:t>III. Interposición del Recurso de Revisión.</w:t>
            </w:r>
            <w:r w:rsidRPr="00FC6906">
              <w:rPr>
                <w:rFonts w:ascii="Palatino Linotype" w:hAnsi="Palatino Linotype"/>
                <w:noProof/>
                <w:webHidden/>
                <w:sz w:val="22"/>
                <w:szCs w:val="22"/>
              </w:rPr>
              <w:tab/>
            </w:r>
            <w:r w:rsidRPr="00FC6906">
              <w:rPr>
                <w:rFonts w:ascii="Palatino Linotype" w:hAnsi="Palatino Linotype"/>
                <w:noProof/>
                <w:webHidden/>
                <w:sz w:val="22"/>
                <w:szCs w:val="22"/>
              </w:rPr>
              <w:fldChar w:fldCharType="begin"/>
            </w:r>
            <w:r w:rsidRPr="00FC6906">
              <w:rPr>
                <w:rFonts w:ascii="Palatino Linotype" w:hAnsi="Palatino Linotype"/>
                <w:noProof/>
                <w:webHidden/>
                <w:sz w:val="22"/>
                <w:szCs w:val="22"/>
              </w:rPr>
              <w:instrText xml:space="preserve"> PAGEREF _Toc211522620 \h </w:instrText>
            </w:r>
            <w:r w:rsidRPr="00FC6906">
              <w:rPr>
                <w:rFonts w:ascii="Palatino Linotype" w:hAnsi="Palatino Linotype"/>
                <w:noProof/>
                <w:webHidden/>
                <w:sz w:val="22"/>
                <w:szCs w:val="22"/>
              </w:rPr>
            </w:r>
            <w:r w:rsidRPr="00FC6906">
              <w:rPr>
                <w:rFonts w:ascii="Palatino Linotype" w:hAnsi="Palatino Linotype"/>
                <w:noProof/>
                <w:webHidden/>
                <w:sz w:val="22"/>
                <w:szCs w:val="22"/>
              </w:rPr>
              <w:fldChar w:fldCharType="separate"/>
            </w:r>
            <w:r w:rsidR="00DC756F">
              <w:rPr>
                <w:rFonts w:ascii="Palatino Linotype" w:hAnsi="Palatino Linotype"/>
                <w:noProof/>
                <w:webHidden/>
                <w:sz w:val="22"/>
                <w:szCs w:val="22"/>
              </w:rPr>
              <w:t>3</w:t>
            </w:r>
            <w:r w:rsidRPr="00FC6906">
              <w:rPr>
                <w:rFonts w:ascii="Palatino Linotype" w:hAnsi="Palatino Linotype"/>
                <w:noProof/>
                <w:webHidden/>
                <w:sz w:val="22"/>
                <w:szCs w:val="22"/>
              </w:rPr>
              <w:fldChar w:fldCharType="end"/>
            </w:r>
          </w:hyperlink>
        </w:p>
        <w:p w14:paraId="76A532C7" w14:textId="77777777" w:rsidR="00920D0B" w:rsidRPr="00FC6906" w:rsidRDefault="00920D0B">
          <w:pPr>
            <w:pStyle w:val="TDC2"/>
            <w:tabs>
              <w:tab w:val="right" w:leader="dot" w:pos="9034"/>
            </w:tabs>
            <w:rPr>
              <w:rFonts w:ascii="Palatino Linotype" w:eastAsiaTheme="minorEastAsia" w:hAnsi="Palatino Linotype" w:cstheme="minorBidi"/>
              <w:noProof/>
              <w:sz w:val="22"/>
              <w:szCs w:val="22"/>
            </w:rPr>
          </w:pPr>
          <w:hyperlink w:anchor="_Toc211522621" w:history="1">
            <w:r w:rsidRPr="00FC6906">
              <w:rPr>
                <w:rStyle w:val="Hipervnculo"/>
                <w:rFonts w:ascii="Palatino Linotype" w:eastAsia="Palatino Linotype" w:hAnsi="Palatino Linotype" w:cs="Palatino Linotype"/>
                <w:noProof/>
                <w:sz w:val="22"/>
                <w:szCs w:val="22"/>
              </w:rPr>
              <w:t>IV. Trámite del Recurso de Revisión ante el Instituto.</w:t>
            </w:r>
            <w:r w:rsidRPr="00FC6906">
              <w:rPr>
                <w:rFonts w:ascii="Palatino Linotype" w:hAnsi="Palatino Linotype"/>
                <w:noProof/>
                <w:webHidden/>
                <w:sz w:val="22"/>
                <w:szCs w:val="22"/>
              </w:rPr>
              <w:tab/>
            </w:r>
            <w:r w:rsidRPr="00FC6906">
              <w:rPr>
                <w:rFonts w:ascii="Palatino Linotype" w:hAnsi="Palatino Linotype"/>
                <w:noProof/>
                <w:webHidden/>
                <w:sz w:val="22"/>
                <w:szCs w:val="22"/>
              </w:rPr>
              <w:fldChar w:fldCharType="begin"/>
            </w:r>
            <w:r w:rsidRPr="00FC6906">
              <w:rPr>
                <w:rFonts w:ascii="Palatino Linotype" w:hAnsi="Palatino Linotype"/>
                <w:noProof/>
                <w:webHidden/>
                <w:sz w:val="22"/>
                <w:szCs w:val="22"/>
              </w:rPr>
              <w:instrText xml:space="preserve"> PAGEREF _Toc211522621 \h </w:instrText>
            </w:r>
            <w:r w:rsidRPr="00FC6906">
              <w:rPr>
                <w:rFonts w:ascii="Palatino Linotype" w:hAnsi="Palatino Linotype"/>
                <w:noProof/>
                <w:webHidden/>
                <w:sz w:val="22"/>
                <w:szCs w:val="22"/>
              </w:rPr>
            </w:r>
            <w:r w:rsidRPr="00FC6906">
              <w:rPr>
                <w:rFonts w:ascii="Palatino Linotype" w:hAnsi="Palatino Linotype"/>
                <w:noProof/>
                <w:webHidden/>
                <w:sz w:val="22"/>
                <w:szCs w:val="22"/>
              </w:rPr>
              <w:fldChar w:fldCharType="separate"/>
            </w:r>
            <w:r w:rsidR="00DC756F">
              <w:rPr>
                <w:rFonts w:ascii="Palatino Linotype" w:hAnsi="Palatino Linotype"/>
                <w:noProof/>
                <w:webHidden/>
                <w:sz w:val="22"/>
                <w:szCs w:val="22"/>
              </w:rPr>
              <w:t>5</w:t>
            </w:r>
            <w:r w:rsidRPr="00FC6906">
              <w:rPr>
                <w:rFonts w:ascii="Palatino Linotype" w:hAnsi="Palatino Linotype"/>
                <w:noProof/>
                <w:webHidden/>
                <w:sz w:val="22"/>
                <w:szCs w:val="22"/>
              </w:rPr>
              <w:fldChar w:fldCharType="end"/>
            </w:r>
          </w:hyperlink>
        </w:p>
        <w:p w14:paraId="3A99F826" w14:textId="77777777" w:rsidR="00920D0B" w:rsidRPr="00FC6906" w:rsidRDefault="00920D0B">
          <w:pPr>
            <w:pStyle w:val="TDC1"/>
            <w:tabs>
              <w:tab w:val="right" w:leader="dot" w:pos="9034"/>
            </w:tabs>
            <w:rPr>
              <w:rFonts w:ascii="Palatino Linotype" w:eastAsiaTheme="minorEastAsia" w:hAnsi="Palatino Linotype" w:cstheme="minorBidi"/>
              <w:noProof/>
              <w:sz w:val="22"/>
              <w:szCs w:val="22"/>
            </w:rPr>
          </w:pPr>
          <w:hyperlink w:anchor="_Toc211522622" w:history="1">
            <w:r w:rsidRPr="00FC6906">
              <w:rPr>
                <w:rStyle w:val="Hipervnculo"/>
                <w:rFonts w:ascii="Palatino Linotype" w:eastAsia="Palatino Linotype" w:hAnsi="Palatino Linotype" w:cs="Palatino Linotype"/>
                <w:noProof/>
                <w:sz w:val="22"/>
                <w:szCs w:val="22"/>
              </w:rPr>
              <w:t>C O N S I D E R A N D O S</w:t>
            </w:r>
            <w:r w:rsidRPr="00FC6906">
              <w:rPr>
                <w:rFonts w:ascii="Palatino Linotype" w:hAnsi="Palatino Linotype"/>
                <w:noProof/>
                <w:webHidden/>
                <w:sz w:val="22"/>
                <w:szCs w:val="22"/>
              </w:rPr>
              <w:tab/>
            </w:r>
            <w:r w:rsidRPr="00FC6906">
              <w:rPr>
                <w:rFonts w:ascii="Palatino Linotype" w:hAnsi="Palatino Linotype"/>
                <w:noProof/>
                <w:webHidden/>
                <w:sz w:val="22"/>
                <w:szCs w:val="22"/>
              </w:rPr>
              <w:fldChar w:fldCharType="begin"/>
            </w:r>
            <w:r w:rsidRPr="00FC6906">
              <w:rPr>
                <w:rFonts w:ascii="Palatino Linotype" w:hAnsi="Palatino Linotype"/>
                <w:noProof/>
                <w:webHidden/>
                <w:sz w:val="22"/>
                <w:szCs w:val="22"/>
              </w:rPr>
              <w:instrText xml:space="preserve"> PAGEREF _Toc211522622 \h </w:instrText>
            </w:r>
            <w:r w:rsidRPr="00FC6906">
              <w:rPr>
                <w:rFonts w:ascii="Palatino Linotype" w:hAnsi="Palatino Linotype"/>
                <w:noProof/>
                <w:webHidden/>
                <w:sz w:val="22"/>
                <w:szCs w:val="22"/>
              </w:rPr>
            </w:r>
            <w:r w:rsidRPr="00FC6906">
              <w:rPr>
                <w:rFonts w:ascii="Palatino Linotype" w:hAnsi="Palatino Linotype"/>
                <w:noProof/>
                <w:webHidden/>
                <w:sz w:val="22"/>
                <w:szCs w:val="22"/>
              </w:rPr>
              <w:fldChar w:fldCharType="separate"/>
            </w:r>
            <w:r w:rsidR="00DC756F">
              <w:rPr>
                <w:rFonts w:ascii="Palatino Linotype" w:hAnsi="Palatino Linotype"/>
                <w:noProof/>
                <w:webHidden/>
                <w:sz w:val="22"/>
                <w:szCs w:val="22"/>
              </w:rPr>
              <w:t>7</w:t>
            </w:r>
            <w:r w:rsidRPr="00FC6906">
              <w:rPr>
                <w:rFonts w:ascii="Palatino Linotype" w:hAnsi="Palatino Linotype"/>
                <w:noProof/>
                <w:webHidden/>
                <w:sz w:val="22"/>
                <w:szCs w:val="22"/>
              </w:rPr>
              <w:fldChar w:fldCharType="end"/>
            </w:r>
          </w:hyperlink>
        </w:p>
        <w:p w14:paraId="3FD1AD62" w14:textId="77777777" w:rsidR="00920D0B" w:rsidRPr="00FC6906" w:rsidRDefault="00920D0B">
          <w:pPr>
            <w:pStyle w:val="TDC2"/>
            <w:tabs>
              <w:tab w:val="right" w:leader="dot" w:pos="9034"/>
            </w:tabs>
            <w:rPr>
              <w:rFonts w:ascii="Palatino Linotype" w:eastAsiaTheme="minorEastAsia" w:hAnsi="Palatino Linotype" w:cstheme="minorBidi"/>
              <w:noProof/>
              <w:sz w:val="22"/>
              <w:szCs w:val="22"/>
            </w:rPr>
          </w:pPr>
          <w:hyperlink w:anchor="_Toc211522623" w:history="1">
            <w:r w:rsidRPr="00FC6906">
              <w:rPr>
                <w:rStyle w:val="Hipervnculo"/>
                <w:rFonts w:ascii="Palatino Linotype" w:eastAsia="Palatino Linotype" w:hAnsi="Palatino Linotype" w:cs="Palatino Linotype"/>
                <w:noProof/>
                <w:sz w:val="22"/>
                <w:szCs w:val="22"/>
              </w:rPr>
              <w:t>PRIMERO. Competencia</w:t>
            </w:r>
            <w:r w:rsidRPr="00FC6906">
              <w:rPr>
                <w:rFonts w:ascii="Palatino Linotype" w:hAnsi="Palatino Linotype"/>
                <w:noProof/>
                <w:webHidden/>
                <w:sz w:val="22"/>
                <w:szCs w:val="22"/>
              </w:rPr>
              <w:tab/>
            </w:r>
            <w:r w:rsidRPr="00FC6906">
              <w:rPr>
                <w:rFonts w:ascii="Palatino Linotype" w:hAnsi="Palatino Linotype"/>
                <w:noProof/>
                <w:webHidden/>
                <w:sz w:val="22"/>
                <w:szCs w:val="22"/>
              </w:rPr>
              <w:fldChar w:fldCharType="begin"/>
            </w:r>
            <w:r w:rsidRPr="00FC6906">
              <w:rPr>
                <w:rFonts w:ascii="Palatino Linotype" w:hAnsi="Palatino Linotype"/>
                <w:noProof/>
                <w:webHidden/>
                <w:sz w:val="22"/>
                <w:szCs w:val="22"/>
              </w:rPr>
              <w:instrText xml:space="preserve"> PAGEREF _Toc211522623 \h </w:instrText>
            </w:r>
            <w:r w:rsidRPr="00FC6906">
              <w:rPr>
                <w:rFonts w:ascii="Palatino Linotype" w:hAnsi="Palatino Linotype"/>
                <w:noProof/>
                <w:webHidden/>
                <w:sz w:val="22"/>
                <w:szCs w:val="22"/>
              </w:rPr>
            </w:r>
            <w:r w:rsidRPr="00FC6906">
              <w:rPr>
                <w:rFonts w:ascii="Palatino Linotype" w:hAnsi="Palatino Linotype"/>
                <w:noProof/>
                <w:webHidden/>
                <w:sz w:val="22"/>
                <w:szCs w:val="22"/>
              </w:rPr>
              <w:fldChar w:fldCharType="separate"/>
            </w:r>
            <w:r w:rsidR="00DC756F">
              <w:rPr>
                <w:rFonts w:ascii="Palatino Linotype" w:hAnsi="Palatino Linotype"/>
                <w:noProof/>
                <w:webHidden/>
                <w:sz w:val="22"/>
                <w:szCs w:val="22"/>
              </w:rPr>
              <w:t>7</w:t>
            </w:r>
            <w:r w:rsidRPr="00FC6906">
              <w:rPr>
                <w:rFonts w:ascii="Palatino Linotype" w:hAnsi="Palatino Linotype"/>
                <w:noProof/>
                <w:webHidden/>
                <w:sz w:val="22"/>
                <w:szCs w:val="22"/>
              </w:rPr>
              <w:fldChar w:fldCharType="end"/>
            </w:r>
          </w:hyperlink>
        </w:p>
        <w:p w14:paraId="69F571CC" w14:textId="77777777" w:rsidR="00920D0B" w:rsidRPr="00FC6906" w:rsidRDefault="00920D0B">
          <w:pPr>
            <w:pStyle w:val="TDC2"/>
            <w:tabs>
              <w:tab w:val="right" w:leader="dot" w:pos="9034"/>
            </w:tabs>
            <w:rPr>
              <w:rFonts w:ascii="Palatino Linotype" w:eastAsiaTheme="minorEastAsia" w:hAnsi="Palatino Linotype" w:cstheme="minorBidi"/>
              <w:noProof/>
              <w:sz w:val="22"/>
              <w:szCs w:val="22"/>
            </w:rPr>
          </w:pPr>
          <w:hyperlink w:anchor="_Toc211522624" w:history="1">
            <w:r w:rsidRPr="00FC6906">
              <w:rPr>
                <w:rStyle w:val="Hipervnculo"/>
                <w:rFonts w:ascii="Palatino Linotype" w:eastAsia="Palatino Linotype" w:hAnsi="Palatino Linotype" w:cs="Palatino Linotype"/>
                <w:noProof/>
                <w:sz w:val="22"/>
                <w:szCs w:val="22"/>
              </w:rPr>
              <w:t>SEGUNDO. Causales de improcedencia y sobreseimiento</w:t>
            </w:r>
            <w:r w:rsidRPr="00FC6906">
              <w:rPr>
                <w:rFonts w:ascii="Palatino Linotype" w:hAnsi="Palatino Linotype"/>
                <w:noProof/>
                <w:webHidden/>
                <w:sz w:val="22"/>
                <w:szCs w:val="22"/>
              </w:rPr>
              <w:tab/>
            </w:r>
            <w:r w:rsidRPr="00FC6906">
              <w:rPr>
                <w:rFonts w:ascii="Palatino Linotype" w:hAnsi="Palatino Linotype"/>
                <w:noProof/>
                <w:webHidden/>
                <w:sz w:val="22"/>
                <w:szCs w:val="22"/>
              </w:rPr>
              <w:fldChar w:fldCharType="begin"/>
            </w:r>
            <w:r w:rsidRPr="00FC6906">
              <w:rPr>
                <w:rFonts w:ascii="Palatino Linotype" w:hAnsi="Palatino Linotype"/>
                <w:noProof/>
                <w:webHidden/>
                <w:sz w:val="22"/>
                <w:szCs w:val="22"/>
              </w:rPr>
              <w:instrText xml:space="preserve"> PAGEREF _Toc211522624 \h </w:instrText>
            </w:r>
            <w:r w:rsidRPr="00FC6906">
              <w:rPr>
                <w:rFonts w:ascii="Palatino Linotype" w:hAnsi="Palatino Linotype"/>
                <w:noProof/>
                <w:webHidden/>
                <w:sz w:val="22"/>
                <w:szCs w:val="22"/>
              </w:rPr>
            </w:r>
            <w:r w:rsidRPr="00FC6906">
              <w:rPr>
                <w:rFonts w:ascii="Palatino Linotype" w:hAnsi="Palatino Linotype"/>
                <w:noProof/>
                <w:webHidden/>
                <w:sz w:val="22"/>
                <w:szCs w:val="22"/>
              </w:rPr>
              <w:fldChar w:fldCharType="separate"/>
            </w:r>
            <w:r w:rsidR="00DC756F">
              <w:rPr>
                <w:rFonts w:ascii="Palatino Linotype" w:hAnsi="Palatino Linotype"/>
                <w:noProof/>
                <w:webHidden/>
                <w:sz w:val="22"/>
                <w:szCs w:val="22"/>
              </w:rPr>
              <w:t>8</w:t>
            </w:r>
            <w:r w:rsidRPr="00FC6906">
              <w:rPr>
                <w:rFonts w:ascii="Palatino Linotype" w:hAnsi="Palatino Linotype"/>
                <w:noProof/>
                <w:webHidden/>
                <w:sz w:val="22"/>
                <w:szCs w:val="22"/>
              </w:rPr>
              <w:fldChar w:fldCharType="end"/>
            </w:r>
          </w:hyperlink>
        </w:p>
        <w:p w14:paraId="081BA037" w14:textId="77777777" w:rsidR="00920D0B" w:rsidRPr="00FC6906" w:rsidRDefault="00920D0B">
          <w:pPr>
            <w:pStyle w:val="TDC2"/>
            <w:tabs>
              <w:tab w:val="right" w:leader="dot" w:pos="9034"/>
            </w:tabs>
            <w:rPr>
              <w:rFonts w:ascii="Palatino Linotype" w:eastAsiaTheme="minorEastAsia" w:hAnsi="Palatino Linotype" w:cstheme="minorBidi"/>
              <w:noProof/>
              <w:sz w:val="22"/>
              <w:szCs w:val="22"/>
            </w:rPr>
          </w:pPr>
          <w:hyperlink w:anchor="_Toc211522625" w:history="1">
            <w:r w:rsidRPr="00FC6906">
              <w:rPr>
                <w:rStyle w:val="Hipervnculo"/>
                <w:rFonts w:ascii="Palatino Linotype" w:eastAsia="Palatino Linotype" w:hAnsi="Palatino Linotype" w:cs="Palatino Linotype"/>
                <w:noProof/>
                <w:sz w:val="22"/>
                <w:szCs w:val="22"/>
              </w:rPr>
              <w:t>TERCERO. Decisión</w:t>
            </w:r>
            <w:r w:rsidRPr="00FC6906">
              <w:rPr>
                <w:rFonts w:ascii="Palatino Linotype" w:hAnsi="Palatino Linotype"/>
                <w:noProof/>
                <w:webHidden/>
                <w:sz w:val="22"/>
                <w:szCs w:val="22"/>
              </w:rPr>
              <w:tab/>
            </w:r>
            <w:r w:rsidRPr="00FC6906">
              <w:rPr>
                <w:rFonts w:ascii="Palatino Linotype" w:hAnsi="Palatino Linotype"/>
                <w:noProof/>
                <w:webHidden/>
                <w:sz w:val="22"/>
                <w:szCs w:val="22"/>
              </w:rPr>
              <w:fldChar w:fldCharType="begin"/>
            </w:r>
            <w:r w:rsidRPr="00FC6906">
              <w:rPr>
                <w:rFonts w:ascii="Palatino Linotype" w:hAnsi="Palatino Linotype"/>
                <w:noProof/>
                <w:webHidden/>
                <w:sz w:val="22"/>
                <w:szCs w:val="22"/>
              </w:rPr>
              <w:instrText xml:space="preserve"> PAGEREF _Toc211522625 \h </w:instrText>
            </w:r>
            <w:r w:rsidRPr="00FC6906">
              <w:rPr>
                <w:rFonts w:ascii="Palatino Linotype" w:hAnsi="Palatino Linotype"/>
                <w:noProof/>
                <w:webHidden/>
                <w:sz w:val="22"/>
                <w:szCs w:val="22"/>
              </w:rPr>
            </w:r>
            <w:r w:rsidRPr="00FC6906">
              <w:rPr>
                <w:rFonts w:ascii="Palatino Linotype" w:hAnsi="Palatino Linotype"/>
                <w:noProof/>
                <w:webHidden/>
                <w:sz w:val="22"/>
                <w:szCs w:val="22"/>
              </w:rPr>
              <w:fldChar w:fldCharType="separate"/>
            </w:r>
            <w:r w:rsidR="00DC756F">
              <w:rPr>
                <w:rFonts w:ascii="Palatino Linotype" w:hAnsi="Palatino Linotype"/>
                <w:noProof/>
                <w:webHidden/>
                <w:sz w:val="22"/>
                <w:szCs w:val="22"/>
              </w:rPr>
              <w:t>13</w:t>
            </w:r>
            <w:r w:rsidRPr="00FC6906">
              <w:rPr>
                <w:rFonts w:ascii="Palatino Linotype" w:hAnsi="Palatino Linotype"/>
                <w:noProof/>
                <w:webHidden/>
                <w:sz w:val="22"/>
                <w:szCs w:val="22"/>
              </w:rPr>
              <w:fldChar w:fldCharType="end"/>
            </w:r>
          </w:hyperlink>
        </w:p>
        <w:p w14:paraId="26DE102F" w14:textId="77777777" w:rsidR="00920D0B" w:rsidRPr="00FC6906" w:rsidRDefault="00920D0B">
          <w:pPr>
            <w:pStyle w:val="TDC1"/>
            <w:tabs>
              <w:tab w:val="right" w:leader="dot" w:pos="9034"/>
            </w:tabs>
            <w:rPr>
              <w:rFonts w:ascii="Palatino Linotype" w:eastAsiaTheme="minorEastAsia" w:hAnsi="Palatino Linotype" w:cstheme="minorBidi"/>
              <w:noProof/>
              <w:sz w:val="22"/>
              <w:szCs w:val="22"/>
            </w:rPr>
          </w:pPr>
          <w:hyperlink w:anchor="_Toc211522626" w:history="1">
            <w:r w:rsidRPr="00FC6906">
              <w:rPr>
                <w:rStyle w:val="Hipervnculo"/>
                <w:rFonts w:ascii="Palatino Linotype" w:eastAsia="Palatino Linotype" w:hAnsi="Palatino Linotype" w:cs="Palatino Linotype"/>
                <w:noProof/>
                <w:sz w:val="22"/>
                <w:szCs w:val="22"/>
              </w:rPr>
              <w:t>R E S U E L V E</w:t>
            </w:r>
            <w:r w:rsidRPr="00FC6906">
              <w:rPr>
                <w:rFonts w:ascii="Palatino Linotype" w:hAnsi="Palatino Linotype"/>
                <w:noProof/>
                <w:webHidden/>
                <w:sz w:val="22"/>
                <w:szCs w:val="22"/>
              </w:rPr>
              <w:tab/>
            </w:r>
            <w:r w:rsidRPr="00FC6906">
              <w:rPr>
                <w:rFonts w:ascii="Palatino Linotype" w:hAnsi="Palatino Linotype"/>
                <w:noProof/>
                <w:webHidden/>
                <w:sz w:val="22"/>
                <w:szCs w:val="22"/>
              </w:rPr>
              <w:fldChar w:fldCharType="begin"/>
            </w:r>
            <w:r w:rsidRPr="00FC6906">
              <w:rPr>
                <w:rFonts w:ascii="Palatino Linotype" w:hAnsi="Palatino Linotype"/>
                <w:noProof/>
                <w:webHidden/>
                <w:sz w:val="22"/>
                <w:szCs w:val="22"/>
              </w:rPr>
              <w:instrText xml:space="preserve"> PAGEREF _Toc211522626 \h </w:instrText>
            </w:r>
            <w:r w:rsidRPr="00FC6906">
              <w:rPr>
                <w:rFonts w:ascii="Palatino Linotype" w:hAnsi="Palatino Linotype"/>
                <w:noProof/>
                <w:webHidden/>
                <w:sz w:val="22"/>
                <w:szCs w:val="22"/>
              </w:rPr>
            </w:r>
            <w:r w:rsidRPr="00FC6906">
              <w:rPr>
                <w:rFonts w:ascii="Palatino Linotype" w:hAnsi="Palatino Linotype"/>
                <w:noProof/>
                <w:webHidden/>
                <w:sz w:val="22"/>
                <w:szCs w:val="22"/>
              </w:rPr>
              <w:fldChar w:fldCharType="separate"/>
            </w:r>
            <w:r w:rsidR="00DC756F">
              <w:rPr>
                <w:rFonts w:ascii="Palatino Linotype" w:hAnsi="Palatino Linotype"/>
                <w:noProof/>
                <w:webHidden/>
                <w:sz w:val="22"/>
                <w:szCs w:val="22"/>
              </w:rPr>
              <w:t>14</w:t>
            </w:r>
            <w:r w:rsidRPr="00FC6906">
              <w:rPr>
                <w:rFonts w:ascii="Palatino Linotype" w:hAnsi="Palatino Linotype"/>
                <w:noProof/>
                <w:webHidden/>
                <w:sz w:val="22"/>
                <w:szCs w:val="22"/>
              </w:rPr>
              <w:fldChar w:fldCharType="end"/>
            </w:r>
          </w:hyperlink>
        </w:p>
        <w:p w14:paraId="301FA960" w14:textId="77777777" w:rsidR="00920D0B" w:rsidRDefault="00920D0B">
          <w:r w:rsidRPr="00FC6906">
            <w:rPr>
              <w:rFonts w:ascii="Palatino Linotype" w:hAnsi="Palatino Linotype"/>
              <w:bCs/>
              <w:sz w:val="22"/>
              <w:szCs w:val="22"/>
              <w:lang w:val="es-ES"/>
            </w:rPr>
            <w:fldChar w:fldCharType="end"/>
          </w:r>
        </w:p>
      </w:sdtContent>
    </w:sdt>
    <w:p w14:paraId="49B19A98" w14:textId="77777777" w:rsidR="00600D10" w:rsidRPr="00920D0B" w:rsidRDefault="00600D10">
      <w:pPr>
        <w:widowControl w:val="0"/>
        <w:pBdr>
          <w:top w:val="nil"/>
          <w:left w:val="nil"/>
          <w:bottom w:val="nil"/>
          <w:right w:val="nil"/>
          <w:between w:val="nil"/>
        </w:pBdr>
        <w:spacing w:line="360" w:lineRule="auto"/>
        <w:rPr>
          <w:rFonts w:ascii="Palatino Linotype" w:eastAsia="Palatino Linotype" w:hAnsi="Palatino Linotype" w:cs="Palatino Linotype"/>
          <w:sz w:val="22"/>
          <w:szCs w:val="22"/>
        </w:rPr>
      </w:pPr>
    </w:p>
    <w:p w14:paraId="3D84A770" w14:textId="77777777" w:rsidR="00600D10" w:rsidRPr="00920D0B" w:rsidRDefault="00600D10">
      <w:pPr>
        <w:widowControl w:val="0"/>
        <w:pBdr>
          <w:top w:val="nil"/>
          <w:left w:val="nil"/>
          <w:bottom w:val="nil"/>
          <w:right w:val="nil"/>
          <w:between w:val="nil"/>
        </w:pBdr>
        <w:spacing w:line="360" w:lineRule="auto"/>
        <w:rPr>
          <w:rFonts w:ascii="Palatino Linotype" w:eastAsia="Palatino Linotype" w:hAnsi="Palatino Linotype" w:cs="Palatino Linotype"/>
          <w:sz w:val="22"/>
          <w:szCs w:val="22"/>
        </w:rPr>
      </w:pPr>
    </w:p>
    <w:p w14:paraId="251854F2" w14:textId="77777777" w:rsidR="00600D10" w:rsidRPr="00920D0B" w:rsidRDefault="00920D0B">
      <w:pPr>
        <w:spacing w:line="360" w:lineRule="auto"/>
        <w:rPr>
          <w:rFonts w:ascii="Palatino Linotype" w:eastAsia="Palatino Linotype" w:hAnsi="Palatino Linotype" w:cs="Palatino Linotype"/>
          <w:sz w:val="22"/>
          <w:szCs w:val="22"/>
        </w:rPr>
      </w:pPr>
      <w:r w:rsidRPr="00920D0B">
        <w:br w:type="page"/>
      </w:r>
    </w:p>
    <w:p w14:paraId="317F98EA"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 fecha quince de octubre de dos mil veinticinco.</w:t>
      </w:r>
    </w:p>
    <w:p w14:paraId="071A0A0D"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0D003B50" w14:textId="649F7C93"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b/>
          <w:sz w:val="22"/>
          <w:szCs w:val="22"/>
        </w:rPr>
        <w:t>VISTO</w:t>
      </w:r>
      <w:r w:rsidRPr="00920D0B">
        <w:rPr>
          <w:rFonts w:ascii="Palatino Linotype" w:eastAsia="Palatino Linotype" w:hAnsi="Palatino Linotype" w:cs="Palatino Linotype"/>
          <w:sz w:val="22"/>
          <w:szCs w:val="22"/>
        </w:rPr>
        <w:t xml:space="preserve"> el expediente conformado con motivo del Recurso de Revisión </w:t>
      </w:r>
      <w:r w:rsidRPr="00920D0B">
        <w:rPr>
          <w:rFonts w:ascii="Palatino Linotype" w:eastAsia="Palatino Linotype" w:hAnsi="Palatino Linotype" w:cs="Palatino Linotype"/>
          <w:b/>
          <w:sz w:val="22"/>
          <w:szCs w:val="22"/>
        </w:rPr>
        <w:t>06221/INFOEM/AD/RR/2025</w:t>
      </w:r>
      <w:r w:rsidRPr="00920D0B">
        <w:rPr>
          <w:rFonts w:ascii="Palatino Linotype" w:eastAsia="Palatino Linotype" w:hAnsi="Palatino Linotype" w:cs="Palatino Linotype"/>
          <w:sz w:val="22"/>
          <w:szCs w:val="22"/>
        </w:rPr>
        <w:t xml:space="preserve">, interpuesto por </w:t>
      </w:r>
      <w:r w:rsidR="00AD1B45" w:rsidRPr="00AD1B45">
        <w:rPr>
          <w:rFonts w:ascii="Palatino Linotype" w:eastAsia="Palatino Linotype" w:hAnsi="Palatino Linotype" w:cs="Palatino Linotype"/>
          <w:b/>
          <w:bCs/>
          <w:sz w:val="22"/>
          <w:szCs w:val="22"/>
          <w:highlight w:val="black"/>
        </w:rPr>
        <w:t>XXXXXXXXXXXXXXXXXXX</w:t>
      </w:r>
      <w:r w:rsidRPr="00920D0B">
        <w:rPr>
          <w:rFonts w:ascii="Palatino Linotype" w:eastAsia="Palatino Linotype" w:hAnsi="Palatino Linotype" w:cs="Palatino Linotype"/>
          <w:sz w:val="22"/>
          <w:szCs w:val="22"/>
        </w:rPr>
        <w:t>, en lo sucesivo, la persona Recurrente o Particular, en contra de la</w:t>
      </w:r>
      <w:r w:rsidR="00B63B1E">
        <w:rPr>
          <w:rFonts w:ascii="Palatino Linotype" w:eastAsia="Palatino Linotype" w:hAnsi="Palatino Linotype" w:cs="Palatino Linotype"/>
          <w:sz w:val="22"/>
          <w:szCs w:val="22"/>
        </w:rPr>
        <w:t xml:space="preserve"> falta de</w:t>
      </w:r>
      <w:r w:rsidRPr="00920D0B">
        <w:rPr>
          <w:rFonts w:ascii="Palatino Linotype" w:eastAsia="Palatino Linotype" w:hAnsi="Palatino Linotype" w:cs="Palatino Linotype"/>
          <w:sz w:val="22"/>
          <w:szCs w:val="22"/>
        </w:rPr>
        <w:t xml:space="preserve"> respuesta del Sujeto Obligado, </w:t>
      </w:r>
      <w:r w:rsidRPr="00920D0B">
        <w:rPr>
          <w:rFonts w:ascii="Palatino Linotype" w:eastAsia="Palatino Linotype" w:hAnsi="Palatino Linotype" w:cs="Palatino Linotype"/>
          <w:b/>
          <w:sz w:val="22"/>
          <w:szCs w:val="22"/>
        </w:rPr>
        <w:t>Instituto de Seguridad Social del Estado de México y Municipios</w:t>
      </w:r>
      <w:r w:rsidRPr="00920D0B">
        <w:rPr>
          <w:rFonts w:ascii="Palatino Linotype" w:eastAsia="Palatino Linotype" w:hAnsi="Palatino Linotype" w:cs="Palatino Linotype"/>
          <w:sz w:val="22"/>
          <w:szCs w:val="22"/>
        </w:rPr>
        <w:t>, se emite la presente Resolución con base en los antecedentes y considerandos que se exponen a continuación:</w:t>
      </w:r>
    </w:p>
    <w:p w14:paraId="5CF03471"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 xml:space="preserve"> </w:t>
      </w:r>
    </w:p>
    <w:p w14:paraId="0618BEBA" w14:textId="77777777" w:rsidR="00600D10" w:rsidRPr="00920D0B" w:rsidRDefault="00920D0B">
      <w:pPr>
        <w:pStyle w:val="Ttulo1"/>
        <w:spacing w:before="0" w:line="360" w:lineRule="auto"/>
        <w:jc w:val="center"/>
        <w:rPr>
          <w:rFonts w:ascii="Palatino Linotype" w:eastAsia="Palatino Linotype" w:hAnsi="Palatino Linotype" w:cs="Palatino Linotype"/>
          <w:b/>
          <w:color w:val="000000"/>
          <w:sz w:val="22"/>
          <w:szCs w:val="22"/>
        </w:rPr>
      </w:pPr>
      <w:bookmarkStart w:id="0" w:name="_Toc211522617"/>
      <w:r w:rsidRPr="00920D0B">
        <w:rPr>
          <w:rFonts w:ascii="Palatino Linotype" w:eastAsia="Palatino Linotype" w:hAnsi="Palatino Linotype" w:cs="Palatino Linotype"/>
          <w:b/>
          <w:color w:val="000000"/>
          <w:sz w:val="22"/>
          <w:szCs w:val="22"/>
        </w:rPr>
        <w:t>A N T E C E D E N T E S</w:t>
      </w:r>
      <w:bookmarkEnd w:id="0"/>
    </w:p>
    <w:p w14:paraId="7E5999B8" w14:textId="77777777" w:rsidR="00600D10" w:rsidRPr="00920D0B" w:rsidRDefault="00600D10">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E6B11DE" w14:textId="77777777" w:rsidR="00600D10" w:rsidRPr="00920D0B" w:rsidRDefault="00920D0B" w:rsidP="00661B81">
      <w:pPr>
        <w:pStyle w:val="Ttulo2"/>
        <w:spacing w:before="0" w:line="360" w:lineRule="auto"/>
        <w:rPr>
          <w:rFonts w:ascii="Palatino Linotype" w:eastAsia="Palatino Linotype" w:hAnsi="Palatino Linotype" w:cs="Palatino Linotype"/>
          <w:b/>
          <w:sz w:val="22"/>
          <w:szCs w:val="22"/>
        </w:rPr>
      </w:pPr>
      <w:bookmarkStart w:id="1" w:name="_Toc211522618"/>
      <w:r w:rsidRPr="00920D0B">
        <w:rPr>
          <w:rFonts w:ascii="Palatino Linotype" w:eastAsia="Palatino Linotype" w:hAnsi="Palatino Linotype" w:cs="Palatino Linotype"/>
          <w:b/>
          <w:color w:val="000000"/>
          <w:sz w:val="22"/>
          <w:szCs w:val="22"/>
        </w:rPr>
        <w:t>I. Presentación de la solicitud de acceso a datos personales</w:t>
      </w:r>
      <w:bookmarkEnd w:id="1"/>
      <w:r w:rsidR="00661B81" w:rsidRPr="00920D0B">
        <w:rPr>
          <w:rFonts w:ascii="Palatino Linotype" w:eastAsia="Palatino Linotype" w:hAnsi="Palatino Linotype" w:cs="Palatino Linotype"/>
          <w:b/>
          <w:sz w:val="22"/>
          <w:szCs w:val="22"/>
        </w:rPr>
        <w:t xml:space="preserve"> </w:t>
      </w:r>
    </w:p>
    <w:p w14:paraId="7C994C62" w14:textId="77777777" w:rsidR="00600D10" w:rsidRPr="00920D0B" w:rsidRDefault="00920D0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 xml:space="preserve">En fecha veintidós de abril de dos mil veinticinco, la parte Solicitante presentó una solicitud de acceso a datos personales de una persona finada, mediante el Sistema de Acceso, Rectificación, Cancelación y Oposición de Datos Personales del Estado de México, en lo sucesivo el SARCOEM, ante la </w:t>
      </w:r>
      <w:r w:rsidRPr="00920D0B">
        <w:rPr>
          <w:rFonts w:ascii="Palatino Linotype" w:eastAsia="Palatino Linotype" w:hAnsi="Palatino Linotype" w:cs="Palatino Linotype"/>
          <w:b/>
          <w:sz w:val="22"/>
          <w:szCs w:val="22"/>
        </w:rPr>
        <w:t>Instituto de Seguridad Social del Estado de México y Municipios</w:t>
      </w:r>
      <w:r w:rsidRPr="00920D0B">
        <w:rPr>
          <w:rFonts w:ascii="Palatino Linotype" w:eastAsia="Palatino Linotype" w:hAnsi="Palatino Linotype" w:cs="Palatino Linotype"/>
          <w:sz w:val="22"/>
          <w:szCs w:val="22"/>
        </w:rPr>
        <w:t>, en los siguientes términos:</w:t>
      </w:r>
    </w:p>
    <w:p w14:paraId="20144A88" w14:textId="77777777" w:rsidR="00600D10" w:rsidRPr="00920D0B" w:rsidRDefault="00600D10">
      <w:pPr>
        <w:tabs>
          <w:tab w:val="left" w:pos="567"/>
        </w:tabs>
        <w:spacing w:line="360" w:lineRule="auto"/>
        <w:jc w:val="both"/>
        <w:rPr>
          <w:rFonts w:ascii="Palatino Linotype" w:eastAsia="Palatino Linotype" w:hAnsi="Palatino Linotype" w:cs="Palatino Linotype"/>
          <w:b/>
          <w:sz w:val="22"/>
          <w:szCs w:val="22"/>
        </w:rPr>
      </w:pPr>
    </w:p>
    <w:p w14:paraId="457C11DB" w14:textId="77777777" w:rsidR="00600D10" w:rsidRPr="00920D0B" w:rsidRDefault="00920D0B">
      <w:pPr>
        <w:tabs>
          <w:tab w:val="left" w:pos="567"/>
        </w:tabs>
        <w:spacing w:line="360" w:lineRule="auto"/>
        <w:ind w:left="567" w:right="539"/>
        <w:jc w:val="both"/>
        <w:rPr>
          <w:rFonts w:ascii="Palatino Linotype" w:eastAsia="Palatino Linotype" w:hAnsi="Palatino Linotype" w:cs="Palatino Linotype"/>
          <w:b/>
        </w:rPr>
      </w:pPr>
      <w:r w:rsidRPr="00920D0B">
        <w:rPr>
          <w:rFonts w:ascii="Palatino Linotype" w:eastAsia="Palatino Linotype" w:hAnsi="Palatino Linotype" w:cs="Palatino Linotype"/>
          <w:b/>
        </w:rPr>
        <w:t>Folio de la solicitud: 00515/ISSEMYM/AD/2025</w:t>
      </w:r>
    </w:p>
    <w:p w14:paraId="43C5DF37" w14:textId="77777777" w:rsidR="00600D10" w:rsidRPr="00920D0B" w:rsidRDefault="00920D0B">
      <w:pPr>
        <w:tabs>
          <w:tab w:val="left" w:pos="4667"/>
        </w:tabs>
        <w:spacing w:line="360" w:lineRule="auto"/>
        <w:ind w:left="567" w:right="567"/>
        <w:jc w:val="both"/>
        <w:rPr>
          <w:rFonts w:ascii="Palatino Linotype" w:eastAsia="Palatino Linotype" w:hAnsi="Palatino Linotype" w:cs="Palatino Linotype"/>
          <w:b/>
        </w:rPr>
      </w:pPr>
      <w:r w:rsidRPr="00920D0B">
        <w:rPr>
          <w:rFonts w:ascii="Palatino Linotype" w:eastAsia="Palatino Linotype" w:hAnsi="Palatino Linotype" w:cs="Palatino Linotype"/>
          <w:b/>
        </w:rPr>
        <w:t>DESCRIPCIÓN CLARA Y PRECISA DE LA INFORMACIÓN SOLICITADA</w:t>
      </w:r>
    </w:p>
    <w:p w14:paraId="191126F6" w14:textId="77777777" w:rsidR="00600D10" w:rsidRPr="00920D0B" w:rsidRDefault="00920D0B">
      <w:pPr>
        <w:tabs>
          <w:tab w:val="left" w:pos="4667"/>
        </w:tabs>
        <w:spacing w:line="360" w:lineRule="auto"/>
        <w:ind w:left="567" w:right="567"/>
        <w:jc w:val="both"/>
        <w:rPr>
          <w:rFonts w:ascii="Palatino Linotype" w:eastAsia="Palatino Linotype" w:hAnsi="Palatino Linotype" w:cs="Palatino Linotype"/>
          <w:i/>
        </w:rPr>
      </w:pPr>
      <w:r w:rsidRPr="00920D0B">
        <w:rPr>
          <w:rFonts w:ascii="Palatino Linotype" w:eastAsia="Palatino Linotype" w:hAnsi="Palatino Linotype" w:cs="Palatino Linotype"/>
          <w:i/>
        </w:rPr>
        <w:t xml:space="preserve">“Solicitud del historial médico de mi madre (…), quien fue paciente en el ISSEMYM durante el período de 2024-2025. La información es requerida para </w:t>
      </w:r>
      <w:proofErr w:type="spellStart"/>
      <w:r w:rsidRPr="00920D0B">
        <w:rPr>
          <w:rFonts w:ascii="Palatino Linotype" w:eastAsia="Palatino Linotype" w:hAnsi="Palatino Linotype" w:cs="Palatino Linotype"/>
          <w:i/>
        </w:rPr>
        <w:t>tramites</w:t>
      </w:r>
      <w:proofErr w:type="spellEnd"/>
      <w:r w:rsidRPr="00920D0B">
        <w:rPr>
          <w:rFonts w:ascii="Palatino Linotype" w:eastAsia="Palatino Linotype" w:hAnsi="Palatino Linotype" w:cs="Palatino Linotype"/>
          <w:i/>
        </w:rPr>
        <w:t xml:space="preserve"> legales y </w:t>
      </w:r>
      <w:proofErr w:type="spellStart"/>
      <w:r w:rsidRPr="00920D0B">
        <w:rPr>
          <w:rFonts w:ascii="Palatino Linotype" w:eastAsia="Palatino Linotype" w:hAnsi="Palatino Linotype" w:cs="Palatino Linotype"/>
          <w:i/>
        </w:rPr>
        <w:t>poliza</w:t>
      </w:r>
      <w:proofErr w:type="spellEnd"/>
      <w:r w:rsidRPr="00920D0B">
        <w:rPr>
          <w:rFonts w:ascii="Palatino Linotype" w:eastAsia="Palatino Linotype" w:hAnsi="Palatino Linotype" w:cs="Palatino Linotype"/>
          <w:i/>
        </w:rPr>
        <w:t xml:space="preserve"> de seguros.” (Sic.)</w:t>
      </w:r>
    </w:p>
    <w:p w14:paraId="42106703" w14:textId="77777777" w:rsidR="00600D10" w:rsidRPr="00920D0B" w:rsidRDefault="00600D10">
      <w:pPr>
        <w:tabs>
          <w:tab w:val="left" w:pos="4667"/>
        </w:tabs>
        <w:spacing w:line="360" w:lineRule="auto"/>
        <w:ind w:right="567"/>
        <w:jc w:val="both"/>
        <w:rPr>
          <w:rFonts w:ascii="Palatino Linotype" w:eastAsia="Palatino Linotype" w:hAnsi="Palatino Linotype" w:cs="Palatino Linotype"/>
          <w:b/>
        </w:rPr>
      </w:pPr>
    </w:p>
    <w:p w14:paraId="0A4CA80C" w14:textId="77777777" w:rsidR="00600D10" w:rsidRPr="00920D0B" w:rsidRDefault="00920D0B">
      <w:pPr>
        <w:pBdr>
          <w:top w:val="nil"/>
          <w:left w:val="nil"/>
          <w:bottom w:val="nil"/>
          <w:right w:val="nil"/>
          <w:between w:val="nil"/>
        </w:pBdr>
        <w:spacing w:line="360" w:lineRule="auto"/>
        <w:ind w:left="567" w:right="555"/>
        <w:jc w:val="both"/>
        <w:rPr>
          <w:rFonts w:ascii="Palatino Linotype" w:eastAsia="Palatino Linotype" w:hAnsi="Palatino Linotype" w:cs="Palatino Linotype"/>
          <w:b/>
          <w:i/>
        </w:rPr>
      </w:pPr>
      <w:r w:rsidRPr="00920D0B">
        <w:rPr>
          <w:rFonts w:ascii="Palatino Linotype" w:eastAsia="Palatino Linotype" w:hAnsi="Palatino Linotype" w:cs="Palatino Linotype"/>
          <w:b/>
        </w:rPr>
        <w:t>MODALIDAD DE ACCESO</w:t>
      </w:r>
      <w:r w:rsidRPr="00920D0B">
        <w:rPr>
          <w:rFonts w:ascii="Palatino Linotype" w:eastAsia="Palatino Linotype" w:hAnsi="Palatino Linotype" w:cs="Palatino Linotype"/>
          <w:b/>
          <w:i/>
        </w:rPr>
        <w:t xml:space="preserve"> </w:t>
      </w:r>
    </w:p>
    <w:p w14:paraId="39D7928D" w14:textId="77777777" w:rsidR="00600D10" w:rsidRPr="00920D0B" w:rsidRDefault="00920D0B">
      <w:pPr>
        <w:pBdr>
          <w:top w:val="nil"/>
          <w:left w:val="nil"/>
          <w:bottom w:val="nil"/>
          <w:right w:val="nil"/>
          <w:between w:val="nil"/>
        </w:pBdr>
        <w:spacing w:line="360" w:lineRule="auto"/>
        <w:ind w:left="567" w:right="555"/>
        <w:jc w:val="both"/>
        <w:rPr>
          <w:rFonts w:ascii="Palatino Linotype" w:eastAsia="Palatino Linotype" w:hAnsi="Palatino Linotype" w:cs="Palatino Linotype"/>
          <w:i/>
        </w:rPr>
      </w:pPr>
      <w:r w:rsidRPr="00920D0B">
        <w:rPr>
          <w:rFonts w:ascii="Palatino Linotype" w:eastAsia="Palatino Linotype" w:hAnsi="Palatino Linotype" w:cs="Palatino Linotype"/>
          <w:b/>
          <w:i/>
        </w:rPr>
        <w:lastRenderedPageBreak/>
        <w:t xml:space="preserve"> </w:t>
      </w:r>
      <w:r w:rsidRPr="00920D0B">
        <w:rPr>
          <w:rFonts w:ascii="Palatino Linotype" w:eastAsia="Palatino Linotype" w:hAnsi="Palatino Linotype" w:cs="Palatino Linotype"/>
          <w:i/>
        </w:rPr>
        <w:t>“SARCOEM”</w:t>
      </w:r>
    </w:p>
    <w:p w14:paraId="1E1DFBEC" w14:textId="77777777" w:rsidR="00600D10" w:rsidRPr="00920D0B" w:rsidRDefault="00920D0B">
      <w:pPr>
        <w:pBdr>
          <w:top w:val="nil"/>
          <w:left w:val="nil"/>
          <w:bottom w:val="nil"/>
          <w:right w:val="nil"/>
          <w:between w:val="nil"/>
        </w:pBdr>
        <w:spacing w:line="360" w:lineRule="auto"/>
        <w:ind w:left="567" w:right="555"/>
        <w:jc w:val="both"/>
        <w:rPr>
          <w:rFonts w:ascii="Palatino Linotype" w:eastAsia="Palatino Linotype" w:hAnsi="Palatino Linotype" w:cs="Palatino Linotype"/>
          <w:b/>
        </w:rPr>
      </w:pPr>
      <w:r w:rsidRPr="00920D0B">
        <w:rPr>
          <w:rFonts w:ascii="Palatino Linotype" w:eastAsia="Palatino Linotype" w:hAnsi="Palatino Linotype" w:cs="Palatino Linotype"/>
          <w:b/>
        </w:rPr>
        <w:t xml:space="preserve">MEDIO PARA OÍR Y RECIBIR NOTIFICACIONES </w:t>
      </w:r>
    </w:p>
    <w:p w14:paraId="7F565842" w14:textId="77777777" w:rsidR="00600D10" w:rsidRPr="00920D0B" w:rsidRDefault="00920D0B">
      <w:pPr>
        <w:pBdr>
          <w:top w:val="nil"/>
          <w:left w:val="nil"/>
          <w:bottom w:val="nil"/>
          <w:right w:val="nil"/>
          <w:between w:val="nil"/>
        </w:pBdr>
        <w:spacing w:line="360" w:lineRule="auto"/>
        <w:ind w:left="567" w:right="555"/>
        <w:jc w:val="both"/>
        <w:rPr>
          <w:rFonts w:ascii="Palatino Linotype" w:eastAsia="Palatino Linotype" w:hAnsi="Palatino Linotype" w:cs="Palatino Linotype"/>
        </w:rPr>
      </w:pPr>
      <w:r w:rsidRPr="00920D0B">
        <w:rPr>
          <w:rFonts w:ascii="Palatino Linotype" w:eastAsia="Palatino Linotype" w:hAnsi="Palatino Linotype" w:cs="Palatino Linotype"/>
          <w:i/>
        </w:rPr>
        <w:t>“CORREO ELECTRÓNICO: (…)”</w:t>
      </w:r>
    </w:p>
    <w:p w14:paraId="2E84DFC7" w14:textId="77777777" w:rsidR="00600D10" w:rsidRPr="00920D0B" w:rsidRDefault="00600D10">
      <w:pPr>
        <w:pBdr>
          <w:top w:val="nil"/>
          <w:left w:val="nil"/>
          <w:bottom w:val="nil"/>
          <w:right w:val="nil"/>
          <w:between w:val="nil"/>
        </w:pBdr>
        <w:spacing w:line="360" w:lineRule="auto"/>
        <w:ind w:left="567" w:right="555"/>
        <w:jc w:val="both"/>
        <w:rPr>
          <w:rFonts w:ascii="Palatino Linotype" w:eastAsia="Palatino Linotype" w:hAnsi="Palatino Linotype" w:cs="Palatino Linotype"/>
          <w:sz w:val="22"/>
          <w:szCs w:val="22"/>
        </w:rPr>
      </w:pPr>
    </w:p>
    <w:p w14:paraId="3A899C40" w14:textId="77777777" w:rsidR="00600D10" w:rsidRPr="00920D0B" w:rsidRDefault="00920D0B">
      <w:pPr>
        <w:spacing w:line="360" w:lineRule="auto"/>
        <w:ind w:right="-28"/>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La persona Solicitante adjuntó la siguiente documentación:</w:t>
      </w:r>
    </w:p>
    <w:p w14:paraId="4C3C1D9D" w14:textId="77777777" w:rsidR="00600D10" w:rsidRPr="00920D0B" w:rsidRDefault="00920D0B">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920D0B">
        <w:rPr>
          <w:rFonts w:ascii="Palatino Linotype" w:eastAsia="Palatino Linotype" w:hAnsi="Palatino Linotype" w:cs="Palatino Linotype"/>
          <w:color w:val="000000"/>
          <w:sz w:val="22"/>
          <w:szCs w:val="22"/>
        </w:rPr>
        <w:t xml:space="preserve">Credencial de elector emitida por el Instituto Nacional Electoral de la persona finada. </w:t>
      </w:r>
    </w:p>
    <w:p w14:paraId="3948EC1F" w14:textId="77777777" w:rsidR="00600D10" w:rsidRPr="00920D0B" w:rsidRDefault="00920D0B">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920D0B">
        <w:rPr>
          <w:rFonts w:ascii="Palatino Linotype" w:eastAsia="Palatino Linotype" w:hAnsi="Palatino Linotype" w:cs="Palatino Linotype"/>
          <w:color w:val="000000"/>
          <w:sz w:val="22"/>
          <w:szCs w:val="22"/>
        </w:rPr>
        <w:t>Credencial de elector emitida por el Instituto Nacional Electoral de la persona Recurrente.</w:t>
      </w:r>
    </w:p>
    <w:p w14:paraId="3D97442B" w14:textId="77777777" w:rsidR="00600D10" w:rsidRPr="00920D0B" w:rsidRDefault="00600D10">
      <w:pPr>
        <w:tabs>
          <w:tab w:val="left" w:pos="1470"/>
        </w:tabs>
        <w:spacing w:line="360" w:lineRule="auto"/>
        <w:ind w:right="539"/>
        <w:jc w:val="both"/>
        <w:rPr>
          <w:rFonts w:ascii="Palatino Linotype" w:eastAsia="Palatino Linotype" w:hAnsi="Palatino Linotype" w:cs="Palatino Linotype"/>
          <w:b/>
          <w:sz w:val="22"/>
          <w:szCs w:val="22"/>
        </w:rPr>
      </w:pPr>
    </w:p>
    <w:p w14:paraId="6F1EF677" w14:textId="77777777" w:rsidR="00600D10" w:rsidRPr="00920D0B" w:rsidRDefault="00920D0B">
      <w:pPr>
        <w:pStyle w:val="Ttulo2"/>
        <w:spacing w:before="0" w:line="360" w:lineRule="auto"/>
        <w:rPr>
          <w:rFonts w:ascii="Palatino Linotype" w:eastAsia="Palatino Linotype" w:hAnsi="Palatino Linotype" w:cs="Palatino Linotype"/>
          <w:b/>
          <w:color w:val="000000"/>
          <w:sz w:val="22"/>
          <w:szCs w:val="22"/>
        </w:rPr>
      </w:pPr>
      <w:bookmarkStart w:id="2" w:name="_Toc211522619"/>
      <w:r w:rsidRPr="00920D0B">
        <w:rPr>
          <w:rFonts w:ascii="Palatino Linotype" w:eastAsia="Palatino Linotype" w:hAnsi="Palatino Linotype" w:cs="Palatino Linotype"/>
          <w:b/>
          <w:color w:val="000000"/>
          <w:sz w:val="22"/>
          <w:szCs w:val="22"/>
        </w:rPr>
        <w:t>II. Solicitud de aclaración</w:t>
      </w:r>
      <w:bookmarkEnd w:id="2"/>
    </w:p>
    <w:p w14:paraId="11E23310" w14:textId="77777777" w:rsidR="00600D10" w:rsidRPr="00920D0B" w:rsidRDefault="00920D0B">
      <w:pPr>
        <w:tabs>
          <w:tab w:val="left" w:pos="1470"/>
        </w:tabs>
        <w:spacing w:line="360" w:lineRule="auto"/>
        <w:ind w:right="539"/>
        <w:jc w:val="both"/>
        <w:rPr>
          <w:rFonts w:ascii="Palatino Linotype" w:eastAsia="Palatino Linotype" w:hAnsi="Palatino Linotype" w:cs="Palatino Linotype"/>
          <w:b/>
          <w:sz w:val="22"/>
          <w:szCs w:val="22"/>
        </w:rPr>
      </w:pPr>
      <w:r w:rsidRPr="00920D0B">
        <w:rPr>
          <w:rFonts w:ascii="Palatino Linotype" w:eastAsia="Palatino Linotype" w:hAnsi="Palatino Linotype" w:cs="Palatino Linotype"/>
          <w:b/>
          <w:sz w:val="22"/>
          <w:szCs w:val="22"/>
        </w:rPr>
        <w:t xml:space="preserve"> </w:t>
      </w:r>
    </w:p>
    <w:p w14:paraId="2DCD9BCB"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En fecha veinticinco de abril de dos mil veinticinco, el Sujeto Obligado a través de SARCOEM, requirió a la parte Solicitante para que, en un término de diez días hábiles, presentará el documento a través del cual acredite la representación de la persona finada.</w:t>
      </w:r>
    </w:p>
    <w:p w14:paraId="43DE9050"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4C533789" w14:textId="77777777" w:rsidR="00600D10" w:rsidRPr="00920D0B" w:rsidRDefault="00920D0B">
      <w:pPr>
        <w:pStyle w:val="Ttulo2"/>
        <w:spacing w:before="0" w:line="360" w:lineRule="auto"/>
        <w:rPr>
          <w:rFonts w:ascii="Palatino Linotype" w:eastAsia="Palatino Linotype" w:hAnsi="Palatino Linotype" w:cs="Palatino Linotype"/>
          <w:b/>
          <w:color w:val="000000"/>
          <w:sz w:val="22"/>
          <w:szCs w:val="22"/>
        </w:rPr>
      </w:pPr>
      <w:bookmarkStart w:id="3" w:name="_Toc211522620"/>
      <w:r w:rsidRPr="00920D0B">
        <w:rPr>
          <w:rFonts w:ascii="Palatino Linotype" w:eastAsia="Palatino Linotype" w:hAnsi="Palatino Linotype" w:cs="Palatino Linotype"/>
          <w:b/>
          <w:color w:val="000000"/>
          <w:sz w:val="22"/>
          <w:szCs w:val="22"/>
        </w:rPr>
        <w:t>III. Interposición del Recurso de Revisión</w:t>
      </w:r>
      <w:bookmarkEnd w:id="3"/>
    </w:p>
    <w:p w14:paraId="2F8660E1" w14:textId="77777777" w:rsidR="00600D10" w:rsidRPr="00920D0B" w:rsidRDefault="00600D10">
      <w:pPr>
        <w:spacing w:line="360" w:lineRule="auto"/>
        <w:jc w:val="both"/>
        <w:rPr>
          <w:rFonts w:ascii="Palatino Linotype" w:eastAsia="Palatino Linotype" w:hAnsi="Palatino Linotype" w:cs="Palatino Linotype"/>
          <w:b/>
          <w:sz w:val="22"/>
          <w:szCs w:val="22"/>
        </w:rPr>
      </w:pPr>
    </w:p>
    <w:p w14:paraId="513F76F9" w14:textId="77777777" w:rsidR="00600D10" w:rsidRPr="00920D0B" w:rsidRDefault="00920D0B">
      <w:pPr>
        <w:tabs>
          <w:tab w:val="left" w:pos="3122"/>
        </w:tabs>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Con fecha veintinueve de mayo de dos mil veinticinco, por medio del SARCOEM, la parte Recurrente interpuso el Recurso de Revisión que nos ocupa, en el que manifestó lo siguiente:</w:t>
      </w:r>
    </w:p>
    <w:p w14:paraId="0AC40321"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1CB8C635" w14:textId="77777777" w:rsidR="00600D10" w:rsidRPr="00920D0B" w:rsidRDefault="00920D0B">
      <w:pPr>
        <w:tabs>
          <w:tab w:val="left" w:pos="4667"/>
        </w:tabs>
        <w:spacing w:line="360" w:lineRule="auto"/>
        <w:ind w:left="567" w:right="567"/>
        <w:jc w:val="both"/>
        <w:rPr>
          <w:rFonts w:ascii="Palatino Linotype" w:eastAsia="Palatino Linotype" w:hAnsi="Palatino Linotype" w:cs="Palatino Linotype"/>
          <w:b/>
        </w:rPr>
      </w:pPr>
      <w:r w:rsidRPr="00920D0B">
        <w:rPr>
          <w:rFonts w:ascii="Palatino Linotype" w:eastAsia="Palatino Linotype" w:hAnsi="Palatino Linotype" w:cs="Palatino Linotype"/>
          <w:b/>
        </w:rPr>
        <w:t>ACTO IMPUGNADO</w:t>
      </w:r>
    </w:p>
    <w:p w14:paraId="7798A216" w14:textId="77777777" w:rsidR="00600D10" w:rsidRPr="00920D0B" w:rsidRDefault="00920D0B">
      <w:pPr>
        <w:spacing w:line="360" w:lineRule="auto"/>
        <w:ind w:left="567" w:right="567"/>
        <w:jc w:val="both"/>
        <w:rPr>
          <w:rFonts w:ascii="Palatino Linotype" w:eastAsia="Palatino Linotype" w:hAnsi="Palatino Linotype" w:cs="Palatino Linotype"/>
          <w:i/>
        </w:rPr>
      </w:pPr>
      <w:r w:rsidRPr="00920D0B">
        <w:rPr>
          <w:rFonts w:ascii="Palatino Linotype" w:eastAsia="Palatino Linotype" w:hAnsi="Palatino Linotype" w:cs="Palatino Linotype"/>
          <w:i/>
        </w:rPr>
        <w:t>“No se me entrego la información solicitada.” (Sic.)</w:t>
      </w:r>
    </w:p>
    <w:p w14:paraId="358F2718" w14:textId="77777777" w:rsidR="00600D10" w:rsidRPr="00920D0B" w:rsidRDefault="00600D10">
      <w:pPr>
        <w:spacing w:line="360" w:lineRule="auto"/>
        <w:ind w:left="567" w:right="567"/>
        <w:jc w:val="both"/>
        <w:rPr>
          <w:rFonts w:ascii="Palatino Linotype" w:eastAsia="Palatino Linotype" w:hAnsi="Palatino Linotype" w:cs="Palatino Linotype"/>
          <w:i/>
        </w:rPr>
      </w:pPr>
    </w:p>
    <w:p w14:paraId="4FDB9C5C" w14:textId="77777777" w:rsidR="00600D10" w:rsidRPr="00920D0B" w:rsidRDefault="00920D0B">
      <w:pPr>
        <w:spacing w:line="360" w:lineRule="auto"/>
        <w:ind w:left="567" w:right="567"/>
        <w:jc w:val="both"/>
        <w:rPr>
          <w:rFonts w:ascii="Palatino Linotype" w:eastAsia="Palatino Linotype" w:hAnsi="Palatino Linotype" w:cs="Palatino Linotype"/>
          <w:b/>
        </w:rPr>
      </w:pPr>
      <w:r w:rsidRPr="00920D0B">
        <w:rPr>
          <w:rFonts w:ascii="Palatino Linotype" w:eastAsia="Palatino Linotype" w:hAnsi="Palatino Linotype" w:cs="Palatino Linotype"/>
          <w:b/>
        </w:rPr>
        <w:t>RAZONES O MOTIVOS DE LA INCONFORMIDAD</w:t>
      </w:r>
    </w:p>
    <w:p w14:paraId="370A4AB1" w14:textId="77777777" w:rsidR="00600D10" w:rsidRPr="00920D0B" w:rsidRDefault="00920D0B">
      <w:pPr>
        <w:spacing w:line="360" w:lineRule="auto"/>
        <w:ind w:left="567" w:right="567"/>
        <w:jc w:val="both"/>
        <w:rPr>
          <w:rFonts w:ascii="Palatino Linotype" w:eastAsia="Palatino Linotype" w:hAnsi="Palatino Linotype" w:cs="Palatino Linotype"/>
          <w:i/>
        </w:rPr>
      </w:pPr>
      <w:r w:rsidRPr="00920D0B">
        <w:rPr>
          <w:rFonts w:ascii="Palatino Linotype" w:eastAsia="Palatino Linotype" w:hAnsi="Palatino Linotype" w:cs="Palatino Linotype"/>
          <w:i/>
        </w:rPr>
        <w:t xml:space="preserve">“Ingresé una solicitud en SARCOEM , el día veintidós de abril del año en curso, para solicitar el expediente clínico de mi fallecida madre (…), quien fue paciente en el ISSEMYM durante el periodo </w:t>
      </w:r>
      <w:r w:rsidRPr="00920D0B">
        <w:rPr>
          <w:rFonts w:ascii="Palatino Linotype" w:eastAsia="Palatino Linotype" w:hAnsi="Palatino Linotype" w:cs="Palatino Linotype"/>
          <w:i/>
        </w:rPr>
        <w:lastRenderedPageBreak/>
        <w:t>de 2024 a 2025. Posteriormente, la Unidad de Transparencia me requirió complementara mi solicitud de acceso a datos, debido a que no anexe el documento mediante el cual mi difunta madre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con los documentos que adjunto al presente recurso de revisión, consistentes en: Acta de Nacimiento de mi difunta madre (…), Acta de Defunción de mi difunta madre (…), Identificación Oficial de mi difunta madre (…), Credencial de Afiliación al ISSEMYM de mi difunta madre (…), Acta de nacimiento del suscrito (…), Identificación Oficial del suscrito (…) y Póliza de Seguro donde refiere como beneficiario al suscrito (…). Por lo anterior, solicito al ISSEMYM, que se me entregue: Vía SARCOEM, todo lo que obre en archivo, respecto al Expediente Clínico de mi fallecida madre (…), con clave ISSEMYM (…), del Centro Médico Ecatepec, toda vez que requiero dicha información para realizar el cobro de póliza de seguro.” (Sic.)</w:t>
      </w:r>
    </w:p>
    <w:p w14:paraId="20E036E7" w14:textId="77777777" w:rsidR="00600D10" w:rsidRPr="00920D0B" w:rsidRDefault="00600D10">
      <w:pPr>
        <w:spacing w:line="360" w:lineRule="auto"/>
        <w:ind w:right="-28"/>
        <w:jc w:val="both"/>
        <w:rPr>
          <w:rFonts w:ascii="Palatino Linotype" w:eastAsia="Palatino Linotype" w:hAnsi="Palatino Linotype" w:cs="Palatino Linotype"/>
          <w:sz w:val="22"/>
          <w:szCs w:val="22"/>
        </w:rPr>
      </w:pPr>
    </w:p>
    <w:p w14:paraId="54A70426" w14:textId="77777777" w:rsidR="00600D10" w:rsidRPr="00920D0B" w:rsidRDefault="00920D0B">
      <w:pPr>
        <w:spacing w:line="360" w:lineRule="auto"/>
        <w:ind w:right="-28"/>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La Recurrente adjuntó la siguiente documentación:</w:t>
      </w:r>
    </w:p>
    <w:p w14:paraId="2657038B" w14:textId="77777777" w:rsidR="00600D10" w:rsidRPr="00920D0B" w:rsidRDefault="00920D0B">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920D0B">
        <w:rPr>
          <w:rFonts w:ascii="Palatino Linotype" w:eastAsia="Palatino Linotype" w:hAnsi="Palatino Linotype" w:cs="Palatino Linotype"/>
          <w:color w:val="000000"/>
          <w:sz w:val="22"/>
          <w:szCs w:val="22"/>
        </w:rPr>
        <w:t xml:space="preserve">Acta de nacimiento de la persona finada </w:t>
      </w:r>
    </w:p>
    <w:p w14:paraId="732FA7E3" w14:textId="77777777" w:rsidR="00600D10" w:rsidRPr="00920D0B" w:rsidRDefault="00920D0B">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920D0B">
        <w:rPr>
          <w:rFonts w:ascii="Palatino Linotype" w:eastAsia="Palatino Linotype" w:hAnsi="Palatino Linotype" w:cs="Palatino Linotype"/>
          <w:color w:val="000000"/>
          <w:sz w:val="22"/>
          <w:szCs w:val="22"/>
        </w:rPr>
        <w:t xml:space="preserve">Acta de defunción de la persona finada </w:t>
      </w:r>
    </w:p>
    <w:p w14:paraId="064898BE" w14:textId="77777777" w:rsidR="00600D10" w:rsidRPr="00920D0B" w:rsidRDefault="00920D0B">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920D0B">
        <w:rPr>
          <w:rFonts w:ascii="Palatino Linotype" w:eastAsia="Palatino Linotype" w:hAnsi="Palatino Linotype" w:cs="Palatino Linotype"/>
          <w:color w:val="000000"/>
          <w:sz w:val="22"/>
          <w:szCs w:val="22"/>
        </w:rPr>
        <w:t xml:space="preserve">Credencial de elector emitida por el Instituto Nacional Electoral de la persona finada. </w:t>
      </w:r>
    </w:p>
    <w:p w14:paraId="2A186C71" w14:textId="77777777" w:rsidR="00600D10" w:rsidRPr="00920D0B" w:rsidRDefault="00920D0B">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920D0B">
        <w:rPr>
          <w:rFonts w:ascii="Palatino Linotype" w:eastAsia="Palatino Linotype" w:hAnsi="Palatino Linotype" w:cs="Palatino Linotype"/>
          <w:color w:val="000000"/>
          <w:sz w:val="22"/>
          <w:szCs w:val="22"/>
        </w:rPr>
        <w:t xml:space="preserve">Credencial del ISSEMYM de la persona finada. </w:t>
      </w:r>
    </w:p>
    <w:p w14:paraId="06050678" w14:textId="77777777" w:rsidR="00600D10" w:rsidRPr="00920D0B" w:rsidRDefault="00920D0B">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920D0B">
        <w:rPr>
          <w:rFonts w:ascii="Palatino Linotype" w:eastAsia="Palatino Linotype" w:hAnsi="Palatino Linotype" w:cs="Palatino Linotype"/>
          <w:color w:val="000000"/>
          <w:sz w:val="22"/>
          <w:szCs w:val="22"/>
        </w:rPr>
        <w:lastRenderedPageBreak/>
        <w:t xml:space="preserve">Acta de nacimiento de la persona Recurrente en el que se advierte su parentesco con la persona finada. </w:t>
      </w:r>
    </w:p>
    <w:p w14:paraId="09D5CDCA" w14:textId="77777777" w:rsidR="00600D10" w:rsidRPr="00920D0B" w:rsidRDefault="00920D0B">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920D0B">
        <w:rPr>
          <w:rFonts w:ascii="Palatino Linotype" w:eastAsia="Palatino Linotype" w:hAnsi="Palatino Linotype" w:cs="Palatino Linotype"/>
          <w:color w:val="000000"/>
          <w:sz w:val="22"/>
          <w:szCs w:val="22"/>
        </w:rPr>
        <w:t>Credencial de elector emitida por el Instituto Nacional Electoral de la persona Recurrente.</w:t>
      </w:r>
    </w:p>
    <w:p w14:paraId="6A446797" w14:textId="77777777" w:rsidR="00600D10" w:rsidRPr="00920D0B" w:rsidRDefault="00920D0B">
      <w:pPr>
        <w:numPr>
          <w:ilvl w:val="0"/>
          <w:numId w:val="1"/>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920D0B">
        <w:rPr>
          <w:rFonts w:ascii="Palatino Linotype" w:eastAsia="Palatino Linotype" w:hAnsi="Palatino Linotype" w:cs="Palatino Linotype"/>
          <w:sz w:val="22"/>
          <w:szCs w:val="22"/>
        </w:rPr>
        <w:t>Carátula</w:t>
      </w:r>
      <w:r w:rsidRPr="00920D0B">
        <w:rPr>
          <w:rFonts w:ascii="Palatino Linotype" w:eastAsia="Palatino Linotype" w:hAnsi="Palatino Linotype" w:cs="Palatino Linotype"/>
          <w:color w:val="000000"/>
          <w:sz w:val="22"/>
          <w:szCs w:val="22"/>
        </w:rPr>
        <w:t xml:space="preserve"> de póliza de seguros en el que aparece como uno de los beneficiarios la persona Recurrente.  </w:t>
      </w:r>
    </w:p>
    <w:p w14:paraId="5D47084F" w14:textId="77777777" w:rsidR="00600D10" w:rsidRPr="00920D0B" w:rsidRDefault="00600D10">
      <w:pPr>
        <w:spacing w:line="360" w:lineRule="auto"/>
        <w:ind w:right="539"/>
        <w:jc w:val="both"/>
        <w:rPr>
          <w:rFonts w:ascii="Palatino Linotype" w:eastAsia="Palatino Linotype" w:hAnsi="Palatino Linotype" w:cs="Palatino Linotype"/>
          <w:sz w:val="22"/>
          <w:szCs w:val="22"/>
        </w:rPr>
      </w:pPr>
    </w:p>
    <w:p w14:paraId="0916B397" w14:textId="77777777" w:rsidR="00600D10" w:rsidRPr="00920D0B" w:rsidRDefault="00920D0B">
      <w:pPr>
        <w:pStyle w:val="Ttulo2"/>
        <w:spacing w:before="0" w:line="360" w:lineRule="auto"/>
        <w:rPr>
          <w:rFonts w:ascii="Palatino Linotype" w:eastAsia="Palatino Linotype" w:hAnsi="Palatino Linotype" w:cs="Palatino Linotype"/>
          <w:i/>
          <w:color w:val="000000"/>
          <w:sz w:val="22"/>
          <w:szCs w:val="22"/>
        </w:rPr>
      </w:pPr>
      <w:bookmarkStart w:id="4" w:name="_Toc211522621"/>
      <w:r w:rsidRPr="00920D0B">
        <w:rPr>
          <w:rFonts w:ascii="Palatino Linotype" w:eastAsia="Palatino Linotype" w:hAnsi="Palatino Linotype" w:cs="Palatino Linotype"/>
          <w:b/>
          <w:color w:val="000000"/>
          <w:sz w:val="22"/>
          <w:szCs w:val="22"/>
        </w:rPr>
        <w:t>IV. Trámite del Recurso de Revisión ante el Instituto</w:t>
      </w:r>
      <w:bookmarkEnd w:id="4"/>
    </w:p>
    <w:p w14:paraId="46F4691E" w14:textId="77777777" w:rsidR="00600D10" w:rsidRPr="00920D0B" w:rsidRDefault="00600D10">
      <w:pPr>
        <w:spacing w:line="360" w:lineRule="auto"/>
        <w:jc w:val="both"/>
        <w:rPr>
          <w:rFonts w:ascii="Palatino Linotype" w:eastAsia="Palatino Linotype" w:hAnsi="Palatino Linotype" w:cs="Palatino Linotype"/>
          <w:b/>
          <w:sz w:val="22"/>
          <w:szCs w:val="22"/>
        </w:rPr>
      </w:pPr>
    </w:p>
    <w:p w14:paraId="297185C2" w14:textId="77777777" w:rsidR="00600D10" w:rsidRPr="00920D0B" w:rsidRDefault="00920D0B">
      <w:pPr>
        <w:spacing w:line="360" w:lineRule="auto"/>
        <w:jc w:val="both"/>
        <w:rPr>
          <w:rFonts w:ascii="Palatino Linotype" w:eastAsia="Palatino Linotype" w:hAnsi="Palatino Linotype" w:cs="Palatino Linotype"/>
          <w:b/>
          <w:sz w:val="22"/>
          <w:szCs w:val="22"/>
        </w:rPr>
      </w:pPr>
      <w:r w:rsidRPr="00920D0B">
        <w:rPr>
          <w:rFonts w:ascii="Palatino Linotype" w:eastAsia="Palatino Linotype" w:hAnsi="Palatino Linotype" w:cs="Palatino Linotype"/>
          <w:b/>
          <w:sz w:val="22"/>
          <w:szCs w:val="22"/>
        </w:rPr>
        <w:t xml:space="preserve">a) Turno del Recurso de Revisión. </w:t>
      </w:r>
      <w:r w:rsidRPr="00920D0B">
        <w:rPr>
          <w:rFonts w:ascii="Palatino Linotype" w:eastAsia="Palatino Linotype" w:hAnsi="Palatino Linotype" w:cs="Palatino Linotype"/>
          <w:sz w:val="22"/>
          <w:szCs w:val="22"/>
        </w:rPr>
        <w:t xml:space="preserve">El veintinueve de mayo de dos mil veinticinco, el SARCOEM, asignó el número </w:t>
      </w:r>
      <w:r w:rsidRPr="00920D0B">
        <w:rPr>
          <w:rFonts w:ascii="Palatino Linotype" w:eastAsia="Palatino Linotype" w:hAnsi="Palatino Linotype" w:cs="Palatino Linotype"/>
          <w:b/>
          <w:sz w:val="22"/>
          <w:szCs w:val="22"/>
        </w:rPr>
        <w:t>06221/INFOEM/AD/RR/2025</w:t>
      </w:r>
      <w:r w:rsidRPr="00920D0B">
        <w:rPr>
          <w:rFonts w:ascii="Palatino Linotype" w:eastAsia="Palatino Linotype" w:hAnsi="Palatino Linotype" w:cs="Palatino Linotype"/>
          <w:sz w:val="22"/>
          <w:szCs w:val="22"/>
        </w:rPr>
        <w:t xml:space="preserve"> al medio de impugnación que nos ocupa y con base en el sistema aprobado por el Pleno de este Órgano Garante, lo turnó al Comisionado Ponente Luis Gustavo Parra Noriega, para los efectos de los artículos 129, 130 y 131, de la Ley de Protección de Datos Personales en Posesión de Sujetos Obligados del Estado de México y Municipios.</w:t>
      </w:r>
    </w:p>
    <w:p w14:paraId="03251F80"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42361192" w14:textId="77777777" w:rsidR="00600D10" w:rsidRPr="00920D0B" w:rsidRDefault="00920D0B">
      <w:pPr>
        <w:spacing w:line="360" w:lineRule="auto"/>
        <w:jc w:val="both"/>
        <w:rPr>
          <w:rFonts w:ascii="Palatino Linotype" w:eastAsia="Palatino Linotype" w:hAnsi="Palatino Linotype" w:cs="Palatino Linotype"/>
          <w:b/>
          <w:sz w:val="22"/>
          <w:szCs w:val="22"/>
        </w:rPr>
      </w:pPr>
      <w:r w:rsidRPr="00920D0B">
        <w:rPr>
          <w:rFonts w:ascii="Palatino Linotype" w:eastAsia="Palatino Linotype" w:hAnsi="Palatino Linotype" w:cs="Palatino Linotype"/>
          <w:b/>
          <w:sz w:val="22"/>
          <w:szCs w:val="22"/>
        </w:rPr>
        <w:t xml:space="preserve">b) Admisión del Recurso de Revisión. </w:t>
      </w:r>
      <w:r w:rsidRPr="00920D0B">
        <w:rPr>
          <w:rFonts w:ascii="Palatino Linotype" w:eastAsia="Palatino Linotype" w:hAnsi="Palatino Linotype" w:cs="Palatino Linotype"/>
          <w:sz w:val="22"/>
          <w:szCs w:val="22"/>
        </w:rPr>
        <w:t>En fecha cinco de junio de dos mil veinticinco, se emitió y notificó a través del SARCOEM y correo electrónico, la admisión del Recurso de Revisión interpuesto por la parte Recurrente en contra de la Instituto de Seguridad Social del Estado de México y Municipios y se les otorgó a las partes un plazo no mayor a siete días hábiles a partir del día siguiente a la notificación, a fin de manifestar su voluntad de conciliar en el presente asunto.</w:t>
      </w:r>
    </w:p>
    <w:p w14:paraId="2F4CDDFE"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32ED1C7C"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b/>
          <w:sz w:val="22"/>
          <w:szCs w:val="22"/>
        </w:rPr>
        <w:lastRenderedPageBreak/>
        <w:t xml:space="preserve">c) Etapa de conciliación. </w:t>
      </w:r>
      <w:r w:rsidRPr="00920D0B">
        <w:rPr>
          <w:rFonts w:ascii="Palatino Linotype" w:eastAsia="Palatino Linotype" w:hAnsi="Palatino Linotype" w:cs="Palatino Linotype"/>
          <w:sz w:val="22"/>
          <w:szCs w:val="22"/>
        </w:rPr>
        <w:t xml:space="preserve">En fecha nueve de abril de dos mil veinticinco, a través de SARCOEM, la Particular adjuntó un escrito en el que manifestó expresamente su voluntad de conciliar el presente asunto. </w:t>
      </w:r>
    </w:p>
    <w:p w14:paraId="4D6A9843"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0D602CAB"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 xml:space="preserve">El seis de junio de dos mil veinticinco, a través de SARCOEM, el Sujeto Obligado remitió un oficio suscrito por el Responsable y Titular de la Unidad de Transparencia en el manifestó expresamente su voluntad de conciliar el presente asunto. </w:t>
      </w:r>
    </w:p>
    <w:p w14:paraId="3D9E45EE"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7BEDA2EF"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 xml:space="preserve">El dieciséis de junio de dos mil veinticinco, a través de SARCOEM, la parte Recurrente señaló su voluntad para conciliar </w:t>
      </w:r>
    </w:p>
    <w:p w14:paraId="6690A51B"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561AE76E"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 xml:space="preserve">En atención a ello, en fecha treinta de septiembre de dos mil veinticinco se notificó y citó vía SARCOEM y correo electrónico a las partes para comparecer en audiencia virtual, a través de reunión por MEET, por lo que se proporcionó los datos correspondientes para que tuviera lugar dicha audiencia, cuya cita sería el siete de octubre de dos mil veinticinco.    </w:t>
      </w:r>
    </w:p>
    <w:p w14:paraId="612D5301"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22D64AB8" w14:textId="77777777" w:rsidR="00600D10" w:rsidRPr="00920D0B" w:rsidRDefault="00920D0B">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920D0B">
        <w:rPr>
          <w:rFonts w:ascii="Palatino Linotype" w:eastAsia="Palatino Linotype" w:hAnsi="Palatino Linotype" w:cs="Palatino Linotype"/>
          <w:b/>
          <w:color w:val="000000"/>
          <w:sz w:val="22"/>
          <w:szCs w:val="22"/>
        </w:rPr>
        <w:t xml:space="preserve">d) Ampliación de plazo para resolver. </w:t>
      </w:r>
      <w:r w:rsidRPr="00920D0B">
        <w:rPr>
          <w:rFonts w:ascii="Palatino Linotype" w:eastAsia="Palatino Linotype" w:hAnsi="Palatino Linotype" w:cs="Palatino Linotype"/>
          <w:color w:val="000000"/>
          <w:sz w:val="22"/>
          <w:szCs w:val="22"/>
        </w:rPr>
        <w:t>El siete de octubre de dos mil veinticinco, el Comisionado Ponente, con fundamento en lo dispuesto por el artículo 133, de la Ley de Protección de Datos Personales en Posesión de Sujetos Obligados del Estado de México y Municipios, acordó ampliar por un plazo razonable, el plazo para resolver el Recurso de Revisión que nos ocupa; acto que fue notificado a las partes en la misma fecha, mediante el SAIMEX y correo electrónico.</w:t>
      </w:r>
    </w:p>
    <w:p w14:paraId="11FD4A44" w14:textId="77777777" w:rsidR="00600D10" w:rsidRPr="00920D0B" w:rsidRDefault="00600D10">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D16C8E0" w14:textId="77777777" w:rsidR="00600D10" w:rsidRPr="00920D0B" w:rsidRDefault="00920D0B">
      <w:pPr>
        <w:spacing w:line="360" w:lineRule="auto"/>
        <w:jc w:val="both"/>
        <w:rPr>
          <w:rFonts w:ascii="Palatino Linotype" w:eastAsia="Palatino Linotype" w:hAnsi="Palatino Linotype" w:cs="Palatino Linotype"/>
          <w:b/>
          <w:sz w:val="22"/>
          <w:szCs w:val="22"/>
        </w:rPr>
      </w:pPr>
      <w:r w:rsidRPr="00920D0B">
        <w:rPr>
          <w:rFonts w:ascii="Palatino Linotype" w:eastAsia="Palatino Linotype" w:hAnsi="Palatino Linotype" w:cs="Palatino Linotype"/>
          <w:b/>
          <w:sz w:val="22"/>
          <w:szCs w:val="22"/>
        </w:rPr>
        <w:lastRenderedPageBreak/>
        <w:t xml:space="preserve">e) Desistimiento. </w:t>
      </w:r>
      <w:r w:rsidRPr="00920D0B">
        <w:rPr>
          <w:rFonts w:ascii="Palatino Linotype" w:eastAsia="Palatino Linotype" w:hAnsi="Palatino Linotype" w:cs="Palatino Linotype"/>
          <w:sz w:val="22"/>
          <w:szCs w:val="22"/>
        </w:rPr>
        <w:t>En fecha seis de octubre de dos mil veinticinco, la parte Recurrente expresó a través del SARCOEM, su voluntad expresa para desistirse del procedimiento, en los siguientes términos:</w:t>
      </w:r>
    </w:p>
    <w:p w14:paraId="2E251FBA" w14:textId="77777777" w:rsidR="00600D10" w:rsidRPr="00920D0B" w:rsidRDefault="00600D10">
      <w:pPr>
        <w:spacing w:line="360" w:lineRule="auto"/>
        <w:jc w:val="both"/>
        <w:rPr>
          <w:rFonts w:ascii="Palatino Linotype" w:eastAsia="Palatino Linotype" w:hAnsi="Palatino Linotype" w:cs="Palatino Linotype"/>
          <w:b/>
          <w:sz w:val="22"/>
          <w:szCs w:val="22"/>
        </w:rPr>
      </w:pPr>
    </w:p>
    <w:p w14:paraId="613F010E" w14:textId="77777777" w:rsidR="00600D10" w:rsidRPr="00920D0B" w:rsidRDefault="00920D0B">
      <w:pPr>
        <w:spacing w:line="360" w:lineRule="auto"/>
        <w:ind w:left="567" w:right="539"/>
        <w:jc w:val="center"/>
        <w:rPr>
          <w:rFonts w:ascii="Palatino Linotype" w:eastAsia="Palatino Linotype" w:hAnsi="Palatino Linotype" w:cs="Palatino Linotype"/>
        </w:rPr>
      </w:pPr>
      <w:r w:rsidRPr="00920D0B">
        <w:rPr>
          <w:rFonts w:ascii="Palatino Linotype" w:eastAsia="Palatino Linotype" w:hAnsi="Palatino Linotype" w:cs="Palatino Linotype"/>
          <w:i/>
        </w:rPr>
        <w:t>“Ya no requiero la información.”</w:t>
      </w:r>
    </w:p>
    <w:p w14:paraId="491851CC" w14:textId="77777777" w:rsidR="00600D10" w:rsidRPr="00920D0B" w:rsidRDefault="00600D10">
      <w:pPr>
        <w:spacing w:line="360" w:lineRule="auto"/>
        <w:jc w:val="both"/>
        <w:rPr>
          <w:rFonts w:ascii="Palatino Linotype" w:eastAsia="Palatino Linotype" w:hAnsi="Palatino Linotype" w:cs="Palatino Linotype"/>
          <w:b/>
          <w:sz w:val="22"/>
          <w:szCs w:val="22"/>
        </w:rPr>
      </w:pPr>
    </w:p>
    <w:p w14:paraId="4506E589"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b/>
          <w:sz w:val="22"/>
          <w:szCs w:val="22"/>
        </w:rPr>
        <w:t xml:space="preserve">f) Cierre de instrucción. </w:t>
      </w:r>
      <w:r w:rsidRPr="00920D0B">
        <w:rPr>
          <w:rFonts w:ascii="Palatino Linotype" w:eastAsia="Palatino Linotype" w:hAnsi="Palatino Linotype" w:cs="Palatino Linotype"/>
          <w:sz w:val="22"/>
          <w:szCs w:val="22"/>
        </w:rPr>
        <w:t>En fecha siete de octubre de dos mil veinticinco, se emitió y notificó vía SARCOEM y correo electrónico un acuerdo en el que, al no existir diligencias pendientes por desahogar, se declaró cerrada la instrucción y se determinó pasar el expediente a resolución, en términos de lo dispuesto en los artículos 185, fracciones VI y VIII, de la Ley de Transparencia y Acceso a la Información Pública del Estado de México y Municipios en aplicación supletoria.</w:t>
      </w:r>
    </w:p>
    <w:p w14:paraId="34A09E39"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10E2C84D"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Debido a que fue debidamente sustanciado el expediente electrónico y no existir diligencia pendiente de desahogo, se emite la resolución que conforme a Derecho proceda, de acuerdo con los siguientes:</w:t>
      </w:r>
    </w:p>
    <w:p w14:paraId="672AF269" w14:textId="77777777" w:rsidR="00600D10" w:rsidRPr="00920D0B" w:rsidRDefault="00600D10">
      <w:pPr>
        <w:spacing w:line="360" w:lineRule="auto"/>
        <w:jc w:val="center"/>
        <w:rPr>
          <w:rFonts w:ascii="Palatino Linotype" w:eastAsia="Palatino Linotype" w:hAnsi="Palatino Linotype" w:cs="Palatino Linotype"/>
          <w:sz w:val="22"/>
          <w:szCs w:val="22"/>
        </w:rPr>
      </w:pPr>
    </w:p>
    <w:p w14:paraId="75A28813" w14:textId="77777777" w:rsidR="00600D10" w:rsidRPr="00920D0B" w:rsidRDefault="00920D0B">
      <w:pPr>
        <w:pStyle w:val="Ttulo1"/>
        <w:spacing w:before="0" w:line="360" w:lineRule="auto"/>
        <w:jc w:val="center"/>
        <w:rPr>
          <w:rFonts w:ascii="Palatino Linotype" w:eastAsia="Palatino Linotype" w:hAnsi="Palatino Linotype" w:cs="Palatino Linotype"/>
          <w:b/>
          <w:color w:val="000000"/>
          <w:sz w:val="22"/>
          <w:szCs w:val="22"/>
        </w:rPr>
      </w:pPr>
      <w:bookmarkStart w:id="5" w:name="_Toc211522622"/>
      <w:r w:rsidRPr="00920D0B">
        <w:rPr>
          <w:rFonts w:ascii="Palatino Linotype" w:eastAsia="Palatino Linotype" w:hAnsi="Palatino Linotype" w:cs="Palatino Linotype"/>
          <w:b/>
          <w:color w:val="000000"/>
          <w:sz w:val="22"/>
          <w:szCs w:val="22"/>
        </w:rPr>
        <w:t>C O N S I D E R A N D O S</w:t>
      </w:r>
      <w:bookmarkEnd w:id="5"/>
    </w:p>
    <w:p w14:paraId="774B2A40" w14:textId="77777777" w:rsidR="00600D10" w:rsidRPr="00920D0B" w:rsidRDefault="00600D10">
      <w:pPr>
        <w:spacing w:line="360" w:lineRule="auto"/>
        <w:jc w:val="both"/>
        <w:rPr>
          <w:rFonts w:ascii="Palatino Linotype" w:eastAsia="Palatino Linotype" w:hAnsi="Palatino Linotype" w:cs="Palatino Linotype"/>
          <w:b/>
          <w:sz w:val="22"/>
          <w:szCs w:val="22"/>
        </w:rPr>
      </w:pPr>
    </w:p>
    <w:p w14:paraId="19A0C214" w14:textId="77777777" w:rsidR="00600D10" w:rsidRPr="00920D0B" w:rsidRDefault="00920D0B">
      <w:pPr>
        <w:pStyle w:val="Ttulo2"/>
        <w:spacing w:before="0" w:line="360" w:lineRule="auto"/>
        <w:rPr>
          <w:rFonts w:ascii="Palatino Linotype" w:eastAsia="Palatino Linotype" w:hAnsi="Palatino Linotype" w:cs="Palatino Linotype"/>
          <w:b/>
          <w:color w:val="000000"/>
          <w:sz w:val="22"/>
          <w:szCs w:val="22"/>
        </w:rPr>
      </w:pPr>
      <w:bookmarkStart w:id="6" w:name="_Toc211522623"/>
      <w:r w:rsidRPr="00920D0B">
        <w:rPr>
          <w:rFonts w:ascii="Palatino Linotype" w:eastAsia="Palatino Linotype" w:hAnsi="Palatino Linotype" w:cs="Palatino Linotype"/>
          <w:b/>
          <w:color w:val="000000"/>
          <w:sz w:val="22"/>
          <w:szCs w:val="22"/>
        </w:rPr>
        <w:t>PRIMERO</w:t>
      </w:r>
      <w:r w:rsidRPr="00920D0B">
        <w:rPr>
          <w:rFonts w:ascii="Palatino Linotype" w:eastAsia="Palatino Linotype" w:hAnsi="Palatino Linotype" w:cs="Palatino Linotype"/>
          <w:color w:val="000000"/>
          <w:sz w:val="22"/>
          <w:szCs w:val="22"/>
        </w:rPr>
        <w:t xml:space="preserve">. </w:t>
      </w:r>
      <w:r w:rsidRPr="00920D0B">
        <w:rPr>
          <w:rFonts w:ascii="Palatino Linotype" w:eastAsia="Palatino Linotype" w:hAnsi="Palatino Linotype" w:cs="Palatino Linotype"/>
          <w:b/>
          <w:color w:val="000000"/>
          <w:sz w:val="22"/>
          <w:szCs w:val="22"/>
        </w:rPr>
        <w:t>Competencia</w:t>
      </w:r>
      <w:bookmarkEnd w:id="6"/>
    </w:p>
    <w:p w14:paraId="4742313D" w14:textId="77777777" w:rsidR="00600D10" w:rsidRPr="00920D0B" w:rsidRDefault="00920D0B">
      <w:pPr>
        <w:spacing w:line="360" w:lineRule="auto"/>
        <w:jc w:val="both"/>
        <w:rPr>
          <w:rFonts w:ascii="Palatino Linotype" w:eastAsia="Palatino Linotype" w:hAnsi="Palatino Linotype" w:cs="Palatino Linotype"/>
          <w:b/>
          <w:sz w:val="22"/>
          <w:szCs w:val="22"/>
        </w:rPr>
      </w:pPr>
      <w:r w:rsidRPr="00920D0B">
        <w:rPr>
          <w:rFonts w:ascii="Palatino Linotype" w:eastAsia="Palatino Linotype" w:hAnsi="Palatino Linotype" w:cs="Palatino Linotype"/>
          <w:b/>
          <w:sz w:val="22"/>
          <w:szCs w:val="22"/>
        </w:rPr>
        <w:t xml:space="preserve"> </w:t>
      </w:r>
    </w:p>
    <w:p w14:paraId="5167BEEF"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 cuadragésimo y cuadragésimo primero de la </w:t>
      </w:r>
      <w:r w:rsidRPr="00920D0B">
        <w:rPr>
          <w:rFonts w:ascii="Palatino Linotype" w:eastAsia="Palatino Linotype" w:hAnsi="Palatino Linotype" w:cs="Palatino Linotype"/>
          <w:sz w:val="22"/>
          <w:szCs w:val="22"/>
        </w:rPr>
        <w:lastRenderedPageBreak/>
        <w:t>Constitución Política del Estado Libre y Soberano de México; 1°, 2°, fracciones II y IV; 13, 29, 36, fracciones I y II; 176, 178, 179, 181 párrafo tercero, 185, 188 y 189 de la Ley Transparencia y Acceso a la Información Pública del Estado de México y Municipios;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w:t>
      </w:r>
    </w:p>
    <w:p w14:paraId="1414C57F"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7BE95779" w14:textId="77777777" w:rsidR="00600D10" w:rsidRPr="00920D0B" w:rsidRDefault="00920D0B">
      <w:pPr>
        <w:pStyle w:val="Ttulo2"/>
        <w:spacing w:before="0" w:line="360" w:lineRule="auto"/>
        <w:rPr>
          <w:rFonts w:ascii="Palatino Linotype" w:eastAsia="Palatino Linotype" w:hAnsi="Palatino Linotype" w:cs="Palatino Linotype"/>
          <w:color w:val="000000"/>
          <w:sz w:val="22"/>
          <w:szCs w:val="22"/>
        </w:rPr>
      </w:pPr>
      <w:bookmarkStart w:id="7" w:name="_Toc211522624"/>
      <w:r w:rsidRPr="00920D0B">
        <w:rPr>
          <w:rFonts w:ascii="Palatino Linotype" w:eastAsia="Palatino Linotype" w:hAnsi="Palatino Linotype" w:cs="Palatino Linotype"/>
          <w:b/>
          <w:color w:val="000000"/>
          <w:sz w:val="22"/>
          <w:szCs w:val="22"/>
        </w:rPr>
        <w:t>SEGUNDO. Causales de improcedencia y sobreseimiento</w:t>
      </w:r>
      <w:bookmarkEnd w:id="7"/>
    </w:p>
    <w:p w14:paraId="41CDC1F4"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0D96975E"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6539AFF0"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711F6C44" w14:textId="77777777" w:rsidR="00600D10" w:rsidRPr="00920D0B" w:rsidRDefault="00920D0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920D0B">
        <w:rPr>
          <w:rFonts w:ascii="Palatino Linotype" w:eastAsia="Palatino Linotype" w:hAnsi="Palatino Linotype" w:cs="Palatino Linotype"/>
          <w:b/>
          <w:color w:val="000000"/>
          <w:sz w:val="22"/>
          <w:szCs w:val="22"/>
        </w:rPr>
        <w:t>Causales de improcedencia</w:t>
      </w:r>
    </w:p>
    <w:p w14:paraId="5D8963FD"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7ACDC157"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la persona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fracción III de la Ley en cita; no se tiene conocimiento que ante Tribunales </w:t>
      </w:r>
      <w:r w:rsidRPr="00920D0B">
        <w:rPr>
          <w:rFonts w:ascii="Palatino Linotype" w:eastAsia="Palatino Linotype" w:hAnsi="Palatino Linotype" w:cs="Palatino Linotype"/>
          <w:sz w:val="22"/>
          <w:szCs w:val="22"/>
        </w:rPr>
        <w:lastRenderedPageBreak/>
        <w:t>competentes se esté tramitando algún recurso o medio de defensa en contra del acto recurrido ante este Instituto; la persona Particular no modificó ni amplió su solicitud de acceso a datos personales y; finalmente la parte Recurrente acreditó el interés jurídico para efectos de interponer el medio de impugnación que nos ocupa.</w:t>
      </w:r>
    </w:p>
    <w:p w14:paraId="427F1E0B"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21B05427" w14:textId="77777777" w:rsidR="00600D10" w:rsidRPr="00920D0B" w:rsidRDefault="00920D0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920D0B">
        <w:rPr>
          <w:rFonts w:ascii="Palatino Linotype" w:eastAsia="Palatino Linotype" w:hAnsi="Palatino Linotype" w:cs="Palatino Linotype"/>
          <w:b/>
          <w:color w:val="000000"/>
          <w:sz w:val="22"/>
          <w:szCs w:val="22"/>
        </w:rPr>
        <w:t>Causales de sobreseimiento</w:t>
      </w:r>
    </w:p>
    <w:p w14:paraId="049932F0"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0443E1B4"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Por otra parte, el artículo 139, de la Ley de Protección de Datos Personales en Posesión de Sujetos Obligados del Estado de México y Municipios, señala que el Recurso de Revisión será sobreseído cuando una vez admitido, se actualice algún de los supuestos siguientes:</w:t>
      </w:r>
    </w:p>
    <w:p w14:paraId="3B3678ED"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33CA0154" w14:textId="77777777" w:rsidR="00600D10" w:rsidRPr="00920D0B" w:rsidRDefault="00920D0B">
      <w:pPr>
        <w:spacing w:line="360" w:lineRule="auto"/>
        <w:ind w:left="720" w:right="539"/>
        <w:jc w:val="both"/>
        <w:rPr>
          <w:rFonts w:ascii="Palatino Linotype" w:eastAsia="Palatino Linotype" w:hAnsi="Palatino Linotype" w:cs="Palatino Linotype"/>
          <w:b/>
          <w:i/>
        </w:rPr>
      </w:pPr>
      <w:r w:rsidRPr="00920D0B">
        <w:rPr>
          <w:rFonts w:ascii="Palatino Linotype" w:eastAsia="Palatino Linotype" w:hAnsi="Palatino Linotype" w:cs="Palatino Linotype"/>
          <w:b/>
          <w:i/>
        </w:rPr>
        <w:t>“I. El recurrente se desista expresamente.</w:t>
      </w:r>
    </w:p>
    <w:p w14:paraId="67A1B633" w14:textId="77777777" w:rsidR="00600D10" w:rsidRPr="00920D0B" w:rsidRDefault="00920D0B">
      <w:pPr>
        <w:spacing w:line="360" w:lineRule="auto"/>
        <w:ind w:left="720" w:right="539"/>
        <w:jc w:val="both"/>
        <w:rPr>
          <w:rFonts w:ascii="Palatino Linotype" w:eastAsia="Palatino Linotype" w:hAnsi="Palatino Linotype" w:cs="Palatino Linotype"/>
          <w:i/>
        </w:rPr>
      </w:pPr>
      <w:r w:rsidRPr="00920D0B">
        <w:rPr>
          <w:rFonts w:ascii="Palatino Linotype" w:eastAsia="Palatino Linotype" w:hAnsi="Palatino Linotype" w:cs="Palatino Linotype"/>
          <w:i/>
        </w:rPr>
        <w:t>II. El recurrente fallezca.</w:t>
      </w:r>
    </w:p>
    <w:p w14:paraId="41D7B5B1" w14:textId="77777777" w:rsidR="00600D10" w:rsidRPr="00920D0B" w:rsidRDefault="00920D0B">
      <w:pPr>
        <w:spacing w:line="360" w:lineRule="auto"/>
        <w:ind w:left="720" w:right="539"/>
        <w:jc w:val="both"/>
        <w:rPr>
          <w:rFonts w:ascii="Palatino Linotype" w:eastAsia="Palatino Linotype" w:hAnsi="Palatino Linotype" w:cs="Palatino Linotype"/>
          <w:i/>
        </w:rPr>
      </w:pPr>
      <w:r w:rsidRPr="00920D0B">
        <w:rPr>
          <w:rFonts w:ascii="Palatino Linotype" w:eastAsia="Palatino Linotype" w:hAnsi="Palatino Linotype" w:cs="Palatino Linotype"/>
          <w:i/>
        </w:rPr>
        <w:t>III. Admitido el recurso de revisión, se actualice alguna causal de improcedencia en los términos de la presente Ley.</w:t>
      </w:r>
    </w:p>
    <w:p w14:paraId="0B62281D" w14:textId="77777777" w:rsidR="00600D10" w:rsidRPr="00920D0B" w:rsidRDefault="00920D0B">
      <w:pPr>
        <w:spacing w:line="360" w:lineRule="auto"/>
        <w:ind w:left="720" w:right="539"/>
        <w:jc w:val="both"/>
        <w:rPr>
          <w:rFonts w:ascii="Palatino Linotype" w:eastAsia="Palatino Linotype" w:hAnsi="Palatino Linotype" w:cs="Palatino Linotype"/>
          <w:i/>
        </w:rPr>
      </w:pPr>
      <w:r w:rsidRPr="00920D0B">
        <w:rPr>
          <w:rFonts w:ascii="Palatino Linotype" w:eastAsia="Palatino Linotype" w:hAnsi="Palatino Linotype" w:cs="Palatino Linotype"/>
          <w:i/>
        </w:rPr>
        <w:t>IV. El responsable modifique o revoque su respuesta de tal manera que el recurso de revisión quede sin materia.</w:t>
      </w:r>
    </w:p>
    <w:p w14:paraId="4FA987B9" w14:textId="77777777" w:rsidR="00600D10" w:rsidRPr="00920D0B" w:rsidRDefault="00920D0B">
      <w:pPr>
        <w:spacing w:line="360" w:lineRule="auto"/>
        <w:ind w:left="720" w:right="539"/>
        <w:jc w:val="both"/>
        <w:rPr>
          <w:rFonts w:ascii="Palatino Linotype" w:eastAsia="Palatino Linotype" w:hAnsi="Palatino Linotype" w:cs="Palatino Linotype"/>
        </w:rPr>
      </w:pPr>
      <w:r w:rsidRPr="00920D0B">
        <w:rPr>
          <w:rFonts w:ascii="Palatino Linotype" w:eastAsia="Palatino Linotype" w:hAnsi="Palatino Linotype" w:cs="Palatino Linotype"/>
          <w:i/>
        </w:rPr>
        <w:t>V. Quede sin materia el recurso de revisión</w:t>
      </w:r>
      <w:r w:rsidRPr="00920D0B">
        <w:rPr>
          <w:rFonts w:ascii="Palatino Linotype" w:eastAsia="Palatino Linotype" w:hAnsi="Palatino Linotype" w:cs="Palatino Linotype"/>
        </w:rPr>
        <w:t>.”</w:t>
      </w:r>
    </w:p>
    <w:p w14:paraId="35C89DF9"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6C612428" w14:textId="77777777" w:rsidR="00600D10" w:rsidRPr="00920D0B" w:rsidRDefault="00920D0B">
      <w:pPr>
        <w:spacing w:line="360" w:lineRule="auto"/>
        <w:jc w:val="both"/>
        <w:rPr>
          <w:rFonts w:ascii="Palatino Linotype" w:eastAsia="Palatino Linotype" w:hAnsi="Palatino Linotype" w:cs="Palatino Linotype"/>
          <w:b/>
          <w:sz w:val="22"/>
          <w:szCs w:val="22"/>
        </w:rPr>
      </w:pPr>
      <w:r w:rsidRPr="00920D0B">
        <w:rPr>
          <w:rFonts w:ascii="Palatino Linotype" w:eastAsia="Palatino Linotype" w:hAnsi="Palatino Linotype" w:cs="Palatino Linotype"/>
          <w:sz w:val="22"/>
          <w:szCs w:val="22"/>
        </w:rPr>
        <w:t>Así pues, en atención a que de los autos que conforman el expediente digital que se cita al rubro, se desprende que la parte Recurrente se desistió expresamente del presente Recurso de Revisión, lo que actualiza el supuesto previsto en la fracción I del artículo 139, de la Ley de Protección de Datos Personales en Posesión de Sujetos Obligados del Estado de México y Municipios.</w:t>
      </w:r>
    </w:p>
    <w:p w14:paraId="65B51667" w14:textId="77777777" w:rsidR="00600D10" w:rsidRPr="00920D0B" w:rsidRDefault="00600D10">
      <w:pPr>
        <w:spacing w:line="360" w:lineRule="auto"/>
        <w:jc w:val="both"/>
        <w:rPr>
          <w:rFonts w:ascii="Palatino Linotype" w:eastAsia="Palatino Linotype" w:hAnsi="Palatino Linotype" w:cs="Palatino Linotype"/>
          <w:sz w:val="22"/>
          <w:szCs w:val="22"/>
        </w:rPr>
      </w:pPr>
      <w:bookmarkStart w:id="8" w:name="_heading=h.oxljtc4a59t4" w:colFirst="0" w:colLast="0"/>
      <w:bookmarkEnd w:id="8"/>
    </w:p>
    <w:p w14:paraId="6F2961A1" w14:textId="77777777" w:rsidR="00600D10" w:rsidRPr="00920D0B" w:rsidRDefault="00920D0B">
      <w:pPr>
        <w:spacing w:line="360" w:lineRule="auto"/>
        <w:jc w:val="both"/>
        <w:rPr>
          <w:rFonts w:ascii="Palatino Linotype" w:eastAsia="Palatino Linotype" w:hAnsi="Palatino Linotype" w:cs="Palatino Linotype"/>
          <w:b/>
          <w:sz w:val="22"/>
          <w:szCs w:val="22"/>
        </w:rPr>
      </w:pPr>
      <w:r w:rsidRPr="00920D0B">
        <w:rPr>
          <w:rFonts w:ascii="Palatino Linotype" w:eastAsia="Palatino Linotype" w:hAnsi="Palatino Linotype" w:cs="Palatino Linotype"/>
          <w:sz w:val="22"/>
          <w:szCs w:val="22"/>
        </w:rPr>
        <w:lastRenderedPageBreak/>
        <w:t xml:space="preserve">En atención a lo anterior, se procede al desahogo del análisis del sobreseimiento en atención a la actualización del supuesto previsto en la fracción I del artículo 139, de la Ley de Protección de Datos Personales en Posesión de Sujetos Obligados del Estado de México y Municipios, en razón de un desistimiento expreso por parte de la parte Recurrente. </w:t>
      </w:r>
    </w:p>
    <w:p w14:paraId="21935321"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2BE8D35C"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Así pues, en el presente asunto, de conformidad con los autos que integran el expediente digital, se colige en el ahora Recurrente se desistió expresamente del presente Recurso de Revisión, a través del Sistema de Acceso, Rectificación, Cancelación y Oposición de Datos Personales del Estado de México y Municipios (SARCOEM), el seis de octubre de dos mil veinticinco, es decir a través del medio idóneo para tales efectos, tal y como se observa a continuación:</w:t>
      </w:r>
    </w:p>
    <w:p w14:paraId="1E013702"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2FA7FF40" w14:textId="77777777" w:rsidR="00600D10" w:rsidRPr="00920D0B" w:rsidRDefault="00920D0B">
      <w:pPr>
        <w:spacing w:line="360" w:lineRule="auto"/>
        <w:jc w:val="center"/>
        <w:rPr>
          <w:rFonts w:ascii="Palatino Linotype" w:eastAsia="Palatino Linotype" w:hAnsi="Palatino Linotype" w:cs="Palatino Linotype"/>
          <w:sz w:val="22"/>
          <w:szCs w:val="22"/>
        </w:rPr>
      </w:pPr>
      <w:r w:rsidRPr="00920D0B">
        <w:rPr>
          <w:rFonts w:ascii="Palatino Linotype" w:eastAsia="Palatino Linotype" w:hAnsi="Palatino Linotype" w:cs="Palatino Linotype"/>
          <w:noProof/>
          <w:sz w:val="22"/>
          <w:szCs w:val="22"/>
        </w:rPr>
        <w:lastRenderedPageBreak/>
        <w:drawing>
          <wp:inline distT="0" distB="0" distL="0" distR="0" wp14:anchorId="5227F130" wp14:editId="615CAF21">
            <wp:extent cx="4591050" cy="4352925"/>
            <wp:effectExtent l="0" t="0" r="0" b="0"/>
            <wp:docPr id="2113724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91050" cy="4352925"/>
                    </a:xfrm>
                    <a:prstGeom prst="rect">
                      <a:avLst/>
                    </a:prstGeom>
                    <a:ln/>
                  </pic:spPr>
                </pic:pic>
              </a:graphicData>
            </a:graphic>
          </wp:inline>
        </w:drawing>
      </w:r>
    </w:p>
    <w:p w14:paraId="5AF80494"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77D482CB"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 xml:space="preserve">Así pues, se tiene constancia de la manifestación expresa de la persona Recurrente para desistirse del procedimiento y en consecuencia, no continuar con él, en este sentido se debe tener en consideración que la parte Recurrente agregó a su desistimiento que </w:t>
      </w:r>
      <w:r w:rsidRPr="00920D0B">
        <w:rPr>
          <w:rFonts w:ascii="Palatino Linotype" w:eastAsia="Palatino Linotype" w:hAnsi="Palatino Linotype" w:cs="Palatino Linotype"/>
          <w:i/>
          <w:sz w:val="22"/>
          <w:szCs w:val="22"/>
        </w:rPr>
        <w:t>“Ya no requiero la información.”,</w:t>
      </w:r>
      <w:r w:rsidRPr="00920D0B">
        <w:rPr>
          <w:rFonts w:ascii="Palatino Linotype" w:eastAsia="Palatino Linotype" w:hAnsi="Palatino Linotype" w:cs="Palatino Linotype"/>
          <w:sz w:val="22"/>
          <w:szCs w:val="22"/>
        </w:rPr>
        <w:t xml:space="preserve"> por tanto, se aprecia que en el caso que nos ocupa, la parte Recurrente expresó inequívocamente que ya no es su voluntad continuar con el proceso, lo cual aporta elementos a este Organismo Garante para advertir que el desistimiento se emitió efectivamente para concluir el procedimiento. </w:t>
      </w:r>
    </w:p>
    <w:p w14:paraId="2EAAAE91"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64F7BE3A"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lastRenderedPageBreak/>
        <w:t xml:space="preserve">En consecuencia, se actualiza el supuesto previsto en el artículo 139, fracción I, de la Ley de Protección de Datos Personales en Posesión de Sujetos Obligados del Estado de México y Municipios y del artículo 192, fracción I, de la Ley de Transparencia y Acceso a la Información Pública del Estado de México y Municipios, en aplicación supletoria. </w:t>
      </w:r>
    </w:p>
    <w:p w14:paraId="0F4990D6"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14462C73"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En ese tenor, resulta aplicable la Jurisprudencia número 1a./J. 65/2005, Semanario Judicial de la Federación y su Gaceta, Novena Época, Tomo XXII, julio de dos mil cinco, página ciento sesenta y uno, que establece lo siguiente:</w:t>
      </w:r>
    </w:p>
    <w:p w14:paraId="6323EEEC"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7491C7F2" w14:textId="77777777" w:rsidR="00600D10" w:rsidRPr="00920D0B" w:rsidRDefault="00920D0B">
      <w:pPr>
        <w:spacing w:line="360" w:lineRule="auto"/>
        <w:ind w:left="567" w:right="539"/>
        <w:jc w:val="both"/>
        <w:rPr>
          <w:rFonts w:ascii="Palatino Linotype" w:eastAsia="Palatino Linotype" w:hAnsi="Palatino Linotype" w:cs="Palatino Linotype"/>
          <w:b/>
          <w:i/>
        </w:rPr>
      </w:pPr>
      <w:r w:rsidRPr="00920D0B">
        <w:rPr>
          <w:rFonts w:ascii="Palatino Linotype" w:eastAsia="Palatino Linotype" w:hAnsi="Palatino Linotype" w:cs="Palatino Linotype"/>
          <w:b/>
          <w:i/>
        </w:rPr>
        <w:t xml:space="preserve">“DESISTIMIENTO DE LA INSTANCIA. SURTE EFECTOS DESDE EL MOMENTO EN QUE SE PRESENTA EL ESCRITO CORRESPONDIENTE. </w:t>
      </w:r>
    </w:p>
    <w:p w14:paraId="17B0848E" w14:textId="77777777" w:rsidR="00600D10" w:rsidRPr="00920D0B" w:rsidRDefault="00920D0B">
      <w:pPr>
        <w:spacing w:line="360" w:lineRule="auto"/>
        <w:ind w:left="567" w:right="539"/>
        <w:jc w:val="both"/>
        <w:rPr>
          <w:rFonts w:ascii="Palatino Linotype" w:eastAsia="Palatino Linotype" w:hAnsi="Palatino Linotype" w:cs="Palatino Linotype"/>
          <w:b/>
          <w:i/>
          <w:sz w:val="22"/>
          <w:szCs w:val="22"/>
        </w:rPr>
      </w:pPr>
      <w:r w:rsidRPr="00920D0B">
        <w:rPr>
          <w:rFonts w:ascii="Palatino Linotype" w:eastAsia="Palatino Linotype" w:hAnsi="Palatino Linotype" w:cs="Palatino Linotype"/>
          <w:i/>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69D9F5F4" w14:textId="77777777" w:rsidR="00600D10" w:rsidRPr="00920D0B" w:rsidRDefault="00600D10">
      <w:pPr>
        <w:spacing w:line="360" w:lineRule="auto"/>
        <w:jc w:val="both"/>
        <w:rPr>
          <w:rFonts w:ascii="Palatino Linotype" w:eastAsia="Palatino Linotype" w:hAnsi="Palatino Linotype" w:cs="Palatino Linotype"/>
          <w:b/>
          <w:sz w:val="22"/>
          <w:szCs w:val="22"/>
        </w:rPr>
      </w:pPr>
    </w:p>
    <w:p w14:paraId="69BD7E96" w14:textId="77777777" w:rsidR="00600D10" w:rsidRPr="00920D0B" w:rsidRDefault="00920D0B">
      <w:pPr>
        <w:spacing w:line="360" w:lineRule="auto"/>
        <w:jc w:val="both"/>
        <w:rPr>
          <w:rFonts w:ascii="Palatino Linotype" w:eastAsia="Palatino Linotype" w:hAnsi="Palatino Linotype" w:cs="Palatino Linotype"/>
          <w:b/>
          <w:sz w:val="22"/>
          <w:szCs w:val="22"/>
        </w:rPr>
      </w:pPr>
      <w:r w:rsidRPr="00920D0B">
        <w:rPr>
          <w:rFonts w:ascii="Palatino Linotype" w:eastAsia="Palatino Linotype" w:hAnsi="Palatino Linotype" w:cs="Palatino Linotype"/>
          <w:sz w:val="22"/>
          <w:szCs w:val="22"/>
        </w:rPr>
        <w:lastRenderedPageBreak/>
        <w:t xml:space="preserve">Así pues, derivado de la manifestación expresa de la voluntad de la parte Recurrente para desistirse y concluir el presente asunto, es procedente </w:t>
      </w:r>
      <w:r w:rsidRPr="00920D0B">
        <w:rPr>
          <w:rFonts w:ascii="Palatino Linotype" w:eastAsia="Palatino Linotype" w:hAnsi="Palatino Linotype" w:cs="Palatino Linotype"/>
          <w:b/>
          <w:sz w:val="22"/>
          <w:szCs w:val="22"/>
        </w:rPr>
        <w:t xml:space="preserve">SOBRESEER </w:t>
      </w:r>
      <w:r w:rsidRPr="00920D0B">
        <w:rPr>
          <w:rFonts w:ascii="Palatino Linotype" w:eastAsia="Palatino Linotype" w:hAnsi="Palatino Linotype" w:cs="Palatino Linotype"/>
          <w:sz w:val="22"/>
          <w:szCs w:val="22"/>
        </w:rPr>
        <w:t xml:space="preserve">el Recurso de Revisión, en los términos antes expuestos. </w:t>
      </w:r>
    </w:p>
    <w:p w14:paraId="25AE1E61" w14:textId="77777777" w:rsidR="00600D10" w:rsidRPr="00920D0B" w:rsidRDefault="00600D10">
      <w:pPr>
        <w:spacing w:line="360" w:lineRule="auto"/>
        <w:jc w:val="both"/>
        <w:rPr>
          <w:rFonts w:ascii="Palatino Linotype" w:eastAsia="Palatino Linotype" w:hAnsi="Palatino Linotype" w:cs="Palatino Linotype"/>
          <w:b/>
          <w:sz w:val="22"/>
          <w:szCs w:val="22"/>
        </w:rPr>
      </w:pPr>
    </w:p>
    <w:p w14:paraId="23D03992" w14:textId="77777777" w:rsidR="00600D10" w:rsidRPr="00920D0B" w:rsidRDefault="00920D0B">
      <w:pPr>
        <w:pStyle w:val="Ttulo2"/>
        <w:spacing w:before="0" w:line="360" w:lineRule="auto"/>
        <w:rPr>
          <w:rFonts w:ascii="Palatino Linotype" w:eastAsia="Palatino Linotype" w:hAnsi="Palatino Linotype" w:cs="Palatino Linotype"/>
          <w:b/>
          <w:color w:val="000000"/>
          <w:sz w:val="22"/>
          <w:szCs w:val="22"/>
        </w:rPr>
      </w:pPr>
      <w:bookmarkStart w:id="9" w:name="_Toc211522625"/>
      <w:r w:rsidRPr="00920D0B">
        <w:rPr>
          <w:rFonts w:ascii="Palatino Linotype" w:eastAsia="Palatino Linotype" w:hAnsi="Palatino Linotype" w:cs="Palatino Linotype"/>
          <w:b/>
          <w:color w:val="000000"/>
          <w:sz w:val="22"/>
          <w:szCs w:val="22"/>
        </w:rPr>
        <w:t>TERCERO. Decisión</w:t>
      </w:r>
      <w:bookmarkEnd w:id="9"/>
    </w:p>
    <w:p w14:paraId="063D50B6" w14:textId="77777777" w:rsidR="00600D10" w:rsidRPr="00920D0B" w:rsidRDefault="00600D10">
      <w:pPr>
        <w:spacing w:line="360" w:lineRule="auto"/>
        <w:jc w:val="both"/>
        <w:rPr>
          <w:rFonts w:ascii="Palatino Linotype" w:eastAsia="Palatino Linotype" w:hAnsi="Palatino Linotype" w:cs="Palatino Linotype"/>
          <w:b/>
          <w:sz w:val="22"/>
          <w:szCs w:val="22"/>
        </w:rPr>
      </w:pPr>
    </w:p>
    <w:p w14:paraId="794E1235"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 xml:space="preserve">Con fundamento en los artículos 137, fracción I, y 139 fracción I de la Ley de Protección de Datos Personales en Posesión de Sujetos Obligados del Estado de México y Municipios y 186 fracción I y 192 fracción I, de la Ley de Transparencia y Acceso a la Información Pública del Estado de México y Municipios de manera supletoria, este Instituto considera procedente </w:t>
      </w:r>
      <w:r w:rsidRPr="00920D0B">
        <w:rPr>
          <w:rFonts w:ascii="Palatino Linotype" w:eastAsia="Palatino Linotype" w:hAnsi="Palatino Linotype" w:cs="Palatino Linotype"/>
          <w:b/>
          <w:sz w:val="22"/>
          <w:szCs w:val="22"/>
        </w:rPr>
        <w:t xml:space="preserve">SOBRESEER </w:t>
      </w:r>
      <w:r w:rsidRPr="00920D0B">
        <w:rPr>
          <w:rFonts w:ascii="Palatino Linotype" w:eastAsia="Palatino Linotype" w:hAnsi="Palatino Linotype" w:cs="Palatino Linotype"/>
          <w:sz w:val="22"/>
          <w:szCs w:val="22"/>
        </w:rPr>
        <w:t xml:space="preserve">el Recurso de Revisión </w:t>
      </w:r>
      <w:r w:rsidRPr="00920D0B">
        <w:rPr>
          <w:rFonts w:ascii="Palatino Linotype" w:eastAsia="Palatino Linotype" w:hAnsi="Palatino Linotype" w:cs="Palatino Linotype"/>
          <w:b/>
          <w:sz w:val="22"/>
          <w:szCs w:val="22"/>
        </w:rPr>
        <w:t xml:space="preserve">06221/INFOEM/AD/RR/2025, </w:t>
      </w:r>
      <w:r w:rsidRPr="00920D0B">
        <w:rPr>
          <w:rFonts w:ascii="Palatino Linotype" w:eastAsia="Palatino Linotype" w:hAnsi="Palatino Linotype" w:cs="Palatino Linotype"/>
          <w:sz w:val="22"/>
          <w:szCs w:val="22"/>
        </w:rPr>
        <w:t>en virtud de la manifestación expresa de la voluntad de la parte Recurrente para desistirse del presente Recurso.</w:t>
      </w:r>
    </w:p>
    <w:p w14:paraId="431D6F05"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5B38DEB8"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b/>
          <w:sz w:val="22"/>
          <w:szCs w:val="22"/>
          <w:u w:val="single"/>
        </w:rPr>
        <w:t>Términos de la Resolución para cono</w:t>
      </w:r>
      <w:r w:rsidR="00661B81">
        <w:rPr>
          <w:rFonts w:ascii="Palatino Linotype" w:eastAsia="Palatino Linotype" w:hAnsi="Palatino Linotype" w:cs="Palatino Linotype"/>
          <w:b/>
          <w:sz w:val="22"/>
          <w:szCs w:val="22"/>
          <w:u w:val="single"/>
        </w:rPr>
        <w:t>cimiento de la parte Recurrente</w:t>
      </w:r>
    </w:p>
    <w:p w14:paraId="2FC512C2"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366D751E" w14:textId="77777777" w:rsidR="00600D10" w:rsidRPr="00920D0B" w:rsidRDefault="00920D0B">
      <w:pPr>
        <w:spacing w:line="360" w:lineRule="auto"/>
        <w:jc w:val="both"/>
        <w:rPr>
          <w:rFonts w:ascii="Palatino Linotype" w:eastAsia="Palatino Linotype" w:hAnsi="Palatino Linotype" w:cs="Palatino Linotype"/>
          <w:sz w:val="22"/>
          <w:szCs w:val="22"/>
          <w:u w:val="single"/>
        </w:rPr>
      </w:pPr>
      <w:r w:rsidRPr="00920D0B">
        <w:rPr>
          <w:rFonts w:ascii="Palatino Linotype" w:eastAsia="Palatino Linotype" w:hAnsi="Palatino Linotype" w:cs="Palatino Linotype"/>
          <w:sz w:val="22"/>
          <w:szCs w:val="22"/>
          <w:u w:val="single"/>
        </w:rPr>
        <w:t>Derivado de la manifestación expresa de su voluntad para concluir el presente asunto, este Organismo Garante tiene por concluido el presente Recurso de Revisión.</w:t>
      </w:r>
    </w:p>
    <w:p w14:paraId="2032D52B"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5928A138" w14:textId="77777777" w:rsidR="00600D10" w:rsidRPr="00920D0B" w:rsidRDefault="00920D0B">
      <w:pPr>
        <w:spacing w:line="360" w:lineRule="auto"/>
        <w:jc w:val="both"/>
        <w:rPr>
          <w:rFonts w:ascii="Palatino Linotype" w:eastAsia="Palatino Linotype" w:hAnsi="Palatino Linotype" w:cs="Palatino Linotype"/>
          <w:sz w:val="22"/>
          <w:szCs w:val="22"/>
          <w:u w:val="single"/>
        </w:rPr>
      </w:pPr>
      <w:r w:rsidRPr="00920D0B">
        <w:rPr>
          <w:rFonts w:ascii="Palatino Linotype" w:eastAsia="Palatino Linotype" w:hAnsi="Palatino Linotype" w:cs="Palatino Linotype"/>
          <w:sz w:val="22"/>
          <w:szCs w:val="22"/>
          <w:u w:val="single"/>
        </w:rPr>
        <w:t>La labor del INFOEM, es apoyar a la población para acceder a la información pública y garantizar la protección y el acceso de sus datos personales.</w:t>
      </w:r>
    </w:p>
    <w:p w14:paraId="06BDCFF1" w14:textId="77777777" w:rsidR="00600D10" w:rsidRPr="00920D0B" w:rsidRDefault="00600D10">
      <w:pPr>
        <w:spacing w:line="360" w:lineRule="auto"/>
        <w:jc w:val="both"/>
        <w:rPr>
          <w:rFonts w:ascii="Palatino Linotype" w:eastAsia="Palatino Linotype" w:hAnsi="Palatino Linotype" w:cs="Palatino Linotype"/>
          <w:sz w:val="22"/>
          <w:szCs w:val="22"/>
          <w:u w:val="single"/>
        </w:rPr>
      </w:pPr>
    </w:p>
    <w:p w14:paraId="3ADF07EC" w14:textId="77777777" w:rsidR="00600D10" w:rsidRPr="00920D0B" w:rsidRDefault="00920D0B">
      <w:pPr>
        <w:spacing w:line="360" w:lineRule="auto"/>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Por lo expuesto y fundado, este Pleno:</w:t>
      </w:r>
    </w:p>
    <w:p w14:paraId="193FCB7E" w14:textId="77777777" w:rsidR="00600D10" w:rsidRPr="00920D0B" w:rsidRDefault="00600D10">
      <w:pPr>
        <w:tabs>
          <w:tab w:val="left" w:pos="1470"/>
        </w:tabs>
        <w:spacing w:line="360" w:lineRule="auto"/>
        <w:ind w:right="-28"/>
        <w:jc w:val="both"/>
        <w:rPr>
          <w:rFonts w:ascii="Palatino Linotype" w:eastAsia="Palatino Linotype" w:hAnsi="Palatino Linotype" w:cs="Palatino Linotype"/>
          <w:sz w:val="22"/>
          <w:szCs w:val="22"/>
        </w:rPr>
      </w:pPr>
    </w:p>
    <w:p w14:paraId="3F6E63AF" w14:textId="77777777" w:rsidR="00600D10" w:rsidRPr="00920D0B" w:rsidRDefault="00920D0B">
      <w:pPr>
        <w:pStyle w:val="Ttulo1"/>
        <w:spacing w:before="0" w:line="360" w:lineRule="auto"/>
        <w:jc w:val="center"/>
        <w:rPr>
          <w:rFonts w:ascii="Palatino Linotype" w:eastAsia="Palatino Linotype" w:hAnsi="Palatino Linotype" w:cs="Palatino Linotype"/>
          <w:b/>
          <w:color w:val="000000"/>
          <w:sz w:val="22"/>
          <w:szCs w:val="22"/>
        </w:rPr>
      </w:pPr>
      <w:bookmarkStart w:id="10" w:name="_Toc211522626"/>
      <w:r w:rsidRPr="00920D0B">
        <w:rPr>
          <w:rFonts w:ascii="Palatino Linotype" w:eastAsia="Palatino Linotype" w:hAnsi="Palatino Linotype" w:cs="Palatino Linotype"/>
          <w:b/>
          <w:color w:val="000000"/>
          <w:sz w:val="22"/>
          <w:szCs w:val="22"/>
        </w:rPr>
        <w:lastRenderedPageBreak/>
        <w:t>R E S U E L V E</w:t>
      </w:r>
      <w:bookmarkEnd w:id="10"/>
    </w:p>
    <w:p w14:paraId="08F31249" w14:textId="77777777" w:rsidR="00600D10" w:rsidRPr="00920D0B" w:rsidRDefault="00600D10">
      <w:pPr>
        <w:spacing w:line="360" w:lineRule="auto"/>
        <w:jc w:val="both"/>
        <w:rPr>
          <w:rFonts w:ascii="Palatino Linotype" w:eastAsia="Palatino Linotype" w:hAnsi="Palatino Linotype" w:cs="Palatino Linotype"/>
          <w:b/>
          <w:sz w:val="22"/>
          <w:szCs w:val="22"/>
        </w:rPr>
      </w:pPr>
    </w:p>
    <w:p w14:paraId="70112899" w14:textId="77777777" w:rsidR="00600D10" w:rsidRPr="00920D0B" w:rsidRDefault="00920D0B">
      <w:pPr>
        <w:spacing w:line="360" w:lineRule="auto"/>
        <w:jc w:val="both"/>
        <w:rPr>
          <w:rFonts w:ascii="Palatino Linotype" w:eastAsia="Palatino Linotype" w:hAnsi="Palatino Linotype" w:cs="Palatino Linotype"/>
          <w:b/>
          <w:sz w:val="22"/>
          <w:szCs w:val="22"/>
        </w:rPr>
      </w:pPr>
      <w:r w:rsidRPr="00920D0B">
        <w:rPr>
          <w:rFonts w:ascii="Palatino Linotype" w:eastAsia="Palatino Linotype" w:hAnsi="Palatino Linotype" w:cs="Palatino Linotype"/>
          <w:b/>
          <w:sz w:val="22"/>
          <w:szCs w:val="22"/>
        </w:rPr>
        <w:t xml:space="preserve">PRIMERO. </w:t>
      </w:r>
      <w:r w:rsidRPr="00920D0B">
        <w:rPr>
          <w:rFonts w:ascii="Palatino Linotype" w:eastAsia="Palatino Linotype" w:hAnsi="Palatino Linotype" w:cs="Palatino Linotype"/>
          <w:sz w:val="22"/>
          <w:szCs w:val="22"/>
        </w:rPr>
        <w:t xml:space="preserve">Se </w:t>
      </w:r>
      <w:r w:rsidRPr="00920D0B">
        <w:rPr>
          <w:rFonts w:ascii="Palatino Linotype" w:eastAsia="Palatino Linotype" w:hAnsi="Palatino Linotype" w:cs="Palatino Linotype"/>
          <w:b/>
          <w:sz w:val="22"/>
          <w:szCs w:val="22"/>
        </w:rPr>
        <w:t xml:space="preserve">SOBRESEE </w:t>
      </w:r>
      <w:r w:rsidRPr="00920D0B">
        <w:rPr>
          <w:rFonts w:ascii="Palatino Linotype" w:eastAsia="Palatino Linotype" w:hAnsi="Palatino Linotype" w:cs="Palatino Linotype"/>
          <w:sz w:val="22"/>
          <w:szCs w:val="22"/>
        </w:rPr>
        <w:t>el Recurso de Revisión número</w:t>
      </w:r>
      <w:r w:rsidRPr="00920D0B">
        <w:rPr>
          <w:rFonts w:ascii="Palatino Linotype" w:eastAsia="Palatino Linotype" w:hAnsi="Palatino Linotype" w:cs="Palatino Linotype"/>
          <w:b/>
          <w:sz w:val="22"/>
          <w:szCs w:val="22"/>
        </w:rPr>
        <w:t xml:space="preserve"> 06221/INFOEM/AD/RR/2025, </w:t>
      </w:r>
      <w:r w:rsidRPr="00920D0B">
        <w:rPr>
          <w:rFonts w:ascii="Palatino Linotype" w:eastAsia="Palatino Linotype" w:hAnsi="Palatino Linotype" w:cs="Palatino Linotype"/>
          <w:sz w:val="22"/>
          <w:szCs w:val="22"/>
        </w:rPr>
        <w:t xml:space="preserve">por actualizarse el supuesto previsto en el artículo 139, fracción I, de la Ley de Protección de Datos Personales en Posesión de Sujetos Obligados del Estado de México y Municipios, en virtud del desistimiento expreso de la Recurrente, en términos de los Considerandos </w:t>
      </w:r>
      <w:r w:rsidRPr="00920D0B">
        <w:rPr>
          <w:rFonts w:ascii="Palatino Linotype" w:eastAsia="Palatino Linotype" w:hAnsi="Palatino Linotype" w:cs="Palatino Linotype"/>
          <w:b/>
          <w:sz w:val="22"/>
          <w:szCs w:val="22"/>
        </w:rPr>
        <w:t>SEGUNDO y</w:t>
      </w:r>
      <w:r w:rsidRPr="00920D0B">
        <w:rPr>
          <w:rFonts w:ascii="Palatino Linotype" w:eastAsia="Palatino Linotype" w:hAnsi="Palatino Linotype" w:cs="Palatino Linotype"/>
          <w:sz w:val="22"/>
          <w:szCs w:val="22"/>
        </w:rPr>
        <w:t xml:space="preserve"> </w:t>
      </w:r>
      <w:r w:rsidRPr="00920D0B">
        <w:rPr>
          <w:rFonts w:ascii="Palatino Linotype" w:eastAsia="Palatino Linotype" w:hAnsi="Palatino Linotype" w:cs="Palatino Linotype"/>
          <w:b/>
          <w:sz w:val="22"/>
          <w:szCs w:val="22"/>
        </w:rPr>
        <w:t xml:space="preserve">TERCERO </w:t>
      </w:r>
      <w:r w:rsidRPr="00920D0B">
        <w:rPr>
          <w:rFonts w:ascii="Palatino Linotype" w:eastAsia="Palatino Linotype" w:hAnsi="Palatino Linotype" w:cs="Palatino Linotype"/>
          <w:sz w:val="22"/>
          <w:szCs w:val="22"/>
        </w:rPr>
        <w:t xml:space="preserve">de la presente Resolución. </w:t>
      </w:r>
    </w:p>
    <w:p w14:paraId="5D4F6A9E" w14:textId="77777777" w:rsidR="00600D10" w:rsidRPr="00920D0B" w:rsidRDefault="00600D10">
      <w:pPr>
        <w:spacing w:line="360" w:lineRule="auto"/>
        <w:jc w:val="both"/>
        <w:rPr>
          <w:rFonts w:ascii="Palatino Linotype" w:eastAsia="Palatino Linotype" w:hAnsi="Palatino Linotype" w:cs="Palatino Linotype"/>
          <w:b/>
          <w:sz w:val="22"/>
          <w:szCs w:val="22"/>
        </w:rPr>
      </w:pPr>
    </w:p>
    <w:p w14:paraId="4ABA251C" w14:textId="77777777" w:rsidR="00600D10" w:rsidRPr="00920D0B" w:rsidRDefault="00920D0B">
      <w:pPr>
        <w:spacing w:line="360" w:lineRule="auto"/>
        <w:ind w:right="-28"/>
        <w:jc w:val="both"/>
        <w:rPr>
          <w:rFonts w:ascii="Palatino Linotype" w:eastAsia="Palatino Linotype" w:hAnsi="Palatino Linotype" w:cs="Palatino Linotype"/>
          <w:b/>
          <w:color w:val="000000"/>
          <w:sz w:val="22"/>
          <w:szCs w:val="22"/>
        </w:rPr>
      </w:pPr>
      <w:r w:rsidRPr="00920D0B">
        <w:rPr>
          <w:rFonts w:ascii="Palatino Linotype" w:eastAsia="Palatino Linotype" w:hAnsi="Palatino Linotype" w:cs="Palatino Linotype"/>
          <w:b/>
          <w:color w:val="000000"/>
          <w:sz w:val="22"/>
          <w:szCs w:val="22"/>
        </w:rPr>
        <w:t xml:space="preserve">SEGUNDO. NOTIFÍQUESE POR SARCOEM </w:t>
      </w:r>
      <w:r w:rsidRPr="00920D0B">
        <w:rPr>
          <w:rFonts w:ascii="Palatino Linotype" w:eastAsia="Palatino Linotype" w:hAnsi="Palatino Linotype" w:cs="Palatino Linotype"/>
          <w:color w:val="000000"/>
          <w:sz w:val="22"/>
          <w:szCs w:val="22"/>
        </w:rPr>
        <w:t>la presente resolución al Titular de la Unidad de Transparencia del Sujeto Obligado.</w:t>
      </w:r>
    </w:p>
    <w:p w14:paraId="622E8AB9" w14:textId="77777777" w:rsidR="00600D10" w:rsidRPr="00920D0B" w:rsidRDefault="00600D10">
      <w:pPr>
        <w:spacing w:line="360" w:lineRule="auto"/>
        <w:jc w:val="both"/>
        <w:rPr>
          <w:rFonts w:ascii="Palatino Linotype" w:eastAsia="Palatino Linotype" w:hAnsi="Palatino Linotype" w:cs="Palatino Linotype"/>
          <w:color w:val="000000"/>
          <w:sz w:val="22"/>
          <w:szCs w:val="22"/>
        </w:rPr>
      </w:pPr>
    </w:p>
    <w:p w14:paraId="2E8CB619" w14:textId="77777777" w:rsidR="00600D10" w:rsidRPr="00920D0B" w:rsidRDefault="00920D0B">
      <w:pPr>
        <w:spacing w:line="360" w:lineRule="auto"/>
        <w:jc w:val="both"/>
        <w:rPr>
          <w:rFonts w:ascii="Palatino Linotype" w:eastAsia="Palatino Linotype" w:hAnsi="Palatino Linotype" w:cs="Palatino Linotype"/>
          <w:b/>
          <w:sz w:val="22"/>
          <w:szCs w:val="22"/>
        </w:rPr>
      </w:pPr>
      <w:r w:rsidRPr="00920D0B">
        <w:rPr>
          <w:rFonts w:ascii="Palatino Linotype" w:eastAsia="Palatino Linotype" w:hAnsi="Palatino Linotype" w:cs="Palatino Linotype"/>
          <w:b/>
          <w:color w:val="000000"/>
          <w:sz w:val="22"/>
          <w:szCs w:val="22"/>
        </w:rPr>
        <w:t xml:space="preserve">TERCERO. NOTIFÍQUESE POR SARCOEM Y POR CORREO </w:t>
      </w:r>
      <w:r w:rsidRPr="00920D0B">
        <w:rPr>
          <w:rFonts w:ascii="Palatino Linotype" w:eastAsia="Palatino Linotype" w:hAnsi="Palatino Linotype" w:cs="Palatino Linotype"/>
          <w:b/>
          <w:sz w:val="22"/>
          <w:szCs w:val="22"/>
        </w:rPr>
        <w:t>ELECTRÓNICO</w:t>
      </w:r>
      <w:r w:rsidRPr="00920D0B">
        <w:rPr>
          <w:rFonts w:ascii="Palatino Linotype" w:eastAsia="Palatino Linotype" w:hAnsi="Palatino Linotype" w:cs="Palatino Linotype"/>
          <w:b/>
          <w:color w:val="000000"/>
          <w:sz w:val="22"/>
          <w:szCs w:val="22"/>
        </w:rPr>
        <w:t xml:space="preserve"> </w:t>
      </w:r>
      <w:r w:rsidRPr="00920D0B">
        <w:rPr>
          <w:rFonts w:ascii="Palatino Linotype" w:eastAsia="Palatino Linotype" w:hAnsi="Palatino Linotype" w:cs="Palatino Linotype"/>
          <w:sz w:val="22"/>
          <w:szCs w:val="22"/>
        </w:rPr>
        <w:t xml:space="preserve">a </w:t>
      </w:r>
      <w:r w:rsidRPr="00920D0B">
        <w:rPr>
          <w:rFonts w:ascii="Palatino Linotype" w:eastAsia="Palatino Linotype" w:hAnsi="Palatino Linotype" w:cs="Palatino Linotype"/>
          <w:color w:val="000000"/>
          <w:sz w:val="22"/>
          <w:szCs w:val="22"/>
        </w:rPr>
        <w:t xml:space="preserve">la persona </w:t>
      </w:r>
      <w:r w:rsidRPr="00920D0B">
        <w:rPr>
          <w:rFonts w:ascii="Palatino Linotype" w:eastAsia="Palatino Linotype" w:hAnsi="Palatino Linotype" w:cs="Palatino Linotype"/>
          <w:sz w:val="22"/>
          <w:szCs w:val="22"/>
        </w:rPr>
        <w:t>Recurrente la presente Resolución, asimismo, se hace de su conocimiento que de conformidad con lo establecido en el artículo</w:t>
      </w:r>
      <w:r w:rsidRPr="00920D0B">
        <w:rPr>
          <w:rFonts w:ascii="Palatino Linotype" w:eastAsia="Palatino Linotype" w:hAnsi="Palatino Linotype" w:cs="Palatino Linotype"/>
          <w:b/>
          <w:sz w:val="22"/>
          <w:szCs w:val="22"/>
        </w:rPr>
        <w:t xml:space="preserve"> </w:t>
      </w:r>
      <w:r w:rsidRPr="00920D0B">
        <w:rPr>
          <w:rFonts w:ascii="Palatino Linotype" w:eastAsia="Palatino Linotype" w:hAnsi="Palatino Linotype" w:cs="Palatino Linotype"/>
          <w:sz w:val="22"/>
          <w:szCs w:val="22"/>
        </w:rPr>
        <w:t xml:space="preserve">142 de la Ley de Protección de Datos Personales en Posesión de Sujetos Obligados del Estado de México y Municipios podrá promover el Juicio de Amparo en los términos de las leyes aplicables. </w:t>
      </w:r>
    </w:p>
    <w:p w14:paraId="67329D38" w14:textId="77777777" w:rsidR="00600D10" w:rsidRPr="00920D0B" w:rsidRDefault="00600D10">
      <w:pPr>
        <w:spacing w:line="360" w:lineRule="auto"/>
        <w:jc w:val="both"/>
        <w:rPr>
          <w:rFonts w:ascii="Palatino Linotype" w:eastAsia="Palatino Linotype" w:hAnsi="Palatino Linotype" w:cs="Palatino Linotype"/>
          <w:sz w:val="22"/>
          <w:szCs w:val="22"/>
        </w:rPr>
      </w:pPr>
    </w:p>
    <w:p w14:paraId="1BC659C4" w14:textId="77777777" w:rsidR="00600D10" w:rsidRDefault="00920D0B">
      <w:pPr>
        <w:spacing w:line="360" w:lineRule="auto"/>
        <w:ind w:right="-93"/>
        <w:jc w:val="both"/>
        <w:rPr>
          <w:rFonts w:ascii="Palatino Linotype" w:eastAsia="Palatino Linotype" w:hAnsi="Palatino Linotype" w:cs="Palatino Linotype"/>
          <w:sz w:val="22"/>
          <w:szCs w:val="22"/>
        </w:rPr>
      </w:pPr>
      <w:r w:rsidRPr="00920D0B">
        <w:rPr>
          <w:rFonts w:ascii="Palatino Linotype" w:eastAsia="Palatino Linotype" w:hAnsi="Palatino Linotype" w:cs="Palatino Linotype"/>
          <w:sz w:val="22"/>
          <w:szCs w:val="22"/>
        </w:rPr>
        <w:t xml:space="preserve">ASÍ LO RESUELVE, POR </w:t>
      </w:r>
      <w:r w:rsidRPr="00920D0B">
        <w:rPr>
          <w:rFonts w:ascii="Palatino Linotype" w:eastAsia="Palatino Linotype" w:hAnsi="Palatino Linotype" w:cs="Palatino Linotype"/>
          <w:b/>
          <w:sz w:val="22"/>
          <w:szCs w:val="22"/>
        </w:rPr>
        <w:t>UNANIMIDAD</w:t>
      </w:r>
      <w:r w:rsidRPr="00920D0B">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p>
    <w:p w14:paraId="236E87AD" w14:textId="77777777" w:rsidR="00600D10" w:rsidRDefault="00600D10">
      <w:pPr>
        <w:spacing w:line="360" w:lineRule="auto"/>
        <w:ind w:right="-93"/>
        <w:jc w:val="both"/>
        <w:rPr>
          <w:rFonts w:ascii="Palatino Linotype" w:eastAsia="Palatino Linotype" w:hAnsi="Palatino Linotype" w:cs="Palatino Linotype"/>
          <w:sz w:val="22"/>
          <w:szCs w:val="22"/>
        </w:rPr>
      </w:pPr>
    </w:p>
    <w:p w14:paraId="6257B8A9" w14:textId="77777777" w:rsidR="00600D10" w:rsidRDefault="00600D10">
      <w:pPr>
        <w:spacing w:line="360" w:lineRule="auto"/>
        <w:ind w:right="-93"/>
        <w:jc w:val="both"/>
        <w:rPr>
          <w:rFonts w:ascii="Palatino Linotype" w:eastAsia="Palatino Linotype" w:hAnsi="Palatino Linotype" w:cs="Palatino Linotype"/>
          <w:sz w:val="22"/>
          <w:szCs w:val="22"/>
        </w:rPr>
      </w:pPr>
    </w:p>
    <w:p w14:paraId="5A5409CE" w14:textId="77777777" w:rsidR="00600D10" w:rsidRDefault="00600D10">
      <w:pPr>
        <w:spacing w:line="360" w:lineRule="auto"/>
        <w:ind w:right="-93"/>
        <w:jc w:val="both"/>
        <w:rPr>
          <w:rFonts w:ascii="Palatino Linotype" w:eastAsia="Palatino Linotype" w:hAnsi="Palatino Linotype" w:cs="Palatino Linotype"/>
          <w:sz w:val="22"/>
          <w:szCs w:val="22"/>
        </w:rPr>
      </w:pPr>
    </w:p>
    <w:p w14:paraId="6508F894" w14:textId="77777777" w:rsidR="00600D10" w:rsidRDefault="00600D10">
      <w:pPr>
        <w:spacing w:line="360" w:lineRule="auto"/>
        <w:ind w:right="-93"/>
        <w:jc w:val="both"/>
        <w:rPr>
          <w:rFonts w:ascii="Palatino Linotype" w:eastAsia="Palatino Linotype" w:hAnsi="Palatino Linotype" w:cs="Palatino Linotype"/>
          <w:sz w:val="22"/>
          <w:szCs w:val="22"/>
        </w:rPr>
      </w:pPr>
    </w:p>
    <w:p w14:paraId="24353051" w14:textId="77777777" w:rsidR="00600D10" w:rsidRDefault="00600D10">
      <w:pPr>
        <w:spacing w:line="360" w:lineRule="auto"/>
        <w:ind w:right="-93"/>
        <w:jc w:val="both"/>
        <w:rPr>
          <w:rFonts w:ascii="Palatino Linotype" w:eastAsia="Palatino Linotype" w:hAnsi="Palatino Linotype" w:cs="Palatino Linotype"/>
          <w:sz w:val="22"/>
          <w:szCs w:val="22"/>
        </w:rPr>
      </w:pPr>
    </w:p>
    <w:p w14:paraId="278B5225" w14:textId="77777777" w:rsidR="00600D10" w:rsidRDefault="00600D10">
      <w:pPr>
        <w:spacing w:line="360" w:lineRule="auto"/>
        <w:ind w:right="-93"/>
        <w:jc w:val="both"/>
        <w:rPr>
          <w:rFonts w:ascii="Palatino Linotype" w:eastAsia="Palatino Linotype" w:hAnsi="Palatino Linotype" w:cs="Palatino Linotype"/>
          <w:sz w:val="22"/>
          <w:szCs w:val="22"/>
        </w:rPr>
      </w:pPr>
    </w:p>
    <w:p w14:paraId="26DB0A31"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3C22CED8"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1E661487"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4D2E53A3"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054B70D5"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3A343BF9"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00ED99D3"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3632E960"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5A2FEAC8"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7B4ED6F7"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1A99B98B"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166FCE0F"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5A40D0A4"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03911074"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6F30E2B1"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4175951D"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56E65A44"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p w14:paraId="5E21CFA6" w14:textId="77777777" w:rsidR="00600D10" w:rsidRDefault="00600D10">
      <w:pPr>
        <w:tabs>
          <w:tab w:val="center" w:pos="4568"/>
        </w:tabs>
        <w:spacing w:line="360" w:lineRule="auto"/>
        <w:ind w:right="-93"/>
        <w:jc w:val="both"/>
        <w:rPr>
          <w:rFonts w:ascii="Palatino Linotype" w:eastAsia="Palatino Linotype" w:hAnsi="Palatino Linotype" w:cs="Palatino Linotype"/>
          <w:sz w:val="22"/>
          <w:szCs w:val="22"/>
        </w:rPr>
      </w:pPr>
    </w:p>
    <w:sectPr w:rsidR="00600D10">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864A" w14:textId="77777777" w:rsidR="00B4617F" w:rsidRDefault="00B4617F">
      <w:r>
        <w:separator/>
      </w:r>
    </w:p>
  </w:endnote>
  <w:endnote w:type="continuationSeparator" w:id="0">
    <w:p w14:paraId="5A1F396A" w14:textId="77777777" w:rsidR="00B4617F" w:rsidRDefault="00B4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B92F" w14:textId="77777777" w:rsidR="00600D10" w:rsidRDefault="00600D10">
    <w:pPr>
      <w:pBdr>
        <w:top w:val="nil"/>
        <w:left w:val="nil"/>
        <w:bottom w:val="nil"/>
        <w:right w:val="nil"/>
        <w:between w:val="nil"/>
      </w:pBdr>
      <w:tabs>
        <w:tab w:val="center" w:pos="4419"/>
        <w:tab w:val="right" w:pos="8838"/>
      </w:tabs>
      <w:jc w:val="right"/>
      <w:rPr>
        <w:color w:val="000000"/>
      </w:rPr>
    </w:pPr>
  </w:p>
  <w:p w14:paraId="49D8F666" w14:textId="77777777" w:rsidR="00600D10" w:rsidRDefault="00920D0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C756F">
      <w:rPr>
        <w:b/>
        <w:noProof/>
        <w:color w:val="000000"/>
        <w:sz w:val="24"/>
        <w:szCs w:val="24"/>
      </w:rPr>
      <w:t>14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C756F">
      <w:rPr>
        <w:b/>
        <w:noProof/>
        <w:color w:val="000000"/>
        <w:sz w:val="24"/>
        <w:szCs w:val="24"/>
      </w:rPr>
      <w:t>15</w:t>
    </w:r>
    <w:r>
      <w:rPr>
        <w:b/>
        <w:color w:val="000000"/>
        <w:sz w:val="24"/>
        <w:szCs w:val="24"/>
      </w:rPr>
      <w:fldChar w:fldCharType="end"/>
    </w:r>
  </w:p>
  <w:p w14:paraId="237174FB" w14:textId="77777777" w:rsidR="00600D10" w:rsidRDefault="00600D1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8660" w14:textId="77777777" w:rsidR="00600D10" w:rsidRDefault="00920D0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C756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C756F">
      <w:rPr>
        <w:b/>
        <w:noProof/>
        <w:color w:val="000000"/>
        <w:sz w:val="24"/>
        <w:szCs w:val="24"/>
      </w:rPr>
      <w:t>15</w:t>
    </w:r>
    <w:r>
      <w:rPr>
        <w:b/>
        <w:color w:val="000000"/>
        <w:sz w:val="24"/>
        <w:szCs w:val="24"/>
      </w:rPr>
      <w:fldChar w:fldCharType="end"/>
    </w:r>
  </w:p>
  <w:p w14:paraId="5B5EFB6C" w14:textId="77777777" w:rsidR="00600D10" w:rsidRDefault="00600D1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B047" w14:textId="77777777" w:rsidR="00B4617F" w:rsidRDefault="00B4617F">
      <w:r>
        <w:separator/>
      </w:r>
    </w:p>
  </w:footnote>
  <w:footnote w:type="continuationSeparator" w:id="0">
    <w:p w14:paraId="1831C936" w14:textId="77777777" w:rsidR="00B4617F" w:rsidRDefault="00B46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2FD6" w14:textId="77777777" w:rsidR="00600D10" w:rsidRDefault="00600D1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bl>
    <w:tblPr>
      <w:tblStyle w:val="a7"/>
      <w:tblW w:w="7015" w:type="dxa"/>
      <w:tblInd w:w="2552" w:type="dxa"/>
      <w:tblLayout w:type="fixed"/>
      <w:tblLook w:val="0400" w:firstRow="0" w:lastRow="0" w:firstColumn="0" w:lastColumn="0" w:noHBand="0" w:noVBand="1"/>
    </w:tblPr>
    <w:tblGrid>
      <w:gridCol w:w="283"/>
      <w:gridCol w:w="6732"/>
    </w:tblGrid>
    <w:tr w:rsidR="00600D10" w14:paraId="1A99E763" w14:textId="77777777">
      <w:trPr>
        <w:trHeight w:val="1435"/>
      </w:trPr>
      <w:tc>
        <w:tcPr>
          <w:tcW w:w="283" w:type="dxa"/>
        </w:tcPr>
        <w:p w14:paraId="76FDCC87" w14:textId="77777777" w:rsidR="00600D10" w:rsidRDefault="00600D10">
          <w:pPr>
            <w:tabs>
              <w:tab w:val="right" w:pos="4273"/>
            </w:tabs>
            <w:rPr>
              <w:rFonts w:ascii="Garamond" w:eastAsia="Garamond" w:hAnsi="Garamond" w:cs="Garamond"/>
              <w:sz w:val="16"/>
              <w:szCs w:val="16"/>
            </w:rPr>
          </w:pPr>
        </w:p>
      </w:tc>
      <w:tc>
        <w:tcPr>
          <w:tcW w:w="6732" w:type="dxa"/>
        </w:tcPr>
        <w:p w14:paraId="019C4232" w14:textId="77777777" w:rsidR="00600D10" w:rsidRDefault="00600D10"/>
        <w:tbl>
          <w:tblPr>
            <w:tblStyle w:val="a8"/>
            <w:tblW w:w="598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4"/>
            <w:gridCol w:w="3401"/>
          </w:tblGrid>
          <w:tr w:rsidR="00600D10" w14:paraId="1D19FE1A" w14:textId="77777777">
            <w:trPr>
              <w:trHeight w:val="99"/>
            </w:trPr>
            <w:tc>
              <w:tcPr>
                <w:tcW w:w="2584" w:type="dxa"/>
              </w:tcPr>
              <w:p w14:paraId="62A4220C" w14:textId="77777777" w:rsidR="00600D10" w:rsidRDefault="00920D0B">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1" w:type="dxa"/>
              </w:tcPr>
              <w:p w14:paraId="4DBB14CE" w14:textId="77777777" w:rsidR="00600D10" w:rsidRDefault="00920D0B">
                <w:pPr>
                  <w:tabs>
                    <w:tab w:val="right" w:pos="8838"/>
                  </w:tabs>
                  <w:ind w:left="-28"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06221/INFOEM/AD/RR/2025</w:t>
                </w:r>
              </w:p>
            </w:tc>
          </w:tr>
          <w:tr w:rsidR="00600D10" w14:paraId="525746D5" w14:textId="77777777">
            <w:trPr>
              <w:trHeight w:val="195"/>
            </w:trPr>
            <w:tc>
              <w:tcPr>
                <w:tcW w:w="2584" w:type="dxa"/>
              </w:tcPr>
              <w:p w14:paraId="0935E811" w14:textId="77777777" w:rsidR="00600D10" w:rsidRDefault="00920D0B">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1" w:type="dxa"/>
              </w:tcPr>
              <w:p w14:paraId="741485A0" w14:textId="77777777" w:rsidR="00600D10" w:rsidRDefault="00920D0B">
                <w:pPr>
                  <w:tabs>
                    <w:tab w:val="left" w:pos="2834"/>
                    <w:tab w:val="right" w:pos="8838"/>
                  </w:tabs>
                  <w:ind w:left="-28"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Instituto de Seguridad Social del Estado de México y Municipios</w:t>
                </w:r>
              </w:p>
            </w:tc>
          </w:tr>
          <w:tr w:rsidR="00600D10" w14:paraId="63073027" w14:textId="77777777">
            <w:trPr>
              <w:trHeight w:val="404"/>
            </w:trPr>
            <w:tc>
              <w:tcPr>
                <w:tcW w:w="2584" w:type="dxa"/>
              </w:tcPr>
              <w:p w14:paraId="79452F05" w14:textId="77777777" w:rsidR="00600D10" w:rsidRDefault="00920D0B">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1" w:type="dxa"/>
              </w:tcPr>
              <w:p w14:paraId="6E29C441" w14:textId="77777777" w:rsidR="00600D10" w:rsidRDefault="00920D0B">
                <w:pPr>
                  <w:tabs>
                    <w:tab w:val="right" w:pos="8838"/>
                  </w:tabs>
                  <w:ind w:left="-28"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535AF21D" w14:textId="77777777" w:rsidR="00600D10" w:rsidRDefault="00600D10">
                <w:pPr>
                  <w:tabs>
                    <w:tab w:val="right" w:pos="8838"/>
                  </w:tabs>
                  <w:ind w:left="-28" w:right="171"/>
                  <w:jc w:val="both"/>
                  <w:rPr>
                    <w:rFonts w:ascii="Palatino Linotype" w:eastAsia="Palatino Linotype" w:hAnsi="Palatino Linotype" w:cs="Palatino Linotype"/>
                    <w:b/>
                    <w:sz w:val="22"/>
                    <w:szCs w:val="22"/>
                  </w:rPr>
                </w:pPr>
              </w:p>
            </w:tc>
          </w:tr>
        </w:tbl>
        <w:p w14:paraId="25CF3E68" w14:textId="77777777" w:rsidR="00600D10" w:rsidRDefault="00600D10">
          <w:pPr>
            <w:tabs>
              <w:tab w:val="right" w:pos="8838"/>
            </w:tabs>
            <w:ind w:left="-28"/>
            <w:jc w:val="both"/>
            <w:rPr>
              <w:rFonts w:ascii="Arial" w:eastAsia="Arial" w:hAnsi="Arial" w:cs="Arial"/>
              <w:b/>
              <w:sz w:val="22"/>
              <w:szCs w:val="22"/>
            </w:rPr>
          </w:pPr>
        </w:p>
      </w:tc>
    </w:tr>
  </w:tbl>
  <w:p w14:paraId="1D4E7F02" w14:textId="77777777" w:rsidR="00600D10" w:rsidRDefault="00920D0B">
    <w:pPr>
      <w:pBdr>
        <w:top w:val="nil"/>
        <w:left w:val="nil"/>
        <w:bottom w:val="nil"/>
        <w:right w:val="nil"/>
        <w:between w:val="nil"/>
      </w:pBdr>
      <w:tabs>
        <w:tab w:val="center" w:pos="4419"/>
        <w:tab w:val="right" w:pos="8838"/>
        <w:tab w:val="left" w:pos="1467"/>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EB5A665" wp14:editId="09BD2A64">
          <wp:simplePos x="0" y="0"/>
          <wp:positionH relativeFrom="page">
            <wp:posOffset>228600</wp:posOffset>
          </wp:positionH>
          <wp:positionV relativeFrom="margin">
            <wp:posOffset>-1752597</wp:posOffset>
          </wp:positionV>
          <wp:extent cx="8426450" cy="10972800"/>
          <wp:effectExtent l="0" t="0" r="0" b="0"/>
          <wp:wrapNone/>
          <wp:docPr id="21137242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r>
      <w:rPr>
        <w:color w:val="000000"/>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0D10" w14:textId="77777777" w:rsidR="00600D10" w:rsidRDefault="00600D10">
    <w:pPr>
      <w:widowControl w:val="0"/>
      <w:pBdr>
        <w:top w:val="nil"/>
        <w:left w:val="nil"/>
        <w:bottom w:val="nil"/>
        <w:right w:val="nil"/>
        <w:between w:val="nil"/>
      </w:pBdr>
      <w:spacing w:line="276" w:lineRule="auto"/>
      <w:rPr>
        <w:color w:val="000000"/>
        <w:sz w:val="14"/>
        <w:szCs w:val="14"/>
      </w:rPr>
    </w:pPr>
  </w:p>
  <w:tbl>
    <w:tblPr>
      <w:tblStyle w:val="a9"/>
      <w:tblW w:w="6660" w:type="dxa"/>
      <w:tblInd w:w="2552" w:type="dxa"/>
      <w:tblLayout w:type="fixed"/>
      <w:tblLook w:val="0400" w:firstRow="0" w:lastRow="0" w:firstColumn="0" w:lastColumn="0" w:noHBand="0" w:noVBand="1"/>
    </w:tblPr>
    <w:tblGrid>
      <w:gridCol w:w="283"/>
      <w:gridCol w:w="6377"/>
    </w:tblGrid>
    <w:tr w:rsidR="00600D10" w14:paraId="64F54534" w14:textId="77777777">
      <w:trPr>
        <w:trHeight w:val="1435"/>
      </w:trPr>
      <w:tc>
        <w:tcPr>
          <w:tcW w:w="283" w:type="dxa"/>
        </w:tcPr>
        <w:p w14:paraId="2070D7D6" w14:textId="77777777" w:rsidR="00600D10" w:rsidRDefault="00600D10">
          <w:pPr>
            <w:tabs>
              <w:tab w:val="right" w:pos="4273"/>
            </w:tabs>
            <w:rPr>
              <w:rFonts w:ascii="Garamond" w:eastAsia="Garamond" w:hAnsi="Garamond" w:cs="Garamond"/>
              <w:sz w:val="22"/>
              <w:szCs w:val="22"/>
            </w:rPr>
          </w:pPr>
        </w:p>
      </w:tc>
      <w:tc>
        <w:tcPr>
          <w:tcW w:w="6377" w:type="dxa"/>
        </w:tcPr>
        <w:p w14:paraId="2414E8FD" w14:textId="77777777" w:rsidR="00600D10" w:rsidRDefault="00600D10">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a"/>
            <w:tblW w:w="598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258"/>
          </w:tblGrid>
          <w:tr w:rsidR="00600D10" w14:paraId="49CA046B" w14:textId="77777777">
            <w:trPr>
              <w:trHeight w:val="144"/>
            </w:trPr>
            <w:tc>
              <w:tcPr>
                <w:tcW w:w="2727" w:type="dxa"/>
              </w:tcPr>
              <w:p w14:paraId="513AE6E2" w14:textId="77777777" w:rsidR="00600D10" w:rsidRDefault="00920D0B">
                <w:pPr>
                  <w:tabs>
                    <w:tab w:val="right" w:pos="8838"/>
                  </w:tabs>
                  <w:ind w:left="-74" w:right="-105"/>
                  <w:rPr>
                    <w:rFonts w:ascii="Palatino Linotype" w:eastAsia="Palatino Linotype" w:hAnsi="Palatino Linotype" w:cs="Palatino Linotype"/>
                    <w:b/>
                    <w:sz w:val="22"/>
                    <w:szCs w:val="22"/>
                  </w:rPr>
                </w:pPr>
                <w:bookmarkStart w:id="11" w:name="_heading=h.t95po9yx6k1s" w:colFirst="0" w:colLast="0"/>
                <w:bookmarkEnd w:id="11"/>
                <w:r>
                  <w:rPr>
                    <w:rFonts w:ascii="Palatino Linotype" w:eastAsia="Palatino Linotype" w:hAnsi="Palatino Linotype" w:cs="Palatino Linotype"/>
                    <w:b/>
                    <w:sz w:val="22"/>
                    <w:szCs w:val="22"/>
                  </w:rPr>
                  <w:t>Recurso de Revisión:</w:t>
                </w:r>
              </w:p>
            </w:tc>
            <w:tc>
              <w:tcPr>
                <w:tcW w:w="3258" w:type="dxa"/>
              </w:tcPr>
              <w:p w14:paraId="5BB8560C" w14:textId="77777777" w:rsidR="00600D10" w:rsidRDefault="00920D0B">
                <w:pPr>
                  <w:tabs>
                    <w:tab w:val="right" w:pos="8838"/>
                  </w:tabs>
                  <w:ind w:left="-106"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06221/INFOEM/AD/RR/2025</w:t>
                </w:r>
              </w:p>
            </w:tc>
          </w:tr>
          <w:tr w:rsidR="00600D10" w14:paraId="059E3FCA" w14:textId="77777777">
            <w:trPr>
              <w:trHeight w:val="144"/>
            </w:trPr>
            <w:tc>
              <w:tcPr>
                <w:tcW w:w="2727" w:type="dxa"/>
              </w:tcPr>
              <w:p w14:paraId="66185296" w14:textId="77777777" w:rsidR="00600D10" w:rsidRDefault="00920D0B">
                <w:pPr>
                  <w:tabs>
                    <w:tab w:val="right" w:pos="8838"/>
                  </w:tabs>
                  <w:ind w:left="-74" w:right="-105"/>
                  <w:rPr>
                    <w:rFonts w:ascii="Palatino Linotype" w:eastAsia="Palatino Linotype" w:hAnsi="Palatino Linotype" w:cs="Palatino Linotype"/>
                    <w:b/>
                    <w:sz w:val="22"/>
                    <w:szCs w:val="22"/>
                  </w:rPr>
                </w:pPr>
                <w:bookmarkStart w:id="12" w:name="_heading=h.rqrfrz67hq7y" w:colFirst="0" w:colLast="0"/>
                <w:bookmarkEnd w:id="12"/>
                <w:r>
                  <w:rPr>
                    <w:rFonts w:ascii="Palatino Linotype" w:eastAsia="Palatino Linotype" w:hAnsi="Palatino Linotype" w:cs="Palatino Linotype"/>
                    <w:b/>
                    <w:sz w:val="22"/>
                    <w:szCs w:val="22"/>
                  </w:rPr>
                  <w:t>Recurrente:</w:t>
                </w:r>
              </w:p>
            </w:tc>
            <w:tc>
              <w:tcPr>
                <w:tcW w:w="3258" w:type="dxa"/>
              </w:tcPr>
              <w:p w14:paraId="4E253CE7" w14:textId="2314EAB5" w:rsidR="00600D10" w:rsidRDefault="00AD1B45">
                <w:pPr>
                  <w:tabs>
                    <w:tab w:val="left" w:pos="3122"/>
                    <w:tab w:val="right" w:pos="8838"/>
                  </w:tabs>
                  <w:ind w:left="-105" w:right="-105"/>
                  <w:jc w:val="both"/>
                  <w:rPr>
                    <w:rFonts w:ascii="Palatino Linotype" w:eastAsia="Palatino Linotype" w:hAnsi="Palatino Linotype" w:cs="Palatino Linotype"/>
                    <w:sz w:val="22"/>
                    <w:szCs w:val="22"/>
                  </w:rPr>
                </w:pPr>
                <w:r w:rsidRPr="00AD1B45">
                  <w:rPr>
                    <w:rFonts w:ascii="Palatino Linotype" w:eastAsia="Palatino Linotype" w:hAnsi="Palatino Linotype" w:cs="Palatino Linotype"/>
                    <w:b/>
                    <w:bCs/>
                    <w:sz w:val="22"/>
                    <w:szCs w:val="22"/>
                    <w:highlight w:val="black"/>
                  </w:rPr>
                  <w:t>XXXXXXXXXXXXXXXXXXXXX</w:t>
                </w:r>
                <w:r w:rsidR="00920D0B">
                  <w:rPr>
                    <w:rFonts w:ascii="Palatino Linotype" w:eastAsia="Palatino Linotype" w:hAnsi="Palatino Linotype" w:cs="Palatino Linotype"/>
                    <w:sz w:val="22"/>
                    <w:szCs w:val="22"/>
                  </w:rPr>
                  <w:tab/>
                </w:r>
              </w:p>
            </w:tc>
          </w:tr>
          <w:tr w:rsidR="00600D10" w14:paraId="594D83A4" w14:textId="77777777">
            <w:trPr>
              <w:trHeight w:val="283"/>
            </w:trPr>
            <w:tc>
              <w:tcPr>
                <w:tcW w:w="2727" w:type="dxa"/>
              </w:tcPr>
              <w:p w14:paraId="2301E201" w14:textId="77777777" w:rsidR="00600D10" w:rsidRDefault="00920D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8" w:type="dxa"/>
              </w:tcPr>
              <w:p w14:paraId="1A480DFE" w14:textId="77777777" w:rsidR="00600D10" w:rsidRDefault="00920D0B">
                <w:pPr>
                  <w:tabs>
                    <w:tab w:val="left" w:pos="2834"/>
                    <w:tab w:val="right" w:pos="8838"/>
                  </w:tabs>
                  <w:ind w:left="-108"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Instituto de Seguridad Social del Estado de México y Municipios</w:t>
                </w:r>
              </w:p>
            </w:tc>
          </w:tr>
          <w:tr w:rsidR="00600D10" w14:paraId="0F95CD66" w14:textId="77777777">
            <w:trPr>
              <w:trHeight w:val="283"/>
            </w:trPr>
            <w:tc>
              <w:tcPr>
                <w:tcW w:w="2727" w:type="dxa"/>
              </w:tcPr>
              <w:p w14:paraId="0DC01787" w14:textId="77777777" w:rsidR="00600D10" w:rsidRDefault="00920D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258" w:type="dxa"/>
              </w:tcPr>
              <w:p w14:paraId="1D534D91" w14:textId="77777777" w:rsidR="00600D10" w:rsidRDefault="00920D0B">
                <w:pPr>
                  <w:tabs>
                    <w:tab w:val="right" w:pos="8838"/>
                  </w:tabs>
                  <w:ind w:left="-108"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1FD37E02" w14:textId="77777777" w:rsidR="00600D10" w:rsidRDefault="00600D10">
                <w:pPr>
                  <w:tabs>
                    <w:tab w:val="right" w:pos="8838"/>
                  </w:tabs>
                  <w:ind w:left="-108" w:right="-105"/>
                  <w:jc w:val="both"/>
                  <w:rPr>
                    <w:rFonts w:ascii="Palatino Linotype" w:eastAsia="Palatino Linotype" w:hAnsi="Palatino Linotype" w:cs="Palatino Linotype"/>
                    <w:sz w:val="22"/>
                    <w:szCs w:val="22"/>
                  </w:rPr>
                </w:pPr>
              </w:p>
            </w:tc>
          </w:tr>
        </w:tbl>
        <w:p w14:paraId="00F57E27" w14:textId="77777777" w:rsidR="00600D10" w:rsidRDefault="00600D10">
          <w:pPr>
            <w:tabs>
              <w:tab w:val="right" w:pos="8838"/>
            </w:tabs>
            <w:ind w:left="-28"/>
            <w:jc w:val="both"/>
            <w:rPr>
              <w:rFonts w:ascii="Arial" w:eastAsia="Arial" w:hAnsi="Arial" w:cs="Arial"/>
              <w:b/>
              <w:sz w:val="22"/>
              <w:szCs w:val="22"/>
            </w:rPr>
          </w:pPr>
        </w:p>
      </w:tc>
    </w:tr>
  </w:tbl>
  <w:p w14:paraId="306CCE15" w14:textId="77777777" w:rsidR="00600D10" w:rsidRDefault="00E51C37">
    <w:pPr>
      <w:pBdr>
        <w:top w:val="nil"/>
        <w:left w:val="nil"/>
        <w:bottom w:val="nil"/>
        <w:right w:val="nil"/>
        <w:between w:val="nil"/>
      </w:pBdr>
      <w:tabs>
        <w:tab w:val="center" w:pos="4419"/>
        <w:tab w:val="right" w:pos="8838"/>
      </w:tabs>
      <w:rPr>
        <w:color w:val="000000"/>
        <w:sz w:val="22"/>
        <w:szCs w:val="22"/>
      </w:rPr>
    </w:pPr>
    <w:r>
      <w:rPr>
        <w:color w:val="000000"/>
        <w:sz w:val="36"/>
        <w:szCs w:val="36"/>
      </w:rPr>
      <w:pict w14:anchorId="390FE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1.15pt;margin-top:-133.5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7A07"/>
    <w:multiLevelType w:val="multilevel"/>
    <w:tmpl w:val="5D18EBE0"/>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B10EF6"/>
    <w:multiLevelType w:val="multilevel"/>
    <w:tmpl w:val="2F423B66"/>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6403932">
    <w:abstractNumId w:val="1"/>
  </w:num>
  <w:num w:numId="2" w16cid:durableId="172243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D10"/>
    <w:rsid w:val="00012394"/>
    <w:rsid w:val="001E7DD5"/>
    <w:rsid w:val="00600D10"/>
    <w:rsid w:val="00661B81"/>
    <w:rsid w:val="00920D0B"/>
    <w:rsid w:val="00940744"/>
    <w:rsid w:val="009F2E67"/>
    <w:rsid w:val="00AD1B45"/>
    <w:rsid w:val="00B4617F"/>
    <w:rsid w:val="00B63B1E"/>
    <w:rsid w:val="00DC756F"/>
    <w:rsid w:val="00E51C37"/>
    <w:rsid w:val="00F557C1"/>
    <w:rsid w:val="00FC69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4F8945"/>
  <w15:docId w15:val="{5C29DF3B-98A9-441F-8AA5-273EB831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40"/>
      <w:outlineLvl w:val="3"/>
    </w:pPr>
    <w:rPr>
      <w:rFonts w:ascii="Calibri" w:eastAsia="Calibri" w:hAnsi="Calibri" w:cs="Calibri"/>
      <w:i/>
      <w:color w:val="2F5496"/>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rPr>
      <w:rFonts w:ascii="Calibri" w:eastAsia="Calibri" w:hAnsi="Calibri" w:cs="Calibri"/>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TtuloCar">
    <w:name w:val="Títul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rPr>
  </w:style>
  <w:style w:type="character" w:customStyle="1" w:styleId="Ttulo2Car">
    <w:name w:val="Título 2 Car"/>
    <w:basedOn w:val="Fuentedeprrafopredeter"/>
    <w:uiPriority w:val="9"/>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rPr>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 w:type="character" w:customStyle="1" w:styleId="Mencinsinresolver7">
    <w:name w:val="Mención sin resolver7"/>
    <w:basedOn w:val="Fuentedeprrafopredeter"/>
    <w:uiPriority w:val="99"/>
    <w:semiHidden/>
    <w:unhideWhenUsed/>
    <w:rsid w:val="00F7496F"/>
    <w:rPr>
      <w:color w:val="605E5C"/>
      <w:shd w:val="clear" w:color="auto" w:fill="E1DFDD"/>
    </w:rPr>
  </w:style>
  <w:style w:type="character" w:customStyle="1" w:styleId="Mencinsinresolver8">
    <w:name w:val="Mención sin resolver8"/>
    <w:basedOn w:val="Fuentedeprrafopredeter"/>
    <w:uiPriority w:val="99"/>
    <w:semiHidden/>
    <w:unhideWhenUsed/>
    <w:rsid w:val="00182252"/>
    <w:rPr>
      <w:color w:val="605E5C"/>
      <w:shd w:val="clear" w:color="auto" w:fill="E1DFDD"/>
    </w:rPr>
  </w:style>
  <w:style w:type="character" w:customStyle="1" w:styleId="screenreaderonly">
    <w:name w:val="screenreaderonly"/>
    <w:basedOn w:val="Fuentedeprrafopredeter"/>
    <w:rsid w:val="00D25C44"/>
  </w:style>
  <w:style w:type="character" w:customStyle="1" w:styleId="Mencinsinresolver9">
    <w:name w:val="Mención sin resolver9"/>
    <w:basedOn w:val="Fuentedeprrafopredeter"/>
    <w:uiPriority w:val="99"/>
    <w:semiHidden/>
    <w:unhideWhenUsed/>
    <w:rsid w:val="005D6BD8"/>
    <w:rPr>
      <w:color w:val="605E5C"/>
      <w:shd w:val="clear" w:color="auto" w:fill="E1DFDD"/>
    </w:rPr>
  </w:style>
  <w:style w:type="paragraph" w:styleId="Listaconvietas">
    <w:name w:val="List Bullet"/>
    <w:basedOn w:val="Normal"/>
    <w:uiPriority w:val="99"/>
    <w:unhideWhenUsed/>
    <w:rsid w:val="00414F22"/>
    <w:pPr>
      <w:numPr>
        <w:numId w:val="2"/>
      </w:numPr>
      <w:contextualSpacing/>
    </w:pPr>
  </w:style>
  <w:style w:type="paragraph" w:styleId="Continuarlista">
    <w:name w:val="List Continue"/>
    <w:basedOn w:val="Normal"/>
    <w:uiPriority w:val="99"/>
    <w:unhideWhenUsed/>
    <w:rsid w:val="00414F22"/>
    <w:pPr>
      <w:spacing w:after="120"/>
      <w:ind w:left="283"/>
      <w:contextualSpacing/>
    </w:pPr>
  </w:style>
  <w:style w:type="paragraph" w:styleId="Continuarlista2">
    <w:name w:val="List Continue 2"/>
    <w:basedOn w:val="Normal"/>
    <w:uiPriority w:val="99"/>
    <w:unhideWhenUsed/>
    <w:rsid w:val="00414F22"/>
    <w:pPr>
      <w:spacing w:after="120"/>
      <w:ind w:left="566"/>
      <w:contextualSpacing/>
    </w:p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08" w:type="dxa"/>
        <w:right w:w="108" w:type="dxa"/>
      </w:tblCellMar>
    </w:tblPr>
  </w:style>
  <w:style w:type="paragraph" w:styleId="TtuloTDC">
    <w:name w:val="TOC Heading"/>
    <w:next w:val="Normal"/>
    <w:uiPriority w:val="39"/>
    <w:unhideWhenUsed/>
    <w:qFormat/>
    <w:rsid w:val="00AB5850"/>
    <w:pPr>
      <w:spacing w:line="259" w:lineRule="auto"/>
    </w:pPr>
  </w:style>
  <w:style w:type="paragraph" w:styleId="TDC1">
    <w:name w:val="toc 1"/>
    <w:basedOn w:val="Normal"/>
    <w:next w:val="Normal"/>
    <w:autoRedefine/>
    <w:uiPriority w:val="39"/>
    <w:unhideWhenUsed/>
    <w:rsid w:val="00AB5850"/>
    <w:pPr>
      <w:spacing w:after="100"/>
    </w:pPr>
  </w:style>
  <w:style w:type="paragraph" w:styleId="TDC2">
    <w:name w:val="toc 2"/>
    <w:basedOn w:val="Normal"/>
    <w:next w:val="Normal"/>
    <w:autoRedefine/>
    <w:uiPriority w:val="39"/>
    <w:unhideWhenUsed/>
    <w:rsid w:val="00AB5850"/>
    <w:pPr>
      <w:spacing w:after="100"/>
      <w:ind w:left="200"/>
    </w:p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Upkmj5eOScC4ES7F3hdXB8Fr8Q==">CgMxLjAyDmguZWk2aTAwcnR6Mm11Mg5oLmp2cm9oaDQ3NXRqYzIOaC4zbnJhdGRwdWdwanMyDmgua29tMnNuM2kxbnZpMg5oLmFiNzZoMmZldnpxbDIOaC4xbmh1OW9lZzc5NnkyDmguOXFhNWk2OXhya3VyMg5oLmNhYW1yNDUxZzBsczIOaC5veGxqdGM0YTU5dDQyDmgucDhjc21oeWE5YjR5Mg5oLnB0cG41eGdoeXZuZjIOaC50OTVwbzl5eDZrMXMyDmgucnFyZnJ6NjdocTd5OAByITFId0VmcE1SOWhpeTJZVmNCTkhEdnMzUnU5SXBhMXJKSA==</go:docsCustomData>
</go:gDocsCustomXmlDataStorage>
</file>

<file path=customXml/itemProps1.xml><?xml version="1.0" encoding="utf-8"?>
<ds:datastoreItem xmlns:ds="http://schemas.openxmlformats.org/officeDocument/2006/customXml" ds:itemID="{D4792E3C-096E-4534-A37E-878843991A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2935</Words>
  <Characters>16144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USUARIO</cp:lastModifiedBy>
  <cp:revision>5</cp:revision>
  <cp:lastPrinted>2025-10-17T17:16:00Z</cp:lastPrinted>
  <dcterms:created xsi:type="dcterms:W3CDTF">2025-10-17T17:16:00Z</dcterms:created>
  <dcterms:modified xsi:type="dcterms:W3CDTF">2025-10-31T21:27:00Z</dcterms:modified>
</cp:coreProperties>
</file>