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both"/>
        <w:rPr>
          <w:rFonts w:ascii="Palatino Linotype" w:cs="Palatino Linotype" w:eastAsia="Palatino Linotype" w:hAnsi="Palatino Linotype"/>
          <w:sz w:val="22"/>
          <w:szCs w:val="22"/>
        </w:rPr>
      </w:pPr>
      <w:bookmarkStart w:colFirst="0" w:colLast="0" w:name="_heading=h.a55ynvfjznn" w:id="0"/>
      <w:bookmarkEnd w:id="0"/>
      <w:r w:rsidDel="00000000" w:rsidR="00000000" w:rsidRPr="00000000">
        <w:rPr>
          <w:rFonts w:ascii="Palatino Linotype" w:cs="Palatino Linotype" w:eastAsia="Palatino Linotype" w:hAnsi="Palatino Linotype"/>
          <w:sz w:val="22"/>
          <w:szCs w:val="22"/>
          <w:rtl w:val="0"/>
        </w:rPr>
        <w:t xml:space="preserve">Resolución del Pleno del Instituto de Transparencia, Acceso a la Información Pública y Protección de Datos Personales del Estado de México y Municipios, con domicilio en Metepec, Estado de México, a diez de septiembre de dos mil veinticinco. </w:t>
      </w:r>
    </w:p>
    <w:p w:rsidR="00000000" w:rsidDel="00000000" w:rsidP="00000000" w:rsidRDefault="00000000" w:rsidRPr="00000000" w14:paraId="00000002">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Visto</w:t>
      </w:r>
      <w:r w:rsidDel="00000000" w:rsidR="00000000" w:rsidRPr="00000000">
        <w:rPr>
          <w:rFonts w:ascii="Palatino Linotype" w:cs="Palatino Linotype" w:eastAsia="Palatino Linotype" w:hAnsi="Palatino Linotype"/>
          <w:sz w:val="22"/>
          <w:szCs w:val="22"/>
          <w:rtl w:val="0"/>
        </w:rPr>
        <w:t xml:space="preserve"> el expediente formado con motivo del recurso de revisión </w:t>
      </w:r>
      <w:r w:rsidDel="00000000" w:rsidR="00000000" w:rsidRPr="00000000">
        <w:rPr>
          <w:rFonts w:ascii="Palatino Linotype" w:cs="Palatino Linotype" w:eastAsia="Palatino Linotype" w:hAnsi="Palatino Linotype"/>
          <w:b w:val="1"/>
          <w:sz w:val="22"/>
          <w:szCs w:val="22"/>
          <w:rtl w:val="0"/>
        </w:rPr>
        <w:t xml:space="preserve">09454/INFOEM/AD/RR/2025</w:t>
      </w:r>
      <w:r w:rsidDel="00000000" w:rsidR="00000000" w:rsidRPr="00000000">
        <w:rPr>
          <w:rFonts w:ascii="Palatino Linotype" w:cs="Palatino Linotype" w:eastAsia="Palatino Linotype" w:hAnsi="Palatino Linotype"/>
          <w:sz w:val="22"/>
          <w:szCs w:val="22"/>
          <w:rtl w:val="0"/>
        </w:rPr>
        <w:t xml:space="preserve">, interpuesto por </w:t>
      </w:r>
      <w:r w:rsidDel="00000000" w:rsidR="00000000" w:rsidRPr="00000000">
        <w:rPr>
          <w:rFonts w:ascii="Palatino Linotype" w:cs="Palatino Linotype" w:eastAsia="Palatino Linotype" w:hAnsi="Palatino Linotype"/>
          <w:b w:val="1"/>
          <w:sz w:val="22"/>
          <w:szCs w:val="22"/>
          <w:rtl w:val="0"/>
        </w:rPr>
        <w:t xml:space="preserve">XXXXXXX XXXX XXXXXXX,</w:t>
      </w:r>
      <w:r w:rsidDel="00000000" w:rsidR="00000000" w:rsidRPr="00000000">
        <w:rPr>
          <w:rFonts w:ascii="Palatino Linotype" w:cs="Palatino Linotype" w:eastAsia="Palatino Linotype" w:hAnsi="Palatino Linotype"/>
          <w:sz w:val="22"/>
          <w:szCs w:val="22"/>
          <w:rtl w:val="0"/>
        </w:rPr>
        <w:t xml:space="preserve"> en lo sucesivo</w:t>
      </w:r>
      <w:r w:rsidDel="00000000" w:rsidR="00000000" w:rsidRPr="00000000">
        <w:rPr>
          <w:rFonts w:ascii="Palatino Linotype" w:cs="Palatino Linotype" w:eastAsia="Palatino Linotype" w:hAnsi="Palatino Linotype"/>
          <w:b w:val="1"/>
          <w:sz w:val="22"/>
          <w:szCs w:val="22"/>
          <w:rtl w:val="0"/>
        </w:rPr>
        <w:t xml:space="preserve"> </w:t>
      </w:r>
      <w:r w:rsidDel="00000000" w:rsidR="00000000" w:rsidRPr="00000000">
        <w:rPr>
          <w:rFonts w:ascii="Palatino Linotype" w:cs="Palatino Linotype" w:eastAsia="Palatino Linotype" w:hAnsi="Palatino Linotype"/>
          <w:sz w:val="22"/>
          <w:szCs w:val="22"/>
          <w:rtl w:val="0"/>
        </w:rPr>
        <w:t xml:space="preserve">la parte </w:t>
      </w:r>
      <w:r w:rsidDel="00000000" w:rsidR="00000000" w:rsidRPr="00000000">
        <w:rPr>
          <w:rFonts w:ascii="Palatino Linotype" w:cs="Palatino Linotype" w:eastAsia="Palatino Linotype" w:hAnsi="Palatino Linotype"/>
          <w:b w:val="1"/>
          <w:sz w:val="22"/>
          <w:szCs w:val="22"/>
          <w:rtl w:val="0"/>
        </w:rPr>
        <w:t xml:space="preserve">Recurrente,</w:t>
      </w:r>
      <w:r w:rsidDel="00000000" w:rsidR="00000000" w:rsidRPr="00000000">
        <w:rPr>
          <w:rFonts w:ascii="Palatino Linotype" w:cs="Palatino Linotype" w:eastAsia="Palatino Linotype" w:hAnsi="Palatino Linotype"/>
          <w:sz w:val="22"/>
          <w:szCs w:val="22"/>
          <w:rtl w:val="0"/>
        </w:rPr>
        <w:t xml:space="preserve"> en contra de la respuesta a su solicitud de acceso a datos personales con número de folio </w:t>
      </w:r>
      <w:r w:rsidDel="00000000" w:rsidR="00000000" w:rsidRPr="00000000">
        <w:rPr>
          <w:rFonts w:ascii="Palatino Linotype" w:cs="Palatino Linotype" w:eastAsia="Palatino Linotype" w:hAnsi="Palatino Linotype"/>
          <w:b w:val="1"/>
          <w:sz w:val="22"/>
          <w:szCs w:val="22"/>
          <w:rtl w:val="0"/>
        </w:rPr>
        <w:t xml:space="preserve">00829/ISSEMYM/AD/2025, </w:t>
      </w:r>
      <w:r w:rsidDel="00000000" w:rsidR="00000000" w:rsidRPr="00000000">
        <w:rPr>
          <w:rFonts w:ascii="Palatino Linotype" w:cs="Palatino Linotype" w:eastAsia="Palatino Linotype" w:hAnsi="Palatino Linotype"/>
          <w:sz w:val="22"/>
          <w:szCs w:val="22"/>
          <w:rtl w:val="0"/>
        </w:rPr>
        <w:t xml:space="preserve">por parte de la </w:t>
      </w:r>
      <w:r w:rsidDel="00000000" w:rsidR="00000000" w:rsidRPr="00000000">
        <w:rPr>
          <w:rFonts w:ascii="Palatino Linotype" w:cs="Palatino Linotype" w:eastAsia="Palatino Linotype" w:hAnsi="Palatino Linotype"/>
          <w:b w:val="1"/>
          <w:sz w:val="22"/>
          <w:szCs w:val="22"/>
          <w:rtl w:val="0"/>
        </w:rPr>
        <w:t xml:space="preserve">Instituto de Seguridad Social del Estado de México y Municipios, </w:t>
      </w:r>
      <w:r w:rsidDel="00000000" w:rsidR="00000000" w:rsidRPr="00000000">
        <w:rPr>
          <w:rFonts w:ascii="Palatino Linotype" w:cs="Palatino Linotype" w:eastAsia="Palatino Linotype" w:hAnsi="Palatino Linotype"/>
          <w:sz w:val="22"/>
          <w:szCs w:val="22"/>
          <w:rtl w:val="0"/>
        </w:rPr>
        <w:t xml:space="preserve">en lo sucesivo el </w:t>
      </w:r>
      <w:r w:rsidDel="00000000" w:rsidR="00000000" w:rsidRPr="00000000">
        <w:rPr>
          <w:rFonts w:ascii="Palatino Linotype" w:cs="Palatino Linotype" w:eastAsia="Palatino Linotype" w:hAnsi="Palatino Linotype"/>
          <w:b w:val="1"/>
          <w:sz w:val="22"/>
          <w:szCs w:val="22"/>
          <w:rtl w:val="0"/>
        </w:rPr>
        <w:t xml:space="preserve">Sujeto Obligado, </w:t>
      </w:r>
      <w:r w:rsidDel="00000000" w:rsidR="00000000" w:rsidRPr="00000000">
        <w:rPr>
          <w:rFonts w:ascii="Palatino Linotype" w:cs="Palatino Linotype" w:eastAsia="Palatino Linotype" w:hAnsi="Palatino Linotype"/>
          <w:sz w:val="22"/>
          <w:szCs w:val="22"/>
          <w:rtl w:val="0"/>
        </w:rPr>
        <w:t xml:space="preserve">se procede a dictar la presente resolución con base en los siguientes: </w:t>
      </w:r>
    </w:p>
    <w:p w:rsidR="00000000" w:rsidDel="00000000" w:rsidP="00000000" w:rsidRDefault="00000000" w:rsidRPr="00000000" w14:paraId="00000003">
      <w:pPr>
        <w:spacing w:after="240" w:before="240" w:line="360" w:lineRule="auto"/>
        <w:jc w:val="cente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I. A N T E C E D E N T E S</w:t>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1. Solicitud de acceso a datos personales.</w:t>
      </w:r>
      <w:r w:rsidDel="00000000" w:rsidR="00000000" w:rsidRPr="00000000">
        <w:rPr>
          <w:rFonts w:ascii="Palatino Linotype" w:cs="Palatino Linotype" w:eastAsia="Palatino Linotype" w:hAnsi="Palatino Linotype"/>
          <w:sz w:val="22"/>
          <w:szCs w:val="22"/>
          <w:rtl w:val="0"/>
        </w:rPr>
        <w:t xml:space="preserve"> El </w:t>
      </w:r>
      <w:r w:rsidDel="00000000" w:rsidR="00000000" w:rsidRPr="00000000">
        <w:rPr>
          <w:rFonts w:ascii="Palatino Linotype" w:cs="Palatino Linotype" w:eastAsia="Palatino Linotype" w:hAnsi="Palatino Linotype"/>
          <w:b w:val="1"/>
          <w:sz w:val="22"/>
          <w:szCs w:val="22"/>
          <w:rtl w:val="0"/>
        </w:rPr>
        <w:t xml:space="preserve">treinta de junio de dos mil veinticinco,</w:t>
      </w:r>
      <w:r w:rsidDel="00000000" w:rsidR="00000000" w:rsidRPr="00000000">
        <w:rPr>
          <w:rFonts w:ascii="Palatino Linotype" w:cs="Palatino Linotype" w:eastAsia="Palatino Linotype" w:hAnsi="Palatino Linotype"/>
          <w:sz w:val="22"/>
          <w:szCs w:val="22"/>
          <w:rtl w:val="0"/>
        </w:rPr>
        <w:t xml:space="preserve"> la parte </w:t>
      </w:r>
      <w:r w:rsidDel="00000000" w:rsidR="00000000" w:rsidRPr="00000000">
        <w:rPr>
          <w:rFonts w:ascii="Palatino Linotype" w:cs="Palatino Linotype" w:eastAsia="Palatino Linotype" w:hAnsi="Palatino Linotype"/>
          <w:b w:val="1"/>
          <w:sz w:val="22"/>
          <w:szCs w:val="22"/>
          <w:rtl w:val="0"/>
        </w:rPr>
        <w:t xml:space="preserve">Recurrente </w:t>
      </w:r>
      <w:r w:rsidDel="00000000" w:rsidR="00000000" w:rsidRPr="00000000">
        <w:rPr>
          <w:rFonts w:ascii="Palatino Linotype" w:cs="Palatino Linotype" w:eastAsia="Palatino Linotype" w:hAnsi="Palatino Linotype"/>
          <w:sz w:val="22"/>
          <w:szCs w:val="22"/>
          <w:rtl w:val="0"/>
        </w:rPr>
        <w:t xml:space="preserve">presentó, a través del Sistema de Acceso, Rectificación, Cancelación y Oposición de Datos Personales del Estado de México, en lo subsecuente el </w:t>
      </w:r>
      <w:r w:rsidDel="00000000" w:rsidR="00000000" w:rsidRPr="00000000">
        <w:rPr>
          <w:rFonts w:ascii="Palatino Linotype" w:cs="Palatino Linotype" w:eastAsia="Palatino Linotype" w:hAnsi="Palatino Linotype"/>
          <w:b w:val="1"/>
          <w:sz w:val="22"/>
          <w:szCs w:val="22"/>
          <w:rtl w:val="0"/>
        </w:rPr>
        <w:t xml:space="preserve">SARCOEM,</w:t>
      </w:r>
      <w:r w:rsidDel="00000000" w:rsidR="00000000" w:rsidRPr="00000000">
        <w:rPr>
          <w:rFonts w:ascii="Palatino Linotype" w:cs="Palatino Linotype" w:eastAsia="Palatino Linotype" w:hAnsi="Palatino Linotype"/>
          <w:sz w:val="22"/>
          <w:szCs w:val="22"/>
          <w:rtl w:val="0"/>
        </w:rPr>
        <w:t xml:space="preserve"> ante el </w:t>
      </w:r>
      <w:r w:rsidDel="00000000" w:rsidR="00000000" w:rsidRPr="00000000">
        <w:rPr>
          <w:rFonts w:ascii="Palatino Linotype" w:cs="Palatino Linotype" w:eastAsia="Palatino Linotype" w:hAnsi="Palatino Linotype"/>
          <w:b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la solicitud de acceso a datos personales, mediante la cual requirió le fuese entregado lo siguiente: </w:t>
      </w:r>
    </w:p>
    <w:p w:rsidR="00000000" w:rsidDel="00000000" w:rsidP="00000000" w:rsidRDefault="00000000" w:rsidRPr="00000000" w14:paraId="00000005">
      <w:pPr>
        <w:spacing w:after="240" w:before="240" w:lineRule="auto"/>
        <w:ind w:left="851" w:right="902" w:firstLine="0"/>
        <w:jc w:val="both"/>
        <w:rPr>
          <w:rFonts w:ascii="Palatino Linotype" w:cs="Palatino Linotype" w:eastAsia="Palatino Linotype" w:hAnsi="Palatino Linotype"/>
          <w:b w:val="1"/>
          <w:i w:val="1"/>
          <w:sz w:val="22"/>
          <w:szCs w:val="22"/>
        </w:rPr>
      </w:pPr>
      <w:bookmarkStart w:colFirst="0" w:colLast="0" w:name="_heading=h.gjdgxs" w:id="1"/>
      <w:bookmarkEnd w:id="1"/>
      <w:r w:rsidDel="00000000" w:rsidR="00000000" w:rsidRPr="00000000">
        <w:rPr>
          <w:rFonts w:ascii="Palatino Linotype" w:cs="Palatino Linotype" w:eastAsia="Palatino Linotype" w:hAnsi="Palatino Linotype"/>
          <w:i w:val="1"/>
          <w:sz w:val="22"/>
          <w:szCs w:val="22"/>
          <w:rtl w:val="0"/>
        </w:rPr>
        <w:t xml:space="preserve">“Dictamen de Medicina del Trabajo de XXXXXXX XXXX XXXXXXX” (sic) </w:t>
      </w:r>
      <w:r w:rsidDel="00000000" w:rsidR="00000000" w:rsidRPr="00000000">
        <w:rPr>
          <w:rtl w:val="0"/>
        </w:rPr>
      </w:r>
    </w:p>
    <w:p w:rsidR="00000000" w:rsidDel="00000000" w:rsidP="00000000" w:rsidRDefault="00000000" w:rsidRPr="00000000" w14:paraId="00000006">
      <w:pPr>
        <w:spacing w:after="240" w:before="240" w:line="360" w:lineRule="auto"/>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Modalidad de acceso a la información:</w:t>
      </w:r>
      <w:r w:rsidDel="00000000" w:rsidR="00000000" w:rsidRPr="00000000">
        <w:rPr>
          <w:rFonts w:ascii="Palatino Linotype" w:cs="Palatino Linotype" w:eastAsia="Palatino Linotype" w:hAnsi="Palatino Linotype"/>
          <w:sz w:val="22"/>
          <w:szCs w:val="22"/>
          <w:rtl w:val="0"/>
        </w:rPr>
        <w:t xml:space="preserve"> a través de</w:t>
      </w:r>
      <w:r w:rsidDel="00000000" w:rsidR="00000000" w:rsidRPr="00000000">
        <w:rPr>
          <w:rFonts w:ascii="Palatino Linotype" w:cs="Palatino Linotype" w:eastAsia="Palatino Linotype" w:hAnsi="Palatino Linotype"/>
          <w:b w:val="1"/>
          <w:sz w:val="22"/>
          <w:szCs w:val="22"/>
          <w:rtl w:val="0"/>
        </w:rPr>
        <w:t xml:space="preserve"> </w:t>
      </w:r>
      <w:r w:rsidDel="00000000" w:rsidR="00000000" w:rsidRPr="00000000">
        <w:rPr>
          <w:rFonts w:ascii="Palatino Linotype" w:cs="Palatino Linotype" w:eastAsia="Palatino Linotype" w:hAnsi="Palatino Linotype"/>
          <w:b w:val="1"/>
          <w:sz w:val="22"/>
          <w:szCs w:val="22"/>
          <w:u w:val="single"/>
          <w:rtl w:val="0"/>
        </w:rPr>
        <w:t xml:space="preserve">SARCOEM</w:t>
      </w:r>
      <w:r w:rsidDel="00000000" w:rsidR="00000000" w:rsidRPr="00000000">
        <w:rPr>
          <w:rFonts w:ascii="Palatino Linotype" w:cs="Palatino Linotype" w:eastAsia="Palatino Linotype" w:hAnsi="Palatino Linotype"/>
          <w:b w:val="1"/>
          <w:sz w:val="22"/>
          <w:szCs w:val="22"/>
          <w:rtl w:val="0"/>
        </w:rPr>
        <w:t xml:space="preserve">.</w:t>
      </w:r>
    </w:p>
    <w:p w:rsidR="00000000" w:rsidDel="00000000" w:rsidP="00000000" w:rsidRDefault="00000000" w:rsidRPr="00000000" w14:paraId="00000007">
      <w:pPr>
        <w:spacing w:after="240" w:before="240"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Archivos adjuntos: </w:t>
      </w:r>
      <w:r w:rsidDel="00000000" w:rsidR="00000000" w:rsidRPr="00000000">
        <w:rPr>
          <w:rFonts w:ascii="Palatino Linotype" w:cs="Palatino Linotype" w:eastAsia="Palatino Linotype" w:hAnsi="Palatino Linotype"/>
          <w:sz w:val="22"/>
          <w:szCs w:val="22"/>
          <w:rtl w:val="0"/>
        </w:rPr>
        <w:t xml:space="preserve">Credencial para votar expedida por el Instituto Nacional Electoral a favor de la titular de los datos personales.</w:t>
      </w:r>
    </w:p>
    <w:p w:rsidR="00000000" w:rsidDel="00000000" w:rsidP="00000000" w:rsidRDefault="00000000" w:rsidRPr="00000000" w14:paraId="00000008">
      <w:pPr>
        <w:spacing w:after="240" w:before="240" w:line="360" w:lineRule="auto"/>
        <w:jc w:val="both"/>
        <w:rPr>
          <w:rFonts w:ascii="Palatino Linotype" w:cs="Palatino Linotype" w:eastAsia="Palatino Linotype" w:hAnsi="Palatino Linotype"/>
          <w:sz w:val="22"/>
          <w:szCs w:val="22"/>
        </w:rPr>
      </w:pPr>
      <w:bookmarkStart w:colFirst="0" w:colLast="0" w:name="_heading=h.3dy6vkm" w:id="2"/>
      <w:bookmarkEnd w:id="2"/>
      <w:r w:rsidDel="00000000" w:rsidR="00000000" w:rsidRPr="00000000">
        <w:rPr>
          <w:rFonts w:ascii="Palatino Linotype" w:cs="Palatino Linotype" w:eastAsia="Palatino Linotype" w:hAnsi="Palatino Linotype"/>
          <w:b w:val="1"/>
          <w:sz w:val="22"/>
          <w:szCs w:val="22"/>
          <w:rtl w:val="0"/>
        </w:rPr>
        <w:t xml:space="preserve">2. Respuesta. </w:t>
      </w:r>
      <w:r w:rsidDel="00000000" w:rsidR="00000000" w:rsidRPr="00000000">
        <w:rPr>
          <w:rFonts w:ascii="Palatino Linotype" w:cs="Palatino Linotype" w:eastAsia="Palatino Linotype" w:hAnsi="Palatino Linotype"/>
          <w:sz w:val="22"/>
          <w:szCs w:val="22"/>
          <w:rtl w:val="0"/>
        </w:rPr>
        <w:t xml:space="preserve">El </w:t>
      </w:r>
      <w:r w:rsidDel="00000000" w:rsidR="00000000" w:rsidRPr="00000000">
        <w:rPr>
          <w:rFonts w:ascii="Palatino Linotype" w:cs="Palatino Linotype" w:eastAsia="Palatino Linotype" w:hAnsi="Palatino Linotype"/>
          <w:b w:val="1"/>
          <w:sz w:val="22"/>
          <w:szCs w:val="22"/>
          <w:rtl w:val="0"/>
        </w:rPr>
        <w:t xml:space="preserve">uno de agosto de dos mil veinticinco</w:t>
      </w:r>
      <w:r w:rsidDel="00000000" w:rsidR="00000000" w:rsidRPr="00000000">
        <w:rPr>
          <w:rFonts w:ascii="Palatino Linotype" w:cs="Palatino Linotype" w:eastAsia="Palatino Linotype" w:hAnsi="Palatino Linotype"/>
          <w:sz w:val="22"/>
          <w:szCs w:val="22"/>
          <w:rtl w:val="0"/>
        </w:rPr>
        <w:t xml:space="preserve">, el </w:t>
      </w:r>
      <w:r w:rsidDel="00000000" w:rsidR="00000000" w:rsidRPr="00000000">
        <w:rPr>
          <w:rFonts w:ascii="Palatino Linotype" w:cs="Palatino Linotype" w:eastAsia="Palatino Linotype" w:hAnsi="Palatino Linotype"/>
          <w:b w:val="1"/>
          <w:sz w:val="22"/>
          <w:szCs w:val="22"/>
          <w:rtl w:val="0"/>
        </w:rPr>
        <w:t xml:space="preserve">Sujeto Obligado </w:t>
      </w:r>
      <w:r w:rsidDel="00000000" w:rsidR="00000000" w:rsidRPr="00000000">
        <w:rPr>
          <w:rFonts w:ascii="Palatino Linotype" w:cs="Palatino Linotype" w:eastAsia="Palatino Linotype" w:hAnsi="Palatino Linotype"/>
          <w:sz w:val="22"/>
          <w:szCs w:val="22"/>
          <w:rtl w:val="0"/>
        </w:rPr>
        <w:t xml:space="preserve">envió su respuesta a la solicitud de acceso a la información a través del SARCOEM, sustancialmente en los términos siguientes:   </w:t>
      </w:r>
    </w:p>
    <w:p w:rsidR="00000000" w:rsidDel="00000000" w:rsidP="00000000" w:rsidRDefault="00000000" w:rsidRPr="00000000" w14:paraId="00000009">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“Como archivo adjunto, encontrará el oficio que dará respuesta a su solicitud de acceso a datos personales,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el horario para trámites en el Módulo de Transparencia es de 9: 00 a 15:00 horas.” (Sic)</w:t>
      </w:r>
    </w:p>
    <w:p w:rsidR="00000000" w:rsidDel="00000000" w:rsidP="00000000" w:rsidRDefault="00000000" w:rsidRPr="00000000" w14:paraId="0000000A">
      <w:pPr>
        <w:spacing w:after="240" w:before="240" w:line="360" w:lineRule="auto"/>
        <w:ind w:right="49"/>
        <w:jc w:val="both"/>
        <w:rPr>
          <w:rFonts w:ascii="Palatino Linotype" w:cs="Palatino Linotype" w:eastAsia="Palatino Linotype" w:hAnsi="Palatino Linotype"/>
          <w:sz w:val="22"/>
          <w:szCs w:val="22"/>
        </w:rPr>
      </w:pPr>
      <w:bookmarkStart w:colFirst="0" w:colLast="0" w:name="_heading=h.p4jp995fll5i" w:id="3"/>
      <w:bookmarkEnd w:id="3"/>
      <w:r w:rsidDel="00000000" w:rsidR="00000000" w:rsidRPr="00000000">
        <w:rPr>
          <w:rFonts w:ascii="Palatino Linotype" w:cs="Palatino Linotype" w:eastAsia="Palatino Linotype" w:hAnsi="Palatino Linotype"/>
          <w:sz w:val="22"/>
          <w:szCs w:val="22"/>
          <w:rtl w:val="0"/>
        </w:rPr>
        <w:t xml:space="preserve">El </w:t>
      </w:r>
      <w:r w:rsidDel="00000000" w:rsidR="00000000" w:rsidRPr="00000000">
        <w:rPr>
          <w:rFonts w:ascii="Palatino Linotype" w:cs="Palatino Linotype" w:eastAsia="Palatino Linotype" w:hAnsi="Palatino Linotype"/>
          <w:b w:val="1"/>
          <w:sz w:val="22"/>
          <w:szCs w:val="22"/>
          <w:rtl w:val="0"/>
        </w:rPr>
        <w:t xml:space="preserve">Sujeto Obligado </w:t>
      </w:r>
      <w:r w:rsidDel="00000000" w:rsidR="00000000" w:rsidRPr="00000000">
        <w:rPr>
          <w:rFonts w:ascii="Palatino Linotype" w:cs="Palatino Linotype" w:eastAsia="Palatino Linotype" w:hAnsi="Palatino Linotype"/>
          <w:sz w:val="22"/>
          <w:szCs w:val="22"/>
          <w:rtl w:val="0"/>
        </w:rPr>
        <w:t xml:space="preserve">adjuntó el oficio 207C0401210001S-UT-1800/2025, mediante el cual el Responsable y Titular de la Unidad de Transparencia hizo del conocimiento de la persona solicitante que se localizó el Dictamen Médico de Inhabilitación para la persona Servidora Pública, de fecha 6 de mayo de 2025, elaborado en la Clínica de Consulta Externa Tlalnepantla, que consta de una hoja, según lo manifestado por el Director de la Clínica de Consulta Externa Ixtapaluca, adscrito al Servidor Público Habilitado de la Coordinación de Servicios de Salud.</w:t>
      </w:r>
    </w:p>
    <w:p w:rsidR="00000000" w:rsidDel="00000000" w:rsidP="00000000" w:rsidRDefault="00000000" w:rsidRPr="00000000" w14:paraId="0000000B">
      <w:pPr>
        <w:spacing w:after="240" w:before="240" w:line="360" w:lineRule="auto"/>
        <w:ind w:right="49"/>
        <w:jc w:val="both"/>
        <w:rPr>
          <w:rFonts w:ascii="Palatino Linotype" w:cs="Palatino Linotype" w:eastAsia="Palatino Linotype" w:hAnsi="Palatino Linotype"/>
          <w:sz w:val="22"/>
          <w:szCs w:val="22"/>
        </w:rPr>
      </w:pPr>
      <w:bookmarkStart w:colFirst="0" w:colLast="0" w:name="_heading=h.wa6ozwis0d09" w:id="4"/>
      <w:bookmarkEnd w:id="4"/>
      <w:r w:rsidDel="00000000" w:rsidR="00000000" w:rsidRPr="00000000">
        <w:rPr>
          <w:rFonts w:ascii="Palatino Linotype" w:cs="Palatino Linotype" w:eastAsia="Palatino Linotype" w:hAnsi="Palatino Linotype"/>
          <w:sz w:val="22"/>
          <w:szCs w:val="22"/>
          <w:rtl w:val="0"/>
        </w:rPr>
        <w:t xml:space="preserve">Asimismo, refirió que no existía impedimento para brindar dicha información, no obstante, atendiendo a la modalidad de entrega elegida, manifestó que la información solicitada enviada a través de SARCOEM, previa acreditación de la identidad y personalidad de la persona solicitante, siendo necesario que se presentara con una identificación oficial para acreditar su identidad y personalidad, tal y como l0 establece el artículo 118, de la Ley de Protección de Datos Personales en Posesión de Sujetos Obligados del Estado de México y Municipios, ante el Módulo de Transparencia del Sujeto Obligado, cuya dirección, horarios de atención y datos de contacto proporcionó en el acto.</w:t>
      </w:r>
    </w:p>
    <w:p w:rsidR="00000000" w:rsidDel="00000000" w:rsidP="00000000" w:rsidRDefault="00000000" w:rsidRPr="00000000" w14:paraId="0000000C">
      <w:pPr>
        <w:spacing w:after="240" w:before="240" w:line="360" w:lineRule="auto"/>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3. Interposición del recurso de revisión. </w:t>
      </w:r>
      <w:r w:rsidDel="00000000" w:rsidR="00000000" w:rsidRPr="00000000">
        <w:rPr>
          <w:rFonts w:ascii="Palatino Linotype" w:cs="Palatino Linotype" w:eastAsia="Palatino Linotype" w:hAnsi="Palatino Linotype"/>
          <w:sz w:val="22"/>
          <w:szCs w:val="22"/>
          <w:rtl w:val="0"/>
        </w:rPr>
        <w:t xml:space="preserve">El </w:t>
      </w:r>
      <w:r w:rsidDel="00000000" w:rsidR="00000000" w:rsidRPr="00000000">
        <w:rPr>
          <w:rFonts w:ascii="Palatino Linotype" w:cs="Palatino Linotype" w:eastAsia="Palatino Linotype" w:hAnsi="Palatino Linotype"/>
          <w:b w:val="1"/>
          <w:sz w:val="22"/>
          <w:szCs w:val="22"/>
          <w:rtl w:val="0"/>
        </w:rPr>
        <w:t xml:space="preserve">doce de agosto dos mil veinticinco,</w:t>
      </w:r>
      <w:r w:rsidDel="00000000" w:rsidR="00000000" w:rsidRPr="00000000">
        <w:rPr>
          <w:rFonts w:ascii="Palatino Linotype" w:cs="Palatino Linotype" w:eastAsia="Palatino Linotype" w:hAnsi="Palatino Linotype"/>
          <w:sz w:val="22"/>
          <w:szCs w:val="22"/>
          <w:rtl w:val="0"/>
        </w:rPr>
        <w:t xml:space="preserve"> la parte </w:t>
      </w:r>
      <w:r w:rsidDel="00000000" w:rsidR="00000000" w:rsidRPr="00000000">
        <w:rPr>
          <w:rFonts w:ascii="Palatino Linotype" w:cs="Palatino Linotype" w:eastAsia="Palatino Linotype" w:hAnsi="Palatino Linotype"/>
          <w:b w:val="1"/>
          <w:sz w:val="22"/>
          <w:szCs w:val="22"/>
          <w:rtl w:val="0"/>
        </w:rPr>
        <w:t xml:space="preserve">Recurrente</w:t>
      </w:r>
      <w:r w:rsidDel="00000000" w:rsidR="00000000" w:rsidRPr="00000000">
        <w:rPr>
          <w:rFonts w:ascii="Palatino Linotype" w:cs="Palatino Linotype" w:eastAsia="Palatino Linotype" w:hAnsi="Palatino Linotype"/>
          <w:sz w:val="22"/>
          <w:szCs w:val="22"/>
          <w:rtl w:val="0"/>
        </w:rPr>
        <w:t xml:space="preserve"> interpuso el recurso de revisión a través del </w:t>
      </w:r>
      <w:r w:rsidDel="00000000" w:rsidR="00000000" w:rsidRPr="00000000">
        <w:rPr>
          <w:rFonts w:ascii="Palatino Linotype" w:cs="Palatino Linotype" w:eastAsia="Palatino Linotype" w:hAnsi="Palatino Linotype"/>
          <w:b w:val="1"/>
          <w:sz w:val="22"/>
          <w:szCs w:val="22"/>
          <w:rtl w:val="0"/>
        </w:rPr>
        <w:t xml:space="preserve">SARCOEM, </w:t>
      </w:r>
      <w:r w:rsidDel="00000000" w:rsidR="00000000" w:rsidRPr="00000000">
        <w:rPr>
          <w:rFonts w:ascii="Palatino Linotype" w:cs="Palatino Linotype" w:eastAsia="Palatino Linotype" w:hAnsi="Palatino Linotype"/>
          <w:sz w:val="22"/>
          <w:szCs w:val="22"/>
          <w:rtl w:val="0"/>
        </w:rPr>
        <w:t xml:space="preserve">en donde se manifestó de la siguiente manera:</w:t>
      </w:r>
      <w:r w:rsidDel="00000000" w:rsidR="00000000" w:rsidRPr="00000000">
        <w:rPr>
          <w:rtl w:val="0"/>
        </w:rPr>
      </w:r>
    </w:p>
    <w:p w:rsidR="00000000" w:rsidDel="00000000" w:rsidP="00000000" w:rsidRDefault="00000000" w:rsidRPr="00000000" w14:paraId="0000000D">
      <w:pPr>
        <w:tabs>
          <w:tab w:val="left" w:leader="none" w:pos="2745"/>
        </w:tabs>
        <w:spacing w:after="240" w:before="240" w:line="360" w:lineRule="auto"/>
        <w:ind w:left="567" w:firstLine="0"/>
        <w:jc w:val="both"/>
        <w:rPr>
          <w:rFonts w:ascii="Palatino Linotype" w:cs="Palatino Linotype" w:eastAsia="Palatino Linotype" w:hAnsi="Palatino Linotype"/>
          <w:b w:val="1"/>
          <w:sz w:val="22"/>
          <w:szCs w:val="22"/>
        </w:rPr>
      </w:pPr>
      <w:bookmarkStart w:colFirst="0" w:colLast="0" w:name="_heading=h.tt15rmyafkqg" w:id="5"/>
      <w:bookmarkEnd w:id="5"/>
      <w:r w:rsidDel="00000000" w:rsidR="00000000" w:rsidRPr="00000000">
        <w:rPr>
          <w:rFonts w:ascii="Palatino Linotype" w:cs="Palatino Linotype" w:eastAsia="Palatino Linotype" w:hAnsi="Palatino Linotype"/>
          <w:b w:val="1"/>
          <w:sz w:val="22"/>
          <w:szCs w:val="22"/>
          <w:rtl w:val="0"/>
        </w:rPr>
        <w:t xml:space="preserve">a) Acto impugnado: </w:t>
      </w:r>
    </w:p>
    <w:p w:rsidR="00000000" w:rsidDel="00000000" w:rsidP="00000000" w:rsidRDefault="00000000" w:rsidRPr="00000000" w14:paraId="0000000E">
      <w:pPr>
        <w:tabs>
          <w:tab w:val="left" w:leader="none" w:pos="2745"/>
        </w:tabs>
        <w:spacing w:after="240" w:before="24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“Dictamen de Medicina del trabajo ya que en su dictamen se coloco que se podían realizar las actividades laborales sin problema y sin riesgo” (sic)</w:t>
      </w:r>
    </w:p>
    <w:p w:rsidR="00000000" w:rsidDel="00000000" w:rsidP="00000000" w:rsidRDefault="00000000" w:rsidRPr="00000000" w14:paraId="0000000F">
      <w:pPr>
        <w:spacing w:line="360" w:lineRule="auto"/>
        <w:ind w:left="567" w:firstLine="0"/>
        <w:jc w:val="both"/>
        <w:rPr>
          <w:rFonts w:ascii="Palatino Linotype" w:cs="Palatino Linotype" w:eastAsia="Palatino Linotype" w:hAnsi="Palatino Linotype"/>
          <w:sz w:val="22"/>
          <w:szCs w:val="22"/>
        </w:rPr>
      </w:pPr>
      <w:bookmarkStart w:colFirst="0" w:colLast="0" w:name="_heading=h.30j0zll" w:id="6"/>
      <w:bookmarkEnd w:id="6"/>
      <w:r w:rsidDel="00000000" w:rsidR="00000000" w:rsidRPr="00000000">
        <w:rPr>
          <w:rFonts w:ascii="Palatino Linotype" w:cs="Palatino Linotype" w:eastAsia="Palatino Linotype" w:hAnsi="Palatino Linotype"/>
          <w:b w:val="1"/>
          <w:sz w:val="22"/>
          <w:szCs w:val="22"/>
          <w:rtl w:val="0"/>
        </w:rPr>
        <w:t xml:space="preserve">b) Razones o motivos de inconformidad</w:t>
      </w:r>
      <w:r w:rsidDel="00000000" w:rsidR="00000000" w:rsidRPr="00000000">
        <w:rPr>
          <w:rFonts w:ascii="Palatino Linotype" w:cs="Palatino Linotype" w:eastAsia="Palatino Linotype" w:hAnsi="Palatino Linotype"/>
          <w:sz w:val="22"/>
          <w:szCs w:val="22"/>
          <w:rtl w:val="0"/>
        </w:rPr>
        <w:t xml:space="preserve">: </w:t>
      </w:r>
    </w:p>
    <w:p w:rsidR="00000000" w:rsidDel="00000000" w:rsidP="00000000" w:rsidRDefault="00000000" w:rsidRPr="00000000" w14:paraId="00000010">
      <w:pPr>
        <w:tabs>
          <w:tab w:val="left" w:leader="none" w:pos="2745"/>
        </w:tabs>
        <w:spacing w:after="240" w:before="240" w:lineRule="auto"/>
        <w:ind w:left="851" w:right="900" w:firstLine="0"/>
        <w:jc w:val="both"/>
        <w:rPr>
          <w:rFonts w:ascii="Palatino Linotype" w:cs="Palatino Linotype" w:eastAsia="Palatino Linotype" w:hAnsi="Palatino Linotype"/>
          <w:i w:val="1"/>
          <w:sz w:val="22"/>
          <w:szCs w:val="22"/>
        </w:rPr>
      </w:pPr>
      <w:bookmarkStart w:colFirst="0" w:colLast="0" w:name="_heading=h.2et92p0" w:id="7"/>
      <w:bookmarkEnd w:id="7"/>
      <w:r w:rsidDel="00000000" w:rsidR="00000000" w:rsidRPr="00000000">
        <w:rPr>
          <w:rFonts w:ascii="Palatino Linotype" w:cs="Palatino Linotype" w:eastAsia="Palatino Linotype" w:hAnsi="Palatino Linotype"/>
          <w:i w:val="1"/>
          <w:sz w:val="22"/>
          <w:szCs w:val="22"/>
          <w:rtl w:val="0"/>
        </w:rPr>
        <w:t xml:space="preserve">“El medico especialista de medicina interna Dr. JAIR FRANCISCO MARTIN RAMIREZ y Reomatologia Tlalnepantla coloco en su estudio medico el pronostico para la función de carácter irreversible progresivo e incurable en estado avanzado y conlleva a alteraciones eb las actividades de la vida diaria y laborales” (sic)</w:t>
      </w:r>
    </w:p>
    <w:p w:rsidR="00000000" w:rsidDel="00000000" w:rsidP="00000000" w:rsidRDefault="00000000" w:rsidRPr="00000000" w14:paraId="00000011">
      <w:pPr>
        <w:spacing w:line="360" w:lineRule="auto"/>
        <w:ind w:right="51"/>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La parte </w:t>
      </w:r>
      <w:r w:rsidDel="00000000" w:rsidR="00000000" w:rsidRPr="00000000">
        <w:rPr>
          <w:rFonts w:ascii="Palatino Linotype" w:cs="Palatino Linotype" w:eastAsia="Palatino Linotype" w:hAnsi="Palatino Linotype"/>
          <w:b w:val="1"/>
          <w:sz w:val="22"/>
          <w:szCs w:val="22"/>
          <w:rtl w:val="0"/>
        </w:rPr>
        <w:t xml:space="preserve">Recurrente </w:t>
      </w:r>
      <w:r w:rsidDel="00000000" w:rsidR="00000000" w:rsidRPr="00000000">
        <w:rPr>
          <w:rFonts w:ascii="Palatino Linotype" w:cs="Palatino Linotype" w:eastAsia="Palatino Linotype" w:hAnsi="Palatino Linotype"/>
          <w:sz w:val="22"/>
          <w:szCs w:val="22"/>
          <w:rtl w:val="0"/>
        </w:rPr>
        <w:t xml:space="preserve">adjuntó lo siguiente:</w:t>
      </w:r>
    </w:p>
    <w:p w:rsidR="00000000" w:rsidDel="00000000" w:rsidP="00000000" w:rsidRDefault="00000000" w:rsidRPr="00000000" w14:paraId="00000012">
      <w:pPr>
        <w:spacing w:after="240" w:before="240" w:line="360" w:lineRule="auto"/>
        <w:ind w:left="142" w:right="51"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 Dictamen Médico de Inhabilitación para la persona servidora pública del 06 de mayo de 2025, constante de dos hojas.</w:t>
      </w:r>
    </w:p>
    <w:p w:rsidR="00000000" w:rsidDel="00000000" w:rsidP="00000000" w:rsidRDefault="00000000" w:rsidRPr="00000000" w14:paraId="00000013">
      <w:pPr>
        <w:spacing w:after="240" w:before="240" w:line="360" w:lineRule="auto"/>
        <w:ind w:left="142" w:right="51"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 Estudio médico – Servicio de Salud en el trabajo del 25 de febrero de 2025, constante de dos hojas.</w:t>
      </w:r>
    </w:p>
    <w:p w:rsidR="00000000" w:rsidDel="00000000" w:rsidP="00000000" w:rsidRDefault="00000000" w:rsidRPr="00000000" w14:paraId="00000014">
      <w:pPr>
        <w:spacing w:after="240" w:before="240" w:line="360" w:lineRule="auto"/>
        <w:ind w:left="142" w:right="51"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 Estudio médico – Servicio de Salud en el trabajo del 05 de abril de 2024, constante de dos hojas.</w:t>
      </w:r>
    </w:p>
    <w:p w:rsidR="00000000" w:rsidDel="00000000" w:rsidP="00000000" w:rsidRDefault="00000000" w:rsidRPr="00000000" w14:paraId="00000015">
      <w:pPr>
        <w:spacing w:after="240" w:before="240" w:line="360" w:lineRule="auto"/>
        <w:ind w:left="142" w:right="51"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 Aviso para calificar probable riesgo de trabajo del 08 de septiembre de 2023, constante de dos hojas (la primera página por duplicado)</w:t>
      </w:r>
    </w:p>
    <w:p w:rsidR="00000000" w:rsidDel="00000000" w:rsidP="00000000" w:rsidRDefault="00000000" w:rsidRPr="00000000" w14:paraId="00000016">
      <w:pPr>
        <w:spacing w:line="360" w:lineRule="auto"/>
        <w:ind w:right="51"/>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4. Turno. </w:t>
      </w:r>
      <w:r w:rsidDel="00000000" w:rsidR="00000000" w:rsidRPr="00000000">
        <w:rPr>
          <w:rFonts w:ascii="Palatino Linotype" w:cs="Palatino Linotype" w:eastAsia="Palatino Linotype" w:hAnsi="Palatino Linotype"/>
          <w:sz w:val="22"/>
          <w:szCs w:val="22"/>
          <w:rtl w:val="0"/>
        </w:rPr>
        <w:t xml:space="preserve">De conformidad con los artículos 11 y 127, de la Ley de Protección de Datos Personales en Posesión de Sujetos Obligados del Estado de México y Municipios, en relación con el diverso 185, fracción I, de la Ley de Transparencia y Acceso a la Información Pública del Estado de México y Municipios, de aplicación supletoria a la citada Ley de Protección de Datos Personales, el presente recurso de revisión se turnó mediante el sistema electrónico </w:t>
      </w:r>
      <w:r w:rsidDel="00000000" w:rsidR="00000000" w:rsidRPr="00000000">
        <w:rPr>
          <w:rFonts w:ascii="Palatino Linotype" w:cs="Palatino Linotype" w:eastAsia="Palatino Linotype" w:hAnsi="Palatino Linotype"/>
          <w:b w:val="1"/>
          <w:sz w:val="22"/>
          <w:szCs w:val="22"/>
          <w:rtl w:val="0"/>
        </w:rPr>
        <w:t xml:space="preserve">SARCOEM</w:t>
      </w:r>
      <w:r w:rsidDel="00000000" w:rsidR="00000000" w:rsidRPr="00000000">
        <w:rPr>
          <w:rFonts w:ascii="Palatino Linotype" w:cs="Palatino Linotype" w:eastAsia="Palatino Linotype" w:hAnsi="Palatino Linotype"/>
          <w:sz w:val="22"/>
          <w:szCs w:val="22"/>
          <w:rtl w:val="0"/>
        </w:rPr>
        <w:t xml:space="preserve"> del Instituto de Transparencia, Acceso a la Información Pública y Protección de Datos Personales del Estado de México y Municipios, a la </w:t>
      </w:r>
      <w:r w:rsidDel="00000000" w:rsidR="00000000" w:rsidRPr="00000000">
        <w:rPr>
          <w:rFonts w:ascii="Palatino Linotype" w:cs="Palatino Linotype" w:eastAsia="Palatino Linotype" w:hAnsi="Palatino Linotype"/>
          <w:b w:val="1"/>
          <w:sz w:val="22"/>
          <w:szCs w:val="22"/>
          <w:rtl w:val="0"/>
        </w:rPr>
        <w:t xml:space="preserve">Comisionada Guadalupe Ramírez Peña, </w:t>
      </w:r>
      <w:r w:rsidDel="00000000" w:rsidR="00000000" w:rsidRPr="00000000">
        <w:rPr>
          <w:rFonts w:ascii="Palatino Linotype" w:cs="Palatino Linotype" w:eastAsia="Palatino Linotype" w:hAnsi="Palatino Linotype"/>
          <w:sz w:val="22"/>
          <w:szCs w:val="22"/>
          <w:rtl w:val="0"/>
        </w:rPr>
        <w:t xml:space="preserve">a efecto de que analizara sobre su admisión o su desechamiento.</w:t>
      </w:r>
    </w:p>
    <w:p w:rsidR="00000000" w:rsidDel="00000000" w:rsidP="00000000" w:rsidRDefault="00000000" w:rsidRPr="00000000" w14:paraId="00000017">
      <w:pPr>
        <w:spacing w:line="360" w:lineRule="auto"/>
        <w:ind w:right="51"/>
        <w:jc w:val="both"/>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18">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5. Admisión. </w:t>
      </w:r>
      <w:r w:rsidDel="00000000" w:rsidR="00000000" w:rsidRPr="00000000">
        <w:rPr>
          <w:rFonts w:ascii="Palatino Linotype" w:cs="Palatino Linotype" w:eastAsia="Palatino Linotype" w:hAnsi="Palatino Linotype"/>
          <w:sz w:val="22"/>
          <w:szCs w:val="22"/>
          <w:rtl w:val="0"/>
        </w:rPr>
        <w:t xml:space="preserve">El </w:t>
      </w:r>
      <w:r w:rsidDel="00000000" w:rsidR="00000000" w:rsidRPr="00000000">
        <w:rPr>
          <w:rFonts w:ascii="Palatino Linotype" w:cs="Palatino Linotype" w:eastAsia="Palatino Linotype" w:hAnsi="Palatino Linotype"/>
          <w:b w:val="1"/>
          <w:sz w:val="22"/>
          <w:szCs w:val="22"/>
          <w:rtl w:val="0"/>
        </w:rPr>
        <w:t xml:space="preserve">quince de agosto de dos mil veinticinco, c</w:t>
      </w:r>
      <w:r w:rsidDel="00000000" w:rsidR="00000000" w:rsidRPr="00000000">
        <w:rPr>
          <w:rFonts w:ascii="Palatino Linotype" w:cs="Palatino Linotype" w:eastAsia="Palatino Linotype" w:hAnsi="Palatino Linotype"/>
          <w:sz w:val="22"/>
          <w:szCs w:val="22"/>
          <w:rtl w:val="0"/>
        </w:rPr>
        <w:t xml:space="preserve">on fundamento en los artículos 128, 129, 130 y 132 de la </w:t>
      </w:r>
      <w:r w:rsidDel="00000000" w:rsidR="00000000" w:rsidRPr="00000000">
        <w:rPr>
          <w:rFonts w:ascii="Palatino Linotype" w:cs="Palatino Linotype" w:eastAsia="Palatino Linotype" w:hAnsi="Palatino Linotype"/>
          <w:b w:val="1"/>
          <w:sz w:val="22"/>
          <w:szCs w:val="22"/>
          <w:rtl w:val="0"/>
        </w:rPr>
        <w:t xml:space="preserve">Ley de Protección de Datos Personales en Posesión de Sujetos Obligados del Estado de México y Municipios</w:t>
      </w:r>
      <w:r w:rsidDel="00000000" w:rsidR="00000000" w:rsidRPr="00000000">
        <w:rPr>
          <w:rFonts w:ascii="Palatino Linotype" w:cs="Palatino Linotype" w:eastAsia="Palatino Linotype" w:hAnsi="Palatino Linotype"/>
          <w:sz w:val="22"/>
          <w:szCs w:val="22"/>
          <w:rtl w:val="0"/>
        </w:rPr>
        <w:t xml:space="preserve"> y 185 fracciones I, II y IV de la Ley de Transparencia y Acceso a la Información Pública del Estado de México y Municipios de aplicación supletoria, se acordó lo siguiente:</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pacing w:before="240" w:line="360" w:lineRule="auto"/>
        <w:ind w:left="284"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La admisión a trámite del referido recurso de revisión;</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360" w:lineRule="auto"/>
        <w:ind w:left="284"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line="360" w:lineRule="auto"/>
        <w:ind w:left="284"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La integración del expediente a fin de ponerlo a disposición de las partes para la consulta.</w:t>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284" w:firstLine="0"/>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after="240" w:line="360" w:lineRule="auto"/>
        <w:ind w:left="284"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El requerimiento</w:t>
      </w:r>
      <w:r w:rsidDel="00000000" w:rsidR="00000000" w:rsidRPr="00000000">
        <w:rPr>
          <w:rFonts w:ascii="Palatino Linotype" w:cs="Palatino Linotype" w:eastAsia="Palatino Linotype" w:hAnsi="Palatino Linotype"/>
          <w:b w:val="1"/>
          <w:sz w:val="22"/>
          <w:szCs w:val="22"/>
          <w:rtl w:val="0"/>
        </w:rPr>
        <w:t xml:space="preserve"> </w:t>
      </w:r>
      <w:r w:rsidDel="00000000" w:rsidR="00000000" w:rsidRPr="00000000">
        <w:rPr>
          <w:rFonts w:ascii="Palatino Linotype" w:cs="Palatino Linotype" w:eastAsia="Palatino Linotype" w:hAnsi="Palatino Linotype"/>
          <w:sz w:val="22"/>
          <w:szCs w:val="22"/>
          <w:rtl w:val="0"/>
        </w:rPr>
        <w:t xml:space="preserve">a las partes para que en un plazo no mayor a siete días manifestaran, por cualquier medio, su voluntad de conciliar, con el apercibimiento de que, en caso de no hacerlo, se tendría por precluido su derecho, para tales efectos.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360" w:lineRule="auto"/>
        <w:ind w:right="193"/>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Asimismo, en términos del artículo 132 fracción I de la Ley de Protección de Datos Personales en Posesión de Sujetos Obligados del Estado de México y Municipios, se hizo del conocimiento de las partes un resumen del recurso de revisión de mérito, así como los elementos comunes y puntos de controversia, respecto del presente asunto.</w:t>
      </w:r>
    </w:p>
    <w:p w:rsidR="00000000" w:rsidDel="00000000" w:rsidP="00000000" w:rsidRDefault="00000000" w:rsidRPr="00000000" w14:paraId="0000001F">
      <w:pPr>
        <w:spacing w:after="240" w:before="240" w:line="360" w:lineRule="auto"/>
        <w:jc w:val="both"/>
        <w:rPr>
          <w:rFonts w:ascii="Palatino Linotype" w:cs="Palatino Linotype" w:eastAsia="Palatino Linotype" w:hAnsi="Palatino Linotype"/>
          <w:sz w:val="22"/>
          <w:szCs w:val="22"/>
        </w:rPr>
      </w:pPr>
      <w:bookmarkStart w:colFirst="0" w:colLast="0" w:name="_heading=h.2s8eyo1" w:id="8"/>
      <w:bookmarkEnd w:id="8"/>
      <w:r w:rsidDel="00000000" w:rsidR="00000000" w:rsidRPr="00000000">
        <w:rPr>
          <w:rFonts w:ascii="Palatino Linotype" w:cs="Palatino Linotype" w:eastAsia="Palatino Linotype" w:hAnsi="Palatino Linotype"/>
          <w:b w:val="1"/>
          <w:sz w:val="22"/>
          <w:szCs w:val="22"/>
          <w:rtl w:val="0"/>
        </w:rPr>
        <w:t xml:space="preserve">7. Etapa de Conciliación.</w:t>
      </w:r>
      <w:r w:rsidDel="00000000" w:rsidR="00000000" w:rsidRPr="00000000">
        <w:rPr>
          <w:rFonts w:ascii="Palatino Linotype" w:cs="Palatino Linotype" w:eastAsia="Palatino Linotype" w:hAnsi="Palatino Linotype"/>
          <w:sz w:val="22"/>
          <w:szCs w:val="22"/>
          <w:rtl w:val="0"/>
        </w:rPr>
        <w:t xml:space="preserve"> El </w:t>
      </w:r>
      <w:r w:rsidDel="00000000" w:rsidR="00000000" w:rsidRPr="00000000">
        <w:rPr>
          <w:rFonts w:ascii="Palatino Linotype" w:cs="Palatino Linotype" w:eastAsia="Palatino Linotype" w:hAnsi="Palatino Linotype"/>
          <w:b w:val="1"/>
          <w:sz w:val="22"/>
          <w:szCs w:val="22"/>
          <w:rtl w:val="0"/>
        </w:rPr>
        <w:t xml:space="preserve">dieciocho de agosto de dos mil veinticinco</w:t>
      </w:r>
      <w:r w:rsidDel="00000000" w:rsidR="00000000" w:rsidRPr="00000000">
        <w:rPr>
          <w:rFonts w:ascii="Palatino Linotype" w:cs="Palatino Linotype" w:eastAsia="Palatino Linotype" w:hAnsi="Palatino Linotype"/>
          <w:sz w:val="22"/>
          <w:szCs w:val="22"/>
          <w:rtl w:val="0"/>
        </w:rPr>
        <w:t xml:space="preserve">, se recibió a través del Sistema de Acceso, Rectificación, Cancelación y Oposición de Datos Personales del Estado de México (SARCOEM), la manifestación de </w:t>
      </w:r>
      <w:r w:rsidDel="00000000" w:rsidR="00000000" w:rsidRPr="00000000">
        <w:rPr>
          <w:rFonts w:ascii="Palatino Linotype" w:cs="Palatino Linotype" w:eastAsia="Palatino Linotype" w:hAnsi="Palatino Linotype"/>
          <w:b w:val="1"/>
          <w:sz w:val="22"/>
          <w:szCs w:val="22"/>
          <w:rtl w:val="0"/>
        </w:rPr>
        <w:t xml:space="preserve">la parte</w:t>
      </w:r>
      <w:r w:rsidDel="00000000" w:rsidR="00000000" w:rsidRPr="00000000">
        <w:rPr>
          <w:rFonts w:ascii="Palatino Linotype" w:cs="Palatino Linotype" w:eastAsia="Palatino Linotype" w:hAnsi="Palatino Linotype"/>
          <w:sz w:val="22"/>
          <w:szCs w:val="22"/>
          <w:rtl w:val="0"/>
        </w:rPr>
        <w:t xml:space="preserve"> </w:t>
      </w:r>
      <w:r w:rsidDel="00000000" w:rsidR="00000000" w:rsidRPr="00000000">
        <w:rPr>
          <w:rFonts w:ascii="Palatino Linotype" w:cs="Palatino Linotype" w:eastAsia="Palatino Linotype" w:hAnsi="Palatino Linotype"/>
          <w:b w:val="1"/>
          <w:sz w:val="22"/>
          <w:szCs w:val="22"/>
          <w:rtl w:val="0"/>
        </w:rPr>
        <w:t xml:space="preserve">Recurrente, </w:t>
      </w:r>
      <w:r w:rsidDel="00000000" w:rsidR="00000000" w:rsidRPr="00000000">
        <w:rPr>
          <w:rFonts w:ascii="Palatino Linotype" w:cs="Palatino Linotype" w:eastAsia="Palatino Linotype" w:hAnsi="Palatino Linotype"/>
          <w:sz w:val="22"/>
          <w:szCs w:val="22"/>
          <w:rtl w:val="0"/>
        </w:rPr>
        <w:t xml:space="preserve">mediante la cual, exteriorizó su voluntad de conciliar el presente asunto.</w:t>
      </w:r>
    </w:p>
    <w:p w:rsidR="00000000" w:rsidDel="00000000" w:rsidP="00000000" w:rsidRDefault="00000000" w:rsidRPr="00000000" w14:paraId="00000020">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El </w:t>
      </w:r>
      <w:r w:rsidDel="00000000" w:rsidR="00000000" w:rsidRPr="00000000">
        <w:rPr>
          <w:rFonts w:ascii="Palatino Linotype" w:cs="Palatino Linotype" w:eastAsia="Palatino Linotype" w:hAnsi="Palatino Linotype"/>
          <w:b w:val="1"/>
          <w:sz w:val="22"/>
          <w:szCs w:val="22"/>
          <w:rtl w:val="0"/>
        </w:rPr>
        <w:t xml:space="preserve">veintidós de agosto de dos mil veinticinco</w:t>
      </w:r>
      <w:r w:rsidDel="00000000" w:rsidR="00000000" w:rsidRPr="00000000">
        <w:rPr>
          <w:rFonts w:ascii="Palatino Linotype" w:cs="Palatino Linotype" w:eastAsia="Palatino Linotype" w:hAnsi="Palatino Linotype"/>
          <w:sz w:val="22"/>
          <w:szCs w:val="22"/>
          <w:rtl w:val="0"/>
        </w:rPr>
        <w:t xml:space="preserve">, se recibió a través del Sistema de Acceso, Rectificación, Cancelación y Oposición de Datos Personales del Estado de México (SARCOEM), escrito mediante el cual, </w:t>
      </w:r>
      <w:r w:rsidDel="00000000" w:rsidR="00000000" w:rsidRPr="00000000">
        <w:rPr>
          <w:rFonts w:ascii="Palatino Linotype" w:cs="Palatino Linotype" w:eastAsia="Palatino Linotype" w:hAnsi="Palatino Linotype"/>
          <w:b w:val="1"/>
          <w:sz w:val="22"/>
          <w:szCs w:val="22"/>
          <w:rtl w:val="0"/>
        </w:rPr>
        <w:t xml:space="preserve">el Instituto de Seguridad Social del Estado de México y Municipios</w:t>
      </w:r>
      <w:r w:rsidDel="00000000" w:rsidR="00000000" w:rsidRPr="00000000">
        <w:rPr>
          <w:rFonts w:ascii="Palatino Linotype" w:cs="Palatino Linotype" w:eastAsia="Palatino Linotype" w:hAnsi="Palatino Linotype"/>
          <w:sz w:val="22"/>
          <w:szCs w:val="22"/>
          <w:rtl w:val="0"/>
        </w:rPr>
        <w:t xml:space="preserve">, en calidad de Responsable de los datos personales, exteriorizó su voluntad de conciliar en el presente asunto.</w:t>
      </w:r>
    </w:p>
    <w:p w:rsidR="00000000" w:rsidDel="00000000" w:rsidP="00000000" w:rsidRDefault="00000000" w:rsidRPr="00000000" w14:paraId="00000021">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Por consiguiente, tomando en consideración que ambas partes manifestaron su voluntad para conciliar el Recurso de Revisión en el que se actúa, mediante acuerdo del </w:t>
      </w:r>
      <w:r w:rsidDel="00000000" w:rsidR="00000000" w:rsidRPr="00000000">
        <w:rPr>
          <w:rFonts w:ascii="Palatino Linotype" w:cs="Palatino Linotype" w:eastAsia="Palatino Linotype" w:hAnsi="Palatino Linotype"/>
          <w:b w:val="1"/>
          <w:sz w:val="22"/>
          <w:szCs w:val="22"/>
          <w:rtl w:val="0"/>
        </w:rPr>
        <w:t xml:space="preserve">veintisiete de agosto de dos mil veinticinco</w:t>
      </w:r>
      <w:r w:rsidDel="00000000" w:rsidR="00000000" w:rsidRPr="00000000">
        <w:rPr>
          <w:rFonts w:ascii="Palatino Linotype" w:cs="Palatino Linotype" w:eastAsia="Palatino Linotype" w:hAnsi="Palatino Linotype"/>
          <w:sz w:val="22"/>
          <w:szCs w:val="22"/>
          <w:rtl w:val="0"/>
        </w:rPr>
        <w:t xml:space="preserve"> se citó a las partes a fin de que tuviera verificativo la Audiencia de conciliación por medio de la plataforma ZOOM (software para reuniones y videoconferencias), el día </w:t>
      </w:r>
      <w:r w:rsidDel="00000000" w:rsidR="00000000" w:rsidRPr="00000000">
        <w:rPr>
          <w:rFonts w:ascii="Palatino Linotype" w:cs="Palatino Linotype" w:eastAsia="Palatino Linotype" w:hAnsi="Palatino Linotype"/>
          <w:b w:val="1"/>
          <w:sz w:val="22"/>
          <w:szCs w:val="22"/>
          <w:rtl w:val="0"/>
        </w:rPr>
        <w:t xml:space="preserve">viernes, veintinueve de agosto de dos mil veinticinco</w:t>
      </w:r>
      <w:r w:rsidDel="00000000" w:rsidR="00000000" w:rsidRPr="00000000">
        <w:rPr>
          <w:rFonts w:ascii="Palatino Linotype" w:cs="Palatino Linotype" w:eastAsia="Palatino Linotype" w:hAnsi="Palatino Linotype"/>
          <w:sz w:val="22"/>
          <w:szCs w:val="22"/>
          <w:rtl w:val="0"/>
        </w:rPr>
        <w:t xml:space="preserve">.</w:t>
      </w:r>
    </w:p>
    <w:p w:rsidR="00000000" w:rsidDel="00000000" w:rsidP="00000000" w:rsidRDefault="00000000" w:rsidRPr="00000000" w14:paraId="00000022">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De esta manera, el </w:t>
      </w:r>
      <w:r w:rsidDel="00000000" w:rsidR="00000000" w:rsidRPr="00000000">
        <w:rPr>
          <w:rFonts w:ascii="Palatino Linotype" w:cs="Palatino Linotype" w:eastAsia="Palatino Linotype" w:hAnsi="Palatino Linotype"/>
          <w:b w:val="1"/>
          <w:sz w:val="22"/>
          <w:szCs w:val="22"/>
          <w:rtl w:val="0"/>
        </w:rPr>
        <w:t xml:space="preserve">veintinueve de agosto de dos mil veinticinco, a las nueve treinta horas </w:t>
      </w:r>
      <w:r w:rsidDel="00000000" w:rsidR="00000000" w:rsidRPr="00000000">
        <w:rPr>
          <w:rFonts w:ascii="Palatino Linotype" w:cs="Palatino Linotype" w:eastAsia="Palatino Linotype" w:hAnsi="Palatino Linotype"/>
          <w:sz w:val="22"/>
          <w:szCs w:val="22"/>
          <w:rtl w:val="0"/>
        </w:rPr>
        <w:t xml:space="preserve">se procedió al desahogo de la Audiencia de conciliación, a través de la plataforma ZOOM, con la presencia del Instituto de Transparencia, Acceso a la Información Pública y Protección de Datos Personales del Estado de México y Municipios, INFOEM, así como del </w:t>
      </w:r>
      <w:r w:rsidDel="00000000" w:rsidR="00000000" w:rsidRPr="00000000">
        <w:rPr>
          <w:rFonts w:ascii="Palatino Linotype" w:cs="Palatino Linotype" w:eastAsia="Palatino Linotype" w:hAnsi="Palatino Linotype"/>
          <w:b w:val="1"/>
          <w:sz w:val="22"/>
          <w:szCs w:val="22"/>
          <w:rtl w:val="0"/>
        </w:rPr>
        <w:t xml:space="preserve">Sujeto Obligado o Responsable</w:t>
      </w:r>
      <w:r w:rsidDel="00000000" w:rsidR="00000000" w:rsidRPr="00000000">
        <w:rPr>
          <w:rFonts w:ascii="Palatino Linotype" w:cs="Palatino Linotype" w:eastAsia="Palatino Linotype" w:hAnsi="Palatino Linotype"/>
          <w:sz w:val="22"/>
          <w:szCs w:val="22"/>
          <w:rtl w:val="0"/>
        </w:rPr>
        <w:t xml:space="preserve"> y de la parte</w:t>
      </w:r>
      <w:r w:rsidDel="00000000" w:rsidR="00000000" w:rsidRPr="00000000">
        <w:rPr>
          <w:rFonts w:ascii="Palatino Linotype" w:cs="Palatino Linotype" w:eastAsia="Palatino Linotype" w:hAnsi="Palatino Linotype"/>
          <w:b w:val="1"/>
          <w:sz w:val="22"/>
          <w:szCs w:val="22"/>
          <w:rtl w:val="0"/>
        </w:rPr>
        <w:t xml:space="preserve"> Recurrente</w:t>
      </w:r>
      <w:r w:rsidDel="00000000" w:rsidR="00000000" w:rsidRPr="00000000">
        <w:rPr>
          <w:rFonts w:ascii="Palatino Linotype" w:cs="Palatino Linotype" w:eastAsia="Palatino Linotype" w:hAnsi="Palatino Linotype"/>
          <w:sz w:val="22"/>
          <w:szCs w:val="22"/>
          <w:rtl w:val="0"/>
        </w:rPr>
        <w:t xml:space="preserve">, quienes se identificaron debidamente ante esta autoridad, expusieron sus posturas </w:t>
      </w:r>
      <w:r w:rsidDel="00000000" w:rsidR="00000000" w:rsidRPr="00000000">
        <w:rPr>
          <w:rFonts w:ascii="Palatino Linotype" w:cs="Palatino Linotype" w:eastAsia="Palatino Linotype" w:hAnsi="Palatino Linotype"/>
          <w:b w:val="1"/>
          <w:sz w:val="22"/>
          <w:szCs w:val="22"/>
          <w:rtl w:val="0"/>
        </w:rPr>
        <w:t xml:space="preserve">y </w:t>
      </w:r>
      <w:r w:rsidDel="00000000" w:rsidR="00000000" w:rsidRPr="00000000">
        <w:rPr>
          <w:rFonts w:ascii="Palatino Linotype" w:cs="Palatino Linotype" w:eastAsia="Palatino Linotype" w:hAnsi="Palatino Linotype"/>
          <w:sz w:val="22"/>
          <w:szCs w:val="22"/>
          <w:rtl w:val="0"/>
        </w:rPr>
        <w:t xml:space="preserve">como resultado de estas, se levantó el acta correspondiente. </w:t>
      </w:r>
    </w:p>
    <w:p w:rsidR="00000000" w:rsidDel="00000000" w:rsidP="00000000" w:rsidRDefault="00000000" w:rsidRPr="00000000" w14:paraId="00000023">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Es de precisar que medularmente en esta audiencia se expresaron las siguientes consideraciones:</w:t>
      </w:r>
    </w:p>
    <w:p w:rsidR="00000000" w:rsidDel="00000000" w:rsidP="00000000" w:rsidRDefault="00000000" w:rsidRPr="00000000" w14:paraId="00000024">
      <w:pPr>
        <w:spacing w:after="240" w:before="240" w:line="360" w:lineRule="auto"/>
        <w:ind w:right="43"/>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La persona solicitante, ahora Recurrente, señaló lo siguiente:</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240" w:line="360" w:lineRule="auto"/>
        <w:ind w:left="284" w:right="56" w:hanging="1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Indica que padece una condición de salud irreversible progresiva e incurable en estado avanzado, lo cual dificulta el desempeño de sus actividades diarias y laborales, toda vez que no puede estar de pie por periodos prolongados, como lo requieren las funciones que desempeña derivado de su cargo como Médico Especialista Ortopedista.</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284" w:right="56" w:hanging="1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Sin embargo, refiere que en el Dictamen Médico de Inhabilitación para la persona Servidora Pública, de fecha 6 de mayo de 2025, se colocó que podía realizar sus actividades laborales sin problemas y sin riesgos.</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240" w:before="0" w:line="360" w:lineRule="auto"/>
        <w:ind w:left="284" w:right="56" w:hanging="1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Refiere que requiere el Dictamen médico que señale el pronóstico asentado por el médico especialista de medicina interna Jair Francisco Martin Ramírez, en el Estudio Médico del 25 de febrero de 2025, que proporciono como documento adjunto en el recurso de revisión.</w:t>
      </w:r>
    </w:p>
    <w:p w:rsidR="00000000" w:rsidDel="00000000" w:rsidP="00000000" w:rsidRDefault="00000000" w:rsidRPr="00000000" w14:paraId="00000028">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Expuestas las manifestaciones de parte Recurrente, se procedió a iniciar el diálogo por parte del Sujeto Obligado, quien por conducto de su representante señaló lo siguiente:</w:t>
      </w:r>
    </w:p>
    <w:p w:rsidR="00000000" w:rsidDel="00000000" w:rsidP="00000000" w:rsidRDefault="00000000" w:rsidRPr="00000000" w14:paraId="00000029">
      <w:pPr>
        <w:spacing w:after="240" w:before="240" w:line="360" w:lineRule="auto"/>
        <w:ind w:left="284"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1. Que en ejercicio de sus atribuciones, el Director de la Clínica de Consulta Externa Ixtapaluca, adscrito a la Coordinación de Servicios de Salud, localizó el Dictamen Médico de Inhabilitación para la persona Servidora Pública, de fecha 6 de mayo de 2025, elaborado en la Clínica de Consulta Externa Tlalnepantla.</w:t>
      </w:r>
    </w:p>
    <w:p w:rsidR="00000000" w:rsidDel="00000000" w:rsidP="00000000" w:rsidRDefault="00000000" w:rsidRPr="00000000" w14:paraId="0000002A">
      <w:pPr>
        <w:spacing w:after="240" w:before="240" w:line="360" w:lineRule="auto"/>
        <w:ind w:left="284"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2. Que el Sujeto Obligado manifestó su disposición para proporcionar el documento referido, previa acreditación de la identidad de la persona solicitante.</w:t>
      </w:r>
    </w:p>
    <w:p w:rsidR="00000000" w:rsidDel="00000000" w:rsidP="00000000" w:rsidRDefault="00000000" w:rsidRPr="00000000" w14:paraId="0000002B">
      <w:pPr>
        <w:spacing w:after="240" w:before="240" w:line="360" w:lineRule="auto"/>
        <w:ind w:left="284"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3. Que el recurso de revisión versa sobre el contenido del Dictamen de referencia, situación que no es materia de acceso a datos personales, sino una valoración médica en la que se determine el estado de salud de la paciente.</w:t>
      </w:r>
    </w:p>
    <w:p w:rsidR="00000000" w:rsidDel="00000000" w:rsidP="00000000" w:rsidRDefault="00000000" w:rsidRPr="00000000" w14:paraId="0000002C">
      <w:pPr>
        <w:spacing w:after="240" w:before="240" w:line="360" w:lineRule="auto"/>
        <w:ind w:left="284"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4. Que el ejercicio del Derecho de acceso a datos personales no implica que Sujeto Obligado deba generar información para un fin determinado, como el que refiere la persona solicitante.</w:t>
      </w:r>
    </w:p>
    <w:p w:rsidR="00000000" w:rsidDel="00000000" w:rsidP="00000000" w:rsidRDefault="00000000" w:rsidRPr="00000000" w14:paraId="0000002D">
      <w:pPr>
        <w:spacing w:after="240" w:before="240" w:line="360" w:lineRule="auto"/>
        <w:ind w:left="284"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5. Asimismo, que la pretensión de la parte Recurrente tampoco se relaciona con una rectificación de datos personales, esto es, con el fin de que se asiente en el Dictamen la condición médica que refiere, sino que conlleva se realice una valoración en Medicina del Trabajo.</w:t>
      </w:r>
    </w:p>
    <w:p w:rsidR="00000000" w:rsidDel="00000000" w:rsidP="00000000" w:rsidRDefault="00000000" w:rsidRPr="00000000" w14:paraId="0000002E">
      <w:pPr>
        <w:spacing w:after="240" w:before="240" w:line="360" w:lineRule="auto"/>
        <w:ind w:left="284"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6. Reitera que únicamente está en posibilidad de proporcionar a la parte Recurrente el Dictamen Médico de Inhabilitación para la persona Servidora Pública, de fecha 6 de mayo de 2025, como fue generado y como obra en sus archivos, vía SARCOEM y correo electrónico, al haberse acreditado la identidad de la persona solicitante.</w:t>
      </w:r>
    </w:p>
    <w:p w:rsidR="00000000" w:rsidDel="00000000" w:rsidP="00000000" w:rsidRDefault="00000000" w:rsidRPr="00000000" w14:paraId="0000002F">
      <w:pPr>
        <w:spacing w:after="240" w:before="240" w:line="360" w:lineRule="auto"/>
        <w:ind w:left="-4" w:right="43" w:hanging="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Una vez concluida esta etapa, el </w:t>
      </w:r>
      <w:r w:rsidDel="00000000" w:rsidR="00000000" w:rsidRPr="00000000">
        <w:rPr>
          <w:rFonts w:ascii="Palatino Linotype" w:cs="Palatino Linotype" w:eastAsia="Palatino Linotype" w:hAnsi="Palatino Linotype"/>
          <w:b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manifestó que procedería a realizar la entrega de la información e integrar al expediente electrónico del Sistema de Acceso, Rectificación, Cancelación y Oposición del Estado de México, SARCOEM, el soporte documental mediante el cual acreditará que entregó la información antes mencionada.</w:t>
      </w:r>
    </w:p>
    <w:p w:rsidR="00000000" w:rsidDel="00000000" w:rsidP="00000000" w:rsidRDefault="00000000" w:rsidRPr="00000000" w14:paraId="00000030">
      <w:pPr>
        <w:spacing w:after="240" w:before="240" w:line="360" w:lineRule="auto"/>
        <w:ind w:left="11" w:right="43" w:hanging="1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Posteriormente, se procedió a preguntar a </w:t>
      </w:r>
      <w:r w:rsidDel="00000000" w:rsidR="00000000" w:rsidRPr="00000000">
        <w:rPr>
          <w:rFonts w:ascii="Palatino Linotype" w:cs="Palatino Linotype" w:eastAsia="Palatino Linotype" w:hAnsi="Palatino Linotype"/>
          <w:b w:val="1"/>
          <w:sz w:val="22"/>
          <w:szCs w:val="22"/>
          <w:rtl w:val="0"/>
        </w:rPr>
        <w:t xml:space="preserve">la parte Recurrente</w:t>
      </w:r>
      <w:r w:rsidDel="00000000" w:rsidR="00000000" w:rsidRPr="00000000">
        <w:rPr>
          <w:rFonts w:ascii="Palatino Linotype" w:cs="Palatino Linotype" w:eastAsia="Palatino Linotype" w:hAnsi="Palatino Linotype"/>
          <w:sz w:val="22"/>
          <w:szCs w:val="22"/>
          <w:rtl w:val="0"/>
        </w:rPr>
        <w:t xml:space="preserve"> si se encontraba conforme con lo expresado por el </w:t>
      </w:r>
      <w:r w:rsidDel="00000000" w:rsidR="00000000" w:rsidRPr="00000000">
        <w:rPr>
          <w:rFonts w:ascii="Palatino Linotype" w:cs="Palatino Linotype" w:eastAsia="Palatino Linotype" w:hAnsi="Palatino Linotype"/>
          <w:b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a lo cual, respondió en sentido afirmativo. </w:t>
      </w:r>
    </w:p>
    <w:p w:rsidR="00000000" w:rsidDel="00000000" w:rsidP="00000000" w:rsidRDefault="00000000" w:rsidRPr="00000000" w14:paraId="00000031">
      <w:pPr>
        <w:spacing w:after="240" w:before="240" w:line="360" w:lineRule="auto"/>
        <w:ind w:left="11" w:right="43" w:hanging="1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8. De la recepción de la información.</w:t>
      </w:r>
      <w:r w:rsidDel="00000000" w:rsidR="00000000" w:rsidRPr="00000000">
        <w:rPr>
          <w:rFonts w:ascii="Palatino Linotype" w:cs="Palatino Linotype" w:eastAsia="Palatino Linotype" w:hAnsi="Palatino Linotype"/>
          <w:sz w:val="22"/>
          <w:szCs w:val="22"/>
          <w:rtl w:val="0"/>
        </w:rPr>
        <w:t xml:space="preserve"> En fecha </w:t>
      </w:r>
      <w:r w:rsidDel="00000000" w:rsidR="00000000" w:rsidRPr="00000000">
        <w:rPr>
          <w:rFonts w:ascii="Palatino Linotype" w:cs="Palatino Linotype" w:eastAsia="Palatino Linotype" w:hAnsi="Palatino Linotype"/>
          <w:b w:val="1"/>
          <w:sz w:val="22"/>
          <w:szCs w:val="22"/>
          <w:rtl w:val="0"/>
        </w:rPr>
        <w:t xml:space="preserve">veintinueve de agosto de dos mil veinticinco</w:t>
      </w:r>
      <w:r w:rsidDel="00000000" w:rsidR="00000000" w:rsidRPr="00000000">
        <w:rPr>
          <w:rFonts w:ascii="Palatino Linotype" w:cs="Palatino Linotype" w:eastAsia="Palatino Linotype" w:hAnsi="Palatino Linotype"/>
          <w:sz w:val="22"/>
          <w:szCs w:val="22"/>
          <w:rtl w:val="0"/>
        </w:rPr>
        <w:t xml:space="preserve">, el </w:t>
      </w:r>
      <w:r w:rsidDel="00000000" w:rsidR="00000000" w:rsidRPr="00000000">
        <w:rPr>
          <w:rFonts w:ascii="Palatino Linotype" w:cs="Palatino Linotype" w:eastAsia="Palatino Linotype" w:hAnsi="Palatino Linotype"/>
          <w:b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remitió a este Instituto Garante a través del Sistema de Acceso, Rectificación, Cancelación y Oposición del Estado de México (SARCOEM)</w:t>
      </w:r>
      <w:r w:rsidDel="00000000" w:rsidR="00000000" w:rsidRPr="00000000">
        <w:rPr>
          <w:rFonts w:ascii="Palatino Linotype" w:cs="Palatino Linotype" w:eastAsia="Palatino Linotype" w:hAnsi="Palatino Linotype"/>
          <w:b w:val="1"/>
          <w:sz w:val="22"/>
          <w:szCs w:val="22"/>
          <w:rtl w:val="0"/>
        </w:rPr>
        <w:t xml:space="preserve">, </w:t>
      </w:r>
      <w:r w:rsidDel="00000000" w:rsidR="00000000" w:rsidRPr="00000000">
        <w:rPr>
          <w:rFonts w:ascii="Palatino Linotype" w:cs="Palatino Linotype" w:eastAsia="Palatino Linotype" w:hAnsi="Palatino Linotype"/>
          <w:sz w:val="22"/>
          <w:szCs w:val="22"/>
          <w:rtl w:val="0"/>
        </w:rPr>
        <w:t xml:space="preserve">lo siguiente:</w:t>
      </w:r>
    </w:p>
    <w:p w:rsidR="00000000" w:rsidDel="00000000" w:rsidP="00000000" w:rsidRDefault="00000000" w:rsidRPr="00000000" w14:paraId="00000032">
      <w:pPr>
        <w:spacing w:after="240" w:before="240" w:line="360" w:lineRule="auto"/>
        <w:ind w:left="284" w:right="51"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w:t>
      </w:r>
      <w:r w:rsidDel="00000000" w:rsidR="00000000" w:rsidRPr="00000000">
        <w:rPr>
          <w:rFonts w:ascii="Palatino Linotype" w:cs="Palatino Linotype" w:eastAsia="Palatino Linotype" w:hAnsi="Palatino Linotype"/>
          <w:sz w:val="22"/>
          <w:szCs w:val="22"/>
          <w:rtl w:val="0"/>
        </w:rPr>
        <w:t xml:space="preserve"> Dictamen Médico de Inhabilitación para la persona servidora pública del 06 de mayo de 2025, constante de dos hojas.</w:t>
      </w:r>
    </w:p>
    <w:p w:rsidR="00000000" w:rsidDel="00000000" w:rsidP="00000000" w:rsidRDefault="00000000" w:rsidRPr="00000000" w14:paraId="00000033">
      <w:pPr>
        <w:spacing w:after="240" w:before="240" w:line="360" w:lineRule="auto"/>
        <w:ind w:left="284" w:right="51"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 </w:t>
      </w:r>
      <w:r w:rsidDel="00000000" w:rsidR="00000000" w:rsidRPr="00000000">
        <w:rPr>
          <w:rFonts w:ascii="Palatino Linotype" w:cs="Palatino Linotype" w:eastAsia="Palatino Linotype" w:hAnsi="Palatino Linotype"/>
          <w:sz w:val="22"/>
          <w:szCs w:val="22"/>
          <w:rtl w:val="0"/>
        </w:rPr>
        <w:t xml:space="preserve">Captura de pantalla que da cuenta de la acreditación de la identidad y la personalidad de la parte </w:t>
      </w:r>
      <w:r w:rsidDel="00000000" w:rsidR="00000000" w:rsidRPr="00000000">
        <w:rPr>
          <w:rFonts w:ascii="Palatino Linotype" w:cs="Palatino Linotype" w:eastAsia="Palatino Linotype" w:hAnsi="Palatino Linotype"/>
          <w:b w:val="1"/>
          <w:sz w:val="22"/>
          <w:szCs w:val="22"/>
          <w:rtl w:val="0"/>
        </w:rPr>
        <w:t xml:space="preserve">Recurrente</w:t>
      </w:r>
      <w:r w:rsidDel="00000000" w:rsidR="00000000" w:rsidRPr="00000000">
        <w:rPr>
          <w:rFonts w:ascii="Palatino Linotype" w:cs="Palatino Linotype" w:eastAsia="Palatino Linotype" w:hAnsi="Palatino Linotype"/>
          <w:sz w:val="22"/>
          <w:szCs w:val="22"/>
          <w:rtl w:val="0"/>
        </w:rPr>
        <w:t xml:space="preserve"> por medio de su credencial para votar expedida por el Instituto Nacional Electoral.</w:t>
      </w:r>
    </w:p>
    <w:p w:rsidR="00000000" w:rsidDel="00000000" w:rsidP="00000000" w:rsidRDefault="00000000" w:rsidRPr="00000000" w14:paraId="00000034">
      <w:pPr>
        <w:spacing w:after="240" w:before="240" w:line="360" w:lineRule="auto"/>
        <w:ind w:left="284" w:right="43"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 Correo electrónico mediante el cual el </w:t>
      </w:r>
      <w:r w:rsidDel="00000000" w:rsidR="00000000" w:rsidRPr="00000000">
        <w:rPr>
          <w:rFonts w:ascii="Palatino Linotype" w:cs="Palatino Linotype" w:eastAsia="Palatino Linotype" w:hAnsi="Palatino Linotype"/>
          <w:b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remitió a la parte </w:t>
      </w:r>
      <w:r w:rsidDel="00000000" w:rsidR="00000000" w:rsidRPr="00000000">
        <w:rPr>
          <w:rFonts w:ascii="Palatino Linotype" w:cs="Palatino Linotype" w:eastAsia="Palatino Linotype" w:hAnsi="Palatino Linotype"/>
          <w:b w:val="1"/>
          <w:sz w:val="22"/>
          <w:szCs w:val="22"/>
          <w:rtl w:val="0"/>
        </w:rPr>
        <w:t xml:space="preserve">Recurrente</w:t>
      </w:r>
      <w:r w:rsidDel="00000000" w:rsidR="00000000" w:rsidRPr="00000000">
        <w:rPr>
          <w:rFonts w:ascii="Palatino Linotype" w:cs="Palatino Linotype" w:eastAsia="Palatino Linotype" w:hAnsi="Palatino Linotype"/>
          <w:sz w:val="22"/>
          <w:szCs w:val="22"/>
          <w:rtl w:val="0"/>
        </w:rPr>
        <w:t xml:space="preserve"> el Dictamen de Inhabilitación para la persona Servidora Pública, de fecha 06 de mayo de 2025 elaborado en la Clínica de Consulta Externa Tlalnepantla, precisando que es la única información que obra en los archivos de este Instituto.</w:t>
      </w:r>
    </w:p>
    <w:p w:rsidR="00000000" w:rsidDel="00000000" w:rsidP="00000000" w:rsidRDefault="00000000" w:rsidRPr="00000000" w14:paraId="00000035">
      <w:pPr>
        <w:spacing w:line="360" w:lineRule="auto"/>
        <w:ind w:left="11" w:right="43" w:hanging="10"/>
        <w:jc w:val="both"/>
        <w:rPr>
          <w:rFonts w:ascii="Palatino Linotype" w:cs="Palatino Linotype" w:eastAsia="Palatino Linotype" w:hAnsi="Palatino Linotype"/>
          <w:sz w:val="22"/>
          <w:szCs w:val="22"/>
        </w:rPr>
      </w:pPr>
      <w:bookmarkStart w:colFirst="0" w:colLast="0" w:name="_heading=h.jas0wh4gep06" w:id="9"/>
      <w:bookmarkEnd w:id="9"/>
      <w:r w:rsidDel="00000000" w:rsidR="00000000" w:rsidRPr="00000000">
        <w:rPr>
          <w:rFonts w:ascii="Palatino Linotype" w:cs="Palatino Linotype" w:eastAsia="Palatino Linotype" w:hAnsi="Palatino Linotype"/>
          <w:b w:val="1"/>
          <w:sz w:val="22"/>
          <w:szCs w:val="22"/>
          <w:rtl w:val="0"/>
        </w:rPr>
        <w:t xml:space="preserve">11. Cierre de instrucción. </w:t>
      </w:r>
      <w:r w:rsidDel="00000000" w:rsidR="00000000" w:rsidRPr="00000000">
        <w:rPr>
          <w:rFonts w:ascii="Palatino Linotype" w:cs="Palatino Linotype" w:eastAsia="Palatino Linotype" w:hAnsi="Palatino Linotype"/>
          <w:sz w:val="22"/>
          <w:szCs w:val="22"/>
          <w:rtl w:val="0"/>
        </w:rPr>
        <w:t xml:space="preserve">Atendiendo que se llegó a un acuerdo en etapa de conciliación y se dio cumplimiento al mismo, el </w:t>
      </w:r>
      <w:r w:rsidDel="00000000" w:rsidR="00000000" w:rsidRPr="00000000">
        <w:rPr>
          <w:rFonts w:ascii="Palatino Linotype" w:cs="Palatino Linotype" w:eastAsia="Palatino Linotype" w:hAnsi="Palatino Linotype"/>
          <w:b w:val="1"/>
          <w:sz w:val="22"/>
          <w:szCs w:val="22"/>
          <w:rtl w:val="0"/>
        </w:rPr>
        <w:t xml:space="preserve">nueve de septiembre de dos mil veinticinco, </w:t>
      </w:r>
      <w:r w:rsidDel="00000000" w:rsidR="00000000" w:rsidRPr="00000000">
        <w:rPr>
          <w:rFonts w:ascii="Palatino Linotype" w:cs="Palatino Linotype" w:eastAsia="Palatino Linotype" w:hAnsi="Palatino Linotype"/>
          <w:sz w:val="22"/>
          <w:szCs w:val="22"/>
          <w:rtl w:val="0"/>
        </w:rPr>
        <w:t xml:space="preserve">la Comisionada Ponente determinó el cierre de instrucción en términos de los artículos 127, 132 fracción VI de la Ley de Protección de Datos Personales en Posesión de Sujetos Obligados del Estado de México y Municipios, y 185, fracción VI del artículo de la Ley de Transparencia y Acceso a la Información Pública del Estado de México y Municipios, de aplicación supletoria.</w:t>
      </w:r>
    </w:p>
    <w:p w:rsidR="00000000" w:rsidDel="00000000" w:rsidP="00000000" w:rsidRDefault="00000000" w:rsidRPr="00000000" w14:paraId="00000036">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razón de que fue debidamente sustanciado el expediente electrónico y no existe diligencia pendiente de desahogo, se emite la Resolución que conforme a Derecho proceda, de acuerdo con los siguientes: </w:t>
      </w:r>
    </w:p>
    <w:p w:rsidR="00000000" w:rsidDel="00000000" w:rsidP="00000000" w:rsidRDefault="00000000" w:rsidRPr="00000000" w14:paraId="00000037">
      <w:pPr>
        <w:spacing w:after="240" w:before="240"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8">
      <w:pPr>
        <w:widowControl w:val="0"/>
        <w:spacing w:after="240" w:before="240" w:line="360" w:lineRule="auto"/>
        <w:jc w:val="cente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II. C O N S I D E R A N D O S</w:t>
      </w:r>
    </w:p>
    <w:p w:rsidR="00000000" w:rsidDel="00000000" w:rsidP="00000000" w:rsidRDefault="00000000" w:rsidRPr="00000000" w14:paraId="00000039">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Primero. Competencia.</w:t>
      </w:r>
      <w:r w:rsidDel="00000000" w:rsidR="00000000" w:rsidRPr="00000000">
        <w:rPr>
          <w:rFonts w:ascii="Palatino Linotype" w:cs="Palatino Linotype" w:eastAsia="Palatino Linotype" w:hAnsi="Palatino Linotype"/>
          <w:sz w:val="22"/>
          <w:szCs w:val="22"/>
          <w:rtl w:val="0"/>
        </w:rPr>
        <w:t xml:space="preserve"> El Instituto de Transparencia, Acceso a la Información Pública y Protección de Datos Personales del Estado de México y Municipios, es competente para conocer y resolver el presente recurso de revisión interpuesto por la parte</w:t>
      </w:r>
      <w:r w:rsidDel="00000000" w:rsidR="00000000" w:rsidRPr="00000000">
        <w:rPr>
          <w:rFonts w:ascii="Palatino Linotype" w:cs="Palatino Linotype" w:eastAsia="Palatino Linotype" w:hAnsi="Palatino Linotype"/>
          <w:b w:val="1"/>
          <w:sz w:val="22"/>
          <w:szCs w:val="22"/>
          <w:rtl w:val="0"/>
        </w:rPr>
        <w:t xml:space="preserve"> Recurrente</w:t>
      </w:r>
      <w:r w:rsidDel="00000000" w:rsidR="00000000" w:rsidRPr="00000000">
        <w:rPr>
          <w:rFonts w:ascii="Palatino Linotype" w:cs="Palatino Linotype" w:eastAsia="Palatino Linotype" w:hAnsi="Palatino Linotype"/>
          <w:sz w:val="22"/>
          <w:szCs w:val="22"/>
          <w:rtl w:val="0"/>
        </w:rPr>
        <w:t xml:space="preserve">, conforme a lo dispuesto en los artículos 6, apartado A de la Constitución Política de los Estados Unidos Mexicanos; 5 párrafos trigésimo noveno, cuadragésimo y cuadragésimo primero, fracción IV de la Constitución Política del Estado Libre y Soberano de México;  1, 8, 9, 10, 34 y 35 fracciones I, II y III, de la Ley General de Transparencia y Acceso a la Información Pública, vigente a la fecha de la solicitud; 1, 2, fracciones II y IV; 13, 29, 36, fracciones I y II; 176, 178, 179, 181 párrafo tercero, 185, 188 y 189 de la Ley de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vigente a la fecha de la solicitud; así como los artículos 1, 4, fracción XXII, 81, 82, fracción III, 119 y 137 de la Ley de Protección de Datos Personales en Posesión de Sujetos Obligados del Estado de México y Municipios; 9, fracciones I y XXIII y 11 del Reglamento Interior del Instituto de Transparencia, Acceso a la Información Pública y Protección de Datos Personales del Estado de México y Municipios.</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Segundo. Legitimación. </w:t>
      </w:r>
      <w:r w:rsidDel="00000000" w:rsidR="00000000" w:rsidRPr="00000000">
        <w:rPr>
          <w:rFonts w:ascii="Palatino Linotype" w:cs="Palatino Linotype" w:eastAsia="Palatino Linotype" w:hAnsi="Palatino Linotype"/>
          <w:sz w:val="22"/>
          <w:szCs w:val="22"/>
          <w:rtl w:val="0"/>
        </w:rPr>
        <w:t xml:space="preserve">El recurso de revisión fue interpuesto por la parte </w:t>
      </w:r>
      <w:r w:rsidDel="00000000" w:rsidR="00000000" w:rsidRPr="00000000">
        <w:rPr>
          <w:rFonts w:ascii="Palatino Linotype" w:cs="Palatino Linotype" w:eastAsia="Palatino Linotype" w:hAnsi="Palatino Linotype"/>
          <w:b w:val="1"/>
          <w:sz w:val="22"/>
          <w:szCs w:val="22"/>
          <w:rtl w:val="0"/>
        </w:rPr>
        <w:t xml:space="preserve">Recurrente,</w:t>
      </w:r>
      <w:r w:rsidDel="00000000" w:rsidR="00000000" w:rsidRPr="00000000">
        <w:rPr>
          <w:rFonts w:ascii="Palatino Linotype" w:cs="Palatino Linotype" w:eastAsia="Palatino Linotype" w:hAnsi="Palatino Linotype"/>
          <w:sz w:val="22"/>
          <w:szCs w:val="22"/>
          <w:rtl w:val="0"/>
        </w:rPr>
        <w:t xml:space="preserve"> quién a su vez, formuló la solicitud de acceso de datos personales</w:t>
      </w:r>
      <w:r w:rsidDel="00000000" w:rsidR="00000000" w:rsidRPr="00000000">
        <w:rPr>
          <w:rFonts w:ascii="Palatino Linotype" w:cs="Palatino Linotype" w:eastAsia="Palatino Linotype" w:hAnsi="Palatino Linotype"/>
          <w:b w:val="1"/>
          <w:sz w:val="22"/>
          <w:szCs w:val="22"/>
          <w:rtl w:val="0"/>
        </w:rPr>
        <w:t xml:space="preserve"> 00829/ISSEMYM/AD/2025</w:t>
      </w:r>
      <w:r w:rsidDel="00000000" w:rsidR="00000000" w:rsidRPr="00000000">
        <w:rPr>
          <w:rFonts w:ascii="Palatino Linotype" w:cs="Palatino Linotype" w:eastAsia="Palatino Linotype" w:hAnsi="Palatino Linotype"/>
          <w:sz w:val="22"/>
          <w:szCs w:val="22"/>
          <w:rtl w:val="0"/>
        </w:rPr>
        <w:t xml:space="preserve">, ante </w:t>
      </w:r>
      <w:r w:rsidDel="00000000" w:rsidR="00000000" w:rsidRPr="00000000">
        <w:rPr>
          <w:rFonts w:ascii="Palatino Linotype" w:cs="Palatino Linotype" w:eastAsia="Palatino Linotype" w:hAnsi="Palatino Linotype"/>
          <w:b w:val="1"/>
          <w:sz w:val="22"/>
          <w:szCs w:val="22"/>
          <w:rtl w:val="0"/>
        </w:rPr>
        <w:t xml:space="preserve">el</w:t>
      </w:r>
      <w:r w:rsidDel="00000000" w:rsidR="00000000" w:rsidRPr="00000000">
        <w:rPr>
          <w:rFonts w:ascii="Palatino Linotype" w:cs="Palatino Linotype" w:eastAsia="Palatino Linotype" w:hAnsi="Palatino Linotype"/>
          <w:sz w:val="22"/>
          <w:szCs w:val="22"/>
          <w:rtl w:val="0"/>
        </w:rPr>
        <w:t xml:space="preserve"> </w:t>
      </w:r>
      <w:r w:rsidDel="00000000" w:rsidR="00000000" w:rsidRPr="00000000">
        <w:rPr>
          <w:rFonts w:ascii="Palatino Linotype" w:cs="Palatino Linotype" w:eastAsia="Palatino Linotype" w:hAnsi="Palatino Linotype"/>
          <w:b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de conformidad con lo establecido en los artículos 97, 106, párrafo tercero, 110, fracción II, y 130 fracción VI,  de la Ley de Protección de Datos Personales en Posesión de Sujetos Obligados del Estado de México y Municipios.</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Tercero. Causales de Improcedencia y Sobreseimiento</w:t>
      </w:r>
      <w:r w:rsidDel="00000000" w:rsidR="00000000" w:rsidRPr="00000000">
        <w:rPr>
          <w:rFonts w:ascii="Palatino Linotype" w:cs="Palatino Linotype" w:eastAsia="Palatino Linotype" w:hAnsi="Palatino Linotype"/>
          <w:sz w:val="22"/>
          <w:szCs w:val="22"/>
          <w:rtl w:val="0"/>
        </w:rPr>
        <w:t xml:space="preserve">. 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w:t>
      </w:r>
    </w:p>
    <w:p w:rsidR="00000000" w:rsidDel="00000000" w:rsidP="00000000" w:rsidRDefault="00000000" w:rsidRPr="00000000" w14:paraId="0000003C">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 Causales de improcedencia</w:t>
      </w:r>
      <w:r w:rsidDel="00000000" w:rsidR="00000000" w:rsidRPr="00000000">
        <w:rPr>
          <w:rFonts w:ascii="Palatino Linotype" w:cs="Palatino Linotype" w:eastAsia="Palatino Linotype" w:hAnsi="Palatino Linotype"/>
          <w:sz w:val="22"/>
          <w:szCs w:val="22"/>
          <w:rtl w:val="0"/>
        </w:rPr>
        <w:t xml:space="preserve">. 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de haber resuelto sobre la materia del medio de impugnación que nos ocupa; se actualiza la causal de procedencia prevista por el artículo 129, fracciones XI y XII de la Ley en cita; no se tiene conocimiento que ante Tribunales competentes se esté tramitando algún recurso o medio de defensa en contra del acto recurrido ante este Instituto; el Particular no modificó ni amplió su solicitud de acceso a datos personales y; finalmente el Particular acreditó el interés jurídico para efectos de interponer el medio de impugnación que nos ocupa. </w:t>
      </w:r>
    </w:p>
    <w:p w:rsidR="00000000" w:rsidDel="00000000" w:rsidP="00000000" w:rsidRDefault="00000000" w:rsidRPr="00000000" w14:paraId="0000003D">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 Causales de sobreseimiento.</w:t>
      </w:r>
      <w:r w:rsidDel="00000000" w:rsidR="00000000" w:rsidRPr="00000000">
        <w:rPr>
          <w:rFonts w:ascii="Palatino Linotype" w:cs="Palatino Linotype" w:eastAsia="Palatino Linotype" w:hAnsi="Palatino Linotype"/>
          <w:sz w:val="22"/>
          <w:szCs w:val="22"/>
          <w:rtl w:val="0"/>
        </w:rPr>
        <w:t xml:space="preserve"> Por otra parte, el artículo 139, de la Ley de Protección de Datos Personales en Posesión de Sujetos Obligados del Estado de México y Municipios, señala que el Recurso de Revisión será sobreseído cuando una vez admitido, se actualice algún de los supuestos siguientes:</w:t>
      </w:r>
    </w:p>
    <w:p w:rsidR="00000000" w:rsidDel="00000000" w:rsidP="00000000" w:rsidRDefault="00000000" w:rsidRPr="00000000" w14:paraId="0000003E">
      <w:pPr>
        <w:numPr>
          <w:ilvl w:val="0"/>
          <w:numId w:val="1"/>
        </w:numPr>
        <w:tabs>
          <w:tab w:val="left" w:leader="none" w:pos="567"/>
        </w:tabs>
        <w:spacing w:after="240" w:before="240" w:line="360" w:lineRule="auto"/>
        <w:ind w:left="284"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El recurrente se desista expresamente.</w:t>
      </w:r>
    </w:p>
    <w:p w:rsidR="00000000" w:rsidDel="00000000" w:rsidP="00000000" w:rsidRDefault="00000000" w:rsidRPr="00000000" w14:paraId="0000003F">
      <w:pPr>
        <w:numPr>
          <w:ilvl w:val="0"/>
          <w:numId w:val="1"/>
        </w:numPr>
        <w:tabs>
          <w:tab w:val="left" w:leader="none" w:pos="567"/>
        </w:tabs>
        <w:spacing w:after="240" w:before="240" w:line="360" w:lineRule="auto"/>
        <w:ind w:left="284"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El recurrente fallezca. </w:t>
      </w:r>
    </w:p>
    <w:p w:rsidR="00000000" w:rsidDel="00000000" w:rsidP="00000000" w:rsidRDefault="00000000" w:rsidRPr="00000000" w14:paraId="00000040">
      <w:pPr>
        <w:numPr>
          <w:ilvl w:val="0"/>
          <w:numId w:val="1"/>
        </w:numPr>
        <w:tabs>
          <w:tab w:val="left" w:leader="none" w:pos="567"/>
        </w:tabs>
        <w:spacing w:after="240" w:before="240" w:line="360" w:lineRule="auto"/>
        <w:ind w:left="284"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Admitido el recurso de revisión, se actualice alguna causal de improcedencia en los términos de la presente Ley. </w:t>
      </w:r>
    </w:p>
    <w:p w:rsidR="00000000" w:rsidDel="00000000" w:rsidP="00000000" w:rsidRDefault="00000000" w:rsidRPr="00000000" w14:paraId="00000041">
      <w:pPr>
        <w:numPr>
          <w:ilvl w:val="0"/>
          <w:numId w:val="1"/>
        </w:numPr>
        <w:tabs>
          <w:tab w:val="left" w:leader="none" w:pos="567"/>
        </w:tabs>
        <w:spacing w:after="240" w:before="240" w:line="360" w:lineRule="auto"/>
        <w:ind w:left="284"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El responsable modifique o revoque su respuesta de tal manera que el recurso de revisión quede sin materia. </w:t>
      </w:r>
    </w:p>
    <w:p w:rsidR="00000000" w:rsidDel="00000000" w:rsidP="00000000" w:rsidRDefault="00000000" w:rsidRPr="00000000" w14:paraId="00000042">
      <w:pPr>
        <w:numPr>
          <w:ilvl w:val="0"/>
          <w:numId w:val="1"/>
        </w:numPr>
        <w:tabs>
          <w:tab w:val="left" w:leader="none" w:pos="567"/>
        </w:tabs>
        <w:spacing w:after="240" w:before="240" w:line="360" w:lineRule="auto"/>
        <w:ind w:left="284" w:firstLine="0"/>
        <w:jc w:val="both"/>
        <w:rPr>
          <w:rFonts w:ascii="Palatino Linotype" w:cs="Palatino Linotype" w:eastAsia="Palatino Linotype" w:hAnsi="Palatino Linotype"/>
          <w:b w:val="1"/>
          <w:sz w:val="22"/>
          <w:szCs w:val="22"/>
          <w:u w:val="single"/>
        </w:rPr>
      </w:pPr>
      <w:r w:rsidDel="00000000" w:rsidR="00000000" w:rsidRPr="00000000">
        <w:rPr>
          <w:rFonts w:ascii="Palatino Linotype" w:cs="Palatino Linotype" w:eastAsia="Palatino Linotype" w:hAnsi="Palatino Linotype"/>
          <w:b w:val="1"/>
          <w:sz w:val="22"/>
          <w:szCs w:val="22"/>
          <w:u w:val="single"/>
          <w:rtl w:val="0"/>
        </w:rPr>
        <w:t xml:space="preserve">Quede sin materia el recurso de revisión. </w:t>
      </w:r>
    </w:p>
    <w:p w:rsidR="00000000" w:rsidDel="00000000" w:rsidP="00000000" w:rsidRDefault="00000000" w:rsidRPr="00000000" w14:paraId="00000043">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Con base en las actuaciones efectuadas por las partes durante el procedimiento de acceso a datos personales, se estima procedente analizar si el recurso de revisión actualiza la causal de sobreseimiento prevista en la fracción V del artículo en cita, para lo cual es necesario realizar la relatoría de dichas actuaciones, con el propósito de dar claridad en el tratamiento del tema en estudio.</w:t>
      </w:r>
    </w:p>
    <w:p w:rsidR="00000000" w:rsidDel="00000000" w:rsidP="00000000" w:rsidRDefault="00000000" w:rsidRPr="00000000" w14:paraId="00000044">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Cuarto. Análisis de la Causal de sobreseimiento. </w:t>
      </w:r>
      <w:r w:rsidDel="00000000" w:rsidR="00000000" w:rsidRPr="00000000">
        <w:rPr>
          <w:rFonts w:ascii="Palatino Linotype" w:cs="Palatino Linotype" w:eastAsia="Palatino Linotype" w:hAnsi="Palatino Linotype"/>
          <w:sz w:val="22"/>
          <w:szCs w:val="22"/>
          <w:rtl w:val="0"/>
        </w:rPr>
        <w:t xml:space="preserve">Ahora bien, con la finalidad de verificar si el acto descrito deja sin materia el presente Recurso de Revisión, se realizará la relatoría de las actuaciones efectuadas por las partes durante el procedimiento de acceso a datos personales, con el propósito de dar claridad en el tratamiento del tema en estudio.</w:t>
      </w:r>
    </w:p>
    <w:p w:rsidR="00000000" w:rsidDel="00000000" w:rsidP="00000000" w:rsidRDefault="00000000" w:rsidRPr="00000000" w14:paraId="00000045">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Tal y como quedó asentado</w:t>
      </w:r>
      <w:r w:rsidDel="00000000" w:rsidR="00000000" w:rsidRPr="00000000">
        <w:rPr>
          <w:rFonts w:ascii="Palatino Linotype" w:cs="Palatino Linotype" w:eastAsia="Palatino Linotype" w:hAnsi="Palatino Linotype"/>
          <w:b w:val="1"/>
          <w:sz w:val="22"/>
          <w:szCs w:val="22"/>
          <w:rtl w:val="0"/>
        </w:rPr>
        <w:t xml:space="preserve"> </w:t>
      </w:r>
      <w:r w:rsidDel="00000000" w:rsidR="00000000" w:rsidRPr="00000000">
        <w:rPr>
          <w:rFonts w:ascii="Palatino Linotype" w:cs="Palatino Linotype" w:eastAsia="Palatino Linotype" w:hAnsi="Palatino Linotype"/>
          <w:sz w:val="22"/>
          <w:szCs w:val="22"/>
          <w:rtl w:val="0"/>
        </w:rPr>
        <w:t xml:space="preserve">en el antecedente uno de la presente resolución, la </w:t>
      </w:r>
      <w:r w:rsidDel="00000000" w:rsidR="00000000" w:rsidRPr="00000000">
        <w:rPr>
          <w:rFonts w:ascii="Palatino Linotype" w:cs="Palatino Linotype" w:eastAsia="Palatino Linotype" w:hAnsi="Palatino Linotype"/>
          <w:b w:val="1"/>
          <w:sz w:val="22"/>
          <w:szCs w:val="22"/>
          <w:rtl w:val="0"/>
        </w:rPr>
        <w:t xml:space="preserve">parte Recurrente</w:t>
      </w:r>
      <w:r w:rsidDel="00000000" w:rsidR="00000000" w:rsidRPr="00000000">
        <w:rPr>
          <w:rFonts w:ascii="Palatino Linotype" w:cs="Palatino Linotype" w:eastAsia="Palatino Linotype" w:hAnsi="Palatino Linotype"/>
          <w:sz w:val="22"/>
          <w:szCs w:val="22"/>
          <w:rtl w:val="0"/>
        </w:rPr>
        <w:t xml:space="preserve"> requirió al </w:t>
      </w:r>
      <w:r w:rsidDel="00000000" w:rsidR="00000000" w:rsidRPr="00000000">
        <w:rPr>
          <w:rFonts w:ascii="Palatino Linotype" w:cs="Palatino Linotype" w:eastAsia="Palatino Linotype" w:hAnsi="Palatino Linotype"/>
          <w:b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el Dictamen de Medicina del Trabajo, del cual es titular, a través del SARCOEM.</w:t>
      </w:r>
    </w:p>
    <w:p w:rsidR="00000000" w:rsidDel="00000000" w:rsidP="00000000" w:rsidRDefault="00000000" w:rsidRPr="00000000" w14:paraId="00000046">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Al momento de dar atención a la solicitud de acceso a datos personales, el Sujeto Obligado hizo del conocimiento de la parte Recurrente la procedencia del acceso al Dictamen Médico de Inhabilitación para la persona Servidora Pública, de fecha 6 de mayo de 2025, elaborado en la Clínica de Consulta Externa Tlalnepantla, que consta de una hoja, con base en lo manifestado por el Director de la Clínica de Consulta Externa Ixtapaluca, adscrito a la Coordinación de Servicios de Salud, precisó también que la entrega del documento referido se realizaría previa acreditación de la identidad de la parte Recurrente, siendo necesario que se presentara con una identificación oficial con fotografía tal y como lo establece el artículo 118, de la Ley de Protección de Datos Personales en Posesión de Sujetos Obligados del Estado de México y Municipios, ante el Módulo de Transparencia del Sujeto Obligado, cuya dirección, horarios de atención y datos de contacto proporcionó en el acto.</w:t>
      </w:r>
    </w:p>
    <w:p w:rsidR="00000000" w:rsidDel="00000000" w:rsidP="00000000" w:rsidRDefault="00000000" w:rsidRPr="00000000" w14:paraId="00000047">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Mediante la interposición del recurso de revisión, la parte Recurrente alegó lo siguiente:</w:t>
      </w:r>
    </w:p>
    <w:p w:rsidR="00000000" w:rsidDel="00000000" w:rsidP="00000000" w:rsidRDefault="00000000" w:rsidRPr="00000000" w14:paraId="00000048">
      <w:pPr>
        <w:tabs>
          <w:tab w:val="left" w:leader="none" w:pos="2745"/>
        </w:tabs>
        <w:spacing w:after="240" w:before="240" w:line="360" w:lineRule="auto"/>
        <w:ind w:left="567"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a) Acto impugnado: </w:t>
      </w:r>
    </w:p>
    <w:p w:rsidR="00000000" w:rsidDel="00000000" w:rsidP="00000000" w:rsidRDefault="00000000" w:rsidRPr="00000000" w14:paraId="00000049">
      <w:pPr>
        <w:tabs>
          <w:tab w:val="left" w:leader="none" w:pos="2745"/>
        </w:tabs>
        <w:spacing w:after="240" w:before="24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“Dictamen de Medicina del trabajo ya que en su dictamen se coloco que se podían realizar las actividades laborales sin problema y sin riesgo” (sic)</w:t>
      </w:r>
    </w:p>
    <w:p w:rsidR="00000000" w:rsidDel="00000000" w:rsidP="00000000" w:rsidRDefault="00000000" w:rsidRPr="00000000" w14:paraId="0000004A">
      <w:pPr>
        <w:spacing w:line="360" w:lineRule="auto"/>
        <w:ind w:left="567"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b) Razones o motivos de inconformidad</w:t>
      </w:r>
      <w:r w:rsidDel="00000000" w:rsidR="00000000" w:rsidRPr="00000000">
        <w:rPr>
          <w:rFonts w:ascii="Palatino Linotype" w:cs="Palatino Linotype" w:eastAsia="Palatino Linotype" w:hAnsi="Palatino Linotype"/>
          <w:sz w:val="22"/>
          <w:szCs w:val="22"/>
          <w:rtl w:val="0"/>
        </w:rPr>
        <w:t xml:space="preserve">: </w:t>
      </w:r>
    </w:p>
    <w:p w:rsidR="00000000" w:rsidDel="00000000" w:rsidP="00000000" w:rsidRDefault="00000000" w:rsidRPr="00000000" w14:paraId="0000004B">
      <w:pPr>
        <w:tabs>
          <w:tab w:val="left" w:leader="none" w:pos="2745"/>
        </w:tabs>
        <w:spacing w:after="240" w:before="24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“El medico especialista de medicina interna Dr. JAIR FRANCISCO MARTIN RAMIREZ y Reomatologia Tlalnepantla coloco en su estudio medico el pronostico para la función de carácter irreversible progresivo e incurable en estado avanzado y conlleva a alteraciones eb las actividades de la vida diaria y laborales” (sic)</w:t>
      </w:r>
    </w:p>
    <w:p w:rsidR="00000000" w:rsidDel="00000000" w:rsidP="00000000" w:rsidRDefault="00000000" w:rsidRPr="00000000" w14:paraId="0000004C">
      <w:pPr>
        <w:spacing w:after="240" w:before="240"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Por lo que, este Organismo Garante, citó a las partes a comparecer a audiencia de conciliación, quienes aceptaron someterse a dicho procedimiento.</w:t>
      </w:r>
    </w:p>
    <w:p w:rsidR="00000000" w:rsidDel="00000000" w:rsidP="00000000" w:rsidRDefault="00000000" w:rsidRPr="00000000" w14:paraId="0000004D">
      <w:pPr>
        <w:spacing w:after="240" w:before="240"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este tenor, una vez que se cotejaron las identidades de las personas intervinientes en la audiencia, durante la celebración de la misma se tuvo a bien mediar la entrega de la información solicitada en el estado en el que se encuentra en los archivos del </w:t>
      </w:r>
      <w:r w:rsidDel="00000000" w:rsidR="00000000" w:rsidRPr="00000000">
        <w:rPr>
          <w:rFonts w:ascii="Palatino Linotype" w:cs="Palatino Linotype" w:eastAsia="Palatino Linotype" w:hAnsi="Palatino Linotype"/>
          <w:b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esto, en ajuste a las formalidades señaladas en el acta formada por el desahogo de esta. </w:t>
      </w:r>
    </w:p>
    <w:p w:rsidR="00000000" w:rsidDel="00000000" w:rsidP="00000000" w:rsidRDefault="00000000" w:rsidRPr="00000000" w14:paraId="0000004E">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Con base en lo anterior, se acredita que las partes llegaron al acuerdo que establece el artículo 132, fracción V de la Ley de Protección de Datos Personales en Posesión de los Sujetos Obligados del Estado de México y Municipios, que es del tenor literal siguiente:</w:t>
      </w:r>
    </w:p>
    <w:p w:rsidR="00000000" w:rsidDel="00000000" w:rsidP="00000000" w:rsidRDefault="00000000" w:rsidRPr="00000000" w14:paraId="0000004F">
      <w:pPr>
        <w:spacing w:after="120" w:before="120" w:lineRule="auto"/>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Procedimiento de conciliación </w:t>
      </w:r>
    </w:p>
    <w:p w:rsidR="00000000" w:rsidDel="00000000" w:rsidP="00000000" w:rsidRDefault="00000000" w:rsidRPr="00000000" w14:paraId="00000050">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132.</w:t>
      </w:r>
      <w:r w:rsidDel="00000000" w:rsidR="00000000" w:rsidRPr="00000000">
        <w:rPr>
          <w:rFonts w:ascii="Palatino Linotype" w:cs="Palatino Linotype" w:eastAsia="Palatino Linotype" w:hAnsi="Palatino Linotype"/>
          <w:i w:val="1"/>
          <w:sz w:val="22"/>
          <w:szCs w:val="22"/>
          <w:rtl w:val="0"/>
        </w:rPr>
        <w:t xml:space="preserve"> Admitido el recurso de revisión y sin perjuicio de lo dispuesto por la Ley General, el Instituto promoverá la conciliación entre las partes, de conformidad con el procedimiento siguiente:</w:t>
      </w:r>
    </w:p>
    <w:p w:rsidR="00000000" w:rsidDel="00000000" w:rsidP="00000000" w:rsidRDefault="00000000" w:rsidRPr="00000000" w14:paraId="00000051">
      <w:pPr>
        <w:spacing w:after="120" w:before="120" w:lineRule="auto"/>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w:t>
      </w:r>
    </w:p>
    <w:p w:rsidR="00000000" w:rsidDel="00000000" w:rsidP="00000000" w:rsidRDefault="00000000" w:rsidRPr="00000000" w14:paraId="00000052">
      <w:pPr>
        <w:spacing w:after="120" w:before="120" w:lineRule="auto"/>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De llegar a un acuerdo, éste se hará constar por escrito y tendrá efectos vinculantes. </w:t>
      </w:r>
    </w:p>
    <w:p w:rsidR="00000000" w:rsidDel="00000000" w:rsidP="00000000" w:rsidRDefault="00000000" w:rsidRPr="00000000" w14:paraId="00000053">
      <w:pPr>
        <w:spacing w:after="120" w:before="120" w:lineRule="auto"/>
        <w:ind w:left="851" w:right="902"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i w:val="1"/>
          <w:sz w:val="22"/>
          <w:szCs w:val="22"/>
          <w:u w:val="single"/>
          <w:rtl w:val="0"/>
        </w:rPr>
        <w:t xml:space="preserve">El recurso de revisión quedará sin materia</w:t>
      </w:r>
      <w:r w:rsidDel="00000000" w:rsidR="00000000" w:rsidRPr="00000000">
        <w:rPr>
          <w:rFonts w:ascii="Palatino Linotype" w:cs="Palatino Linotype" w:eastAsia="Palatino Linotype" w:hAnsi="Palatino Linotype"/>
          <w:i w:val="1"/>
          <w:sz w:val="22"/>
          <w:szCs w:val="22"/>
          <w:rtl w:val="0"/>
        </w:rPr>
        <w:t xml:space="preserve"> y el Instituto, </w:t>
      </w:r>
      <w:r w:rsidDel="00000000" w:rsidR="00000000" w:rsidRPr="00000000">
        <w:rPr>
          <w:rFonts w:ascii="Palatino Linotype" w:cs="Palatino Linotype" w:eastAsia="Palatino Linotype" w:hAnsi="Palatino Linotype"/>
          <w:b w:val="1"/>
          <w:i w:val="1"/>
          <w:sz w:val="22"/>
          <w:szCs w:val="22"/>
          <w:u w:val="single"/>
          <w:rtl w:val="0"/>
        </w:rPr>
        <w:t xml:space="preserve">deberán verificar el cumplimiento del acuerdo respectivo</w:t>
      </w:r>
      <w:r w:rsidDel="00000000" w:rsidR="00000000" w:rsidRPr="00000000">
        <w:rPr>
          <w:rFonts w:ascii="Palatino Linotype" w:cs="Palatino Linotype" w:eastAsia="Palatino Linotype" w:hAnsi="Palatino Linotype"/>
          <w:sz w:val="22"/>
          <w:szCs w:val="22"/>
          <w:rtl w:val="0"/>
        </w:rPr>
        <w:t xml:space="preserve">.”</w:t>
      </w:r>
    </w:p>
    <w:p w:rsidR="00000000" w:rsidDel="00000000" w:rsidP="00000000" w:rsidRDefault="00000000" w:rsidRPr="00000000" w14:paraId="00000054">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Cabe señalar que la entrega de la información se corroboró toda vez que el </w:t>
      </w:r>
      <w:r w:rsidDel="00000000" w:rsidR="00000000" w:rsidRPr="00000000">
        <w:rPr>
          <w:rFonts w:ascii="Palatino Linotype" w:cs="Palatino Linotype" w:eastAsia="Palatino Linotype" w:hAnsi="Palatino Linotype"/>
          <w:b w:val="1"/>
          <w:sz w:val="22"/>
          <w:szCs w:val="22"/>
          <w:rtl w:val="0"/>
        </w:rPr>
        <w:t xml:space="preserve">veintinueve de agosto de dos mil veinticinco</w:t>
      </w:r>
      <w:r w:rsidDel="00000000" w:rsidR="00000000" w:rsidRPr="00000000">
        <w:rPr>
          <w:rFonts w:ascii="Palatino Linotype" w:cs="Palatino Linotype" w:eastAsia="Palatino Linotype" w:hAnsi="Palatino Linotype"/>
          <w:sz w:val="22"/>
          <w:szCs w:val="22"/>
          <w:rtl w:val="0"/>
        </w:rPr>
        <w:t xml:space="preserve">, el </w:t>
      </w:r>
      <w:r w:rsidDel="00000000" w:rsidR="00000000" w:rsidRPr="00000000">
        <w:rPr>
          <w:rFonts w:ascii="Palatino Linotype" w:cs="Palatino Linotype" w:eastAsia="Palatino Linotype" w:hAnsi="Palatino Linotype"/>
          <w:b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remitió a través del SARCOEM, el Dictamen Médico de Inhabilitación para la persona Servidora Pública, de fecha 6 de mayo de 2025, así como el correo electrónico mediante el cual envió a la parte Recurrente el mismo Dictamen.</w:t>
      </w:r>
    </w:p>
    <w:p w:rsidR="00000000" w:rsidDel="00000000" w:rsidP="00000000" w:rsidRDefault="00000000" w:rsidRPr="00000000" w14:paraId="00000055">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Con base en los argumentos expuestos, se concluye que se está ante la presencia de la causal de sobreseimiento establecida en el diverso 139, fracción V, de la Ley de Protección de Datos Personales en Posesión de Sujetos Obligados del Estado de México y Municipios, toda vez que, la parte </w:t>
      </w:r>
      <w:r w:rsidDel="00000000" w:rsidR="00000000" w:rsidRPr="00000000">
        <w:rPr>
          <w:rFonts w:ascii="Palatino Linotype" w:cs="Palatino Linotype" w:eastAsia="Palatino Linotype" w:hAnsi="Palatino Linotype"/>
          <w:b w:val="1"/>
          <w:sz w:val="22"/>
          <w:szCs w:val="22"/>
          <w:rtl w:val="0"/>
        </w:rPr>
        <w:t xml:space="preserve">Recurrente</w:t>
      </w:r>
      <w:r w:rsidDel="00000000" w:rsidR="00000000" w:rsidRPr="00000000">
        <w:rPr>
          <w:rFonts w:ascii="Palatino Linotype" w:cs="Palatino Linotype" w:eastAsia="Palatino Linotype" w:hAnsi="Palatino Linotype"/>
          <w:sz w:val="22"/>
          <w:szCs w:val="22"/>
          <w:rtl w:val="0"/>
        </w:rPr>
        <w:t xml:space="preserve"> consintió la respuesta proporcionada por el </w:t>
      </w:r>
      <w:r w:rsidDel="00000000" w:rsidR="00000000" w:rsidRPr="00000000">
        <w:rPr>
          <w:rFonts w:ascii="Palatino Linotype" w:cs="Palatino Linotype" w:eastAsia="Palatino Linotype" w:hAnsi="Palatino Linotype"/>
          <w:b w:val="1"/>
          <w:sz w:val="22"/>
          <w:szCs w:val="22"/>
          <w:rtl w:val="0"/>
        </w:rPr>
        <w:t xml:space="preserve">Sujeto Obligado, </w:t>
      </w:r>
      <w:r w:rsidDel="00000000" w:rsidR="00000000" w:rsidRPr="00000000">
        <w:rPr>
          <w:rFonts w:ascii="Palatino Linotype" w:cs="Palatino Linotype" w:eastAsia="Palatino Linotype" w:hAnsi="Palatino Linotype"/>
          <w:sz w:val="22"/>
          <w:szCs w:val="22"/>
          <w:rtl w:val="0"/>
        </w:rPr>
        <w:t xml:space="preserve">como consta en el acuse remitido, hecho que dejó sin materia el presente recurso de revisión. </w:t>
      </w:r>
    </w:p>
    <w:p w:rsidR="00000000" w:rsidDel="00000000" w:rsidP="00000000" w:rsidRDefault="00000000" w:rsidRPr="00000000" w14:paraId="00000056">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Por consiguiente, lo procedente es </w:t>
      </w:r>
      <w:r w:rsidDel="00000000" w:rsidR="00000000" w:rsidRPr="00000000">
        <w:rPr>
          <w:rFonts w:ascii="Palatino Linotype" w:cs="Palatino Linotype" w:eastAsia="Palatino Linotype" w:hAnsi="Palatino Linotype"/>
          <w:b w:val="1"/>
          <w:sz w:val="22"/>
          <w:szCs w:val="22"/>
          <w:rtl w:val="0"/>
        </w:rPr>
        <w:t xml:space="preserve">Sobreseer </w:t>
      </w:r>
      <w:r w:rsidDel="00000000" w:rsidR="00000000" w:rsidRPr="00000000">
        <w:rPr>
          <w:rFonts w:ascii="Palatino Linotype" w:cs="Palatino Linotype" w:eastAsia="Palatino Linotype" w:hAnsi="Palatino Linotype"/>
          <w:sz w:val="22"/>
          <w:szCs w:val="22"/>
          <w:rtl w:val="0"/>
        </w:rPr>
        <w:t xml:space="preserve">el presente asunto de conformidad con el artículo 137, fracción I</w:t>
      </w:r>
      <w:r w:rsidDel="00000000" w:rsidR="00000000" w:rsidRPr="00000000">
        <w:rPr>
          <w:rFonts w:ascii="Palatino Linotype" w:cs="Palatino Linotype" w:eastAsia="Palatino Linotype" w:hAnsi="Palatino Linotype"/>
          <w:b w:val="1"/>
          <w:sz w:val="22"/>
          <w:szCs w:val="22"/>
          <w:rtl w:val="0"/>
        </w:rPr>
        <w:t xml:space="preserve"> </w:t>
      </w:r>
      <w:r w:rsidDel="00000000" w:rsidR="00000000" w:rsidRPr="00000000">
        <w:rPr>
          <w:rFonts w:ascii="Palatino Linotype" w:cs="Palatino Linotype" w:eastAsia="Palatino Linotype" w:hAnsi="Palatino Linotype"/>
          <w:sz w:val="22"/>
          <w:szCs w:val="22"/>
          <w:rtl w:val="0"/>
        </w:rPr>
        <w:t xml:space="preserve">de la Ley de Protección de Datos Personales en Posesión de Sujetos Obligados del Estado de México y Municipios, que es del tenor literal siguiente: </w:t>
      </w:r>
    </w:p>
    <w:p w:rsidR="00000000" w:rsidDel="00000000" w:rsidP="00000000" w:rsidRDefault="00000000" w:rsidRPr="00000000" w14:paraId="00000057">
      <w:pPr>
        <w:tabs>
          <w:tab w:val="left" w:leader="none" w:pos="993"/>
        </w:tabs>
        <w:spacing w:after="240" w:before="240" w:line="36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137</w:t>
      </w:r>
      <w:r w:rsidDel="00000000" w:rsidR="00000000" w:rsidRPr="00000000">
        <w:rPr>
          <w:rFonts w:ascii="Palatino Linotype" w:cs="Palatino Linotype" w:eastAsia="Palatino Linotype" w:hAnsi="Palatino Linotype"/>
          <w:i w:val="1"/>
          <w:sz w:val="22"/>
          <w:szCs w:val="22"/>
          <w:rtl w:val="0"/>
        </w:rPr>
        <w:t xml:space="preserve">. Las resoluciones del Instituto podrán: </w:t>
      </w:r>
    </w:p>
    <w:p w:rsidR="00000000" w:rsidDel="00000000" w:rsidP="00000000" w:rsidRDefault="00000000" w:rsidRPr="00000000" w14:paraId="00000058">
      <w:pPr>
        <w:tabs>
          <w:tab w:val="left" w:leader="none" w:pos="1418"/>
        </w:tabs>
        <w:spacing w:after="240" w:before="240" w:line="360" w:lineRule="auto"/>
        <w:ind w:left="1134" w:right="900"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 Sobreseer o desechar el recurso de revisión por improcedente.”</w:t>
      </w:r>
    </w:p>
    <w:p w:rsidR="00000000" w:rsidDel="00000000" w:rsidP="00000000" w:rsidRDefault="00000000" w:rsidRPr="00000000" w14:paraId="00000059">
      <w:pPr>
        <w:spacing w:after="240" w:before="240" w:line="360" w:lineRule="auto"/>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sz w:val="22"/>
          <w:szCs w:val="22"/>
          <w:rtl w:val="0"/>
        </w:rPr>
        <w:t xml:space="preserve">Al respecto, no obsta mencionar que, de acuerdo con el procesalista Niceto Alcalá-Zamora y Castillo en su obra </w:t>
      </w:r>
      <w:r w:rsidDel="00000000" w:rsidR="00000000" w:rsidRPr="00000000">
        <w:rPr>
          <w:rFonts w:ascii="Palatino Linotype" w:cs="Palatino Linotype" w:eastAsia="Palatino Linotype" w:hAnsi="Palatino Linotype"/>
          <w:i w:val="1"/>
          <w:sz w:val="22"/>
          <w:szCs w:val="22"/>
          <w:rtl w:val="0"/>
        </w:rPr>
        <w:t xml:space="preserve">“Cuestiones de Terminología Procesal”</w:t>
      </w:r>
      <w:r w:rsidDel="00000000" w:rsidR="00000000" w:rsidRPr="00000000">
        <w:rPr>
          <w:rFonts w:ascii="Palatino Linotype" w:cs="Palatino Linotype" w:eastAsia="Palatino Linotype" w:hAnsi="Palatino Linotype"/>
          <w:sz w:val="22"/>
          <w:szCs w:val="22"/>
          <w:rtl w:val="0"/>
        </w:rPr>
        <w:t xml:space="preserve">, el sobreseimiento es </w:t>
      </w:r>
      <w:r w:rsidDel="00000000" w:rsidR="00000000" w:rsidRPr="00000000">
        <w:rPr>
          <w:rFonts w:ascii="Palatino Linotype" w:cs="Palatino Linotype" w:eastAsia="Palatino Linotype" w:hAnsi="Palatino Linotype"/>
          <w:i w:val="1"/>
          <w:sz w:val="22"/>
          <w:szCs w:val="22"/>
          <w:rtl w:val="0"/>
        </w:rPr>
        <w:t xml:space="preserve">“...una resolución en forma de auto, que produce la suspensión indefinida del procedimiento penal, o que pone fin al proceso, impidiendo en ambos casos, mientras subsista, la apertura del plenario o que en él se pronuncie sentencia...”</w:t>
      </w:r>
    </w:p>
    <w:p w:rsidR="00000000" w:rsidDel="00000000" w:rsidP="00000000" w:rsidRDefault="00000000" w:rsidRPr="00000000" w14:paraId="0000005A">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Y, por su parte, Eduardo Pallares, en su artículo </w:t>
      </w:r>
      <w:r w:rsidDel="00000000" w:rsidR="00000000" w:rsidRPr="00000000">
        <w:rPr>
          <w:rFonts w:ascii="Palatino Linotype" w:cs="Palatino Linotype" w:eastAsia="Palatino Linotype" w:hAnsi="Palatino Linotype"/>
          <w:i w:val="1"/>
          <w:sz w:val="22"/>
          <w:szCs w:val="22"/>
          <w:rtl w:val="0"/>
        </w:rPr>
        <w:t xml:space="preserve">“La caducidad y el sobreseimiento en el amparo”</w:t>
      </w:r>
      <w:r w:rsidDel="00000000" w:rsidR="00000000" w:rsidRPr="00000000">
        <w:rPr>
          <w:rFonts w:ascii="Palatino Linotype" w:cs="Palatino Linotype" w:eastAsia="Palatino Linotype" w:hAnsi="Palatino Linotype"/>
          <w:sz w:val="22"/>
          <w:szCs w:val="22"/>
          <w:rtl w:val="0"/>
        </w:rPr>
        <w:t xml:space="preserve">, cita la definición de Aguilera Paz, aduciendo que se </w:t>
      </w:r>
      <w:r w:rsidDel="00000000" w:rsidR="00000000" w:rsidRPr="00000000">
        <w:rPr>
          <w:rFonts w:ascii="Palatino Linotype" w:cs="Palatino Linotype" w:eastAsia="Palatino Linotype" w:hAnsi="Palatino Linotype"/>
          <w:i w:val="1"/>
          <w:sz w:val="22"/>
          <w:szCs w:val="22"/>
          <w:rtl w:val="0"/>
        </w:rPr>
        <w:t xml:space="preserve">“...entiende por sobreseimiento en el tecnicismo forense, el hecho de cesar en el procedimiento o curso de la causa, por no existir méritos bastantes para entrar en un juicio o para entablar la contienda judicial que debe ser objeto del mismo...”</w:t>
      </w:r>
      <w:r w:rsidDel="00000000" w:rsidR="00000000" w:rsidRPr="00000000">
        <w:rPr>
          <w:rFonts w:ascii="Palatino Linotype" w:cs="Palatino Linotype" w:eastAsia="Palatino Linotype" w:hAnsi="Palatino Linotype"/>
          <w:sz w:val="22"/>
          <w:szCs w:val="22"/>
          <w:rtl w:val="0"/>
        </w:rPr>
        <w:t xml:space="preserve">. Asimismo señala que existe el sobreseimiento provisional y el definitivo</w:t>
      </w:r>
      <w:r w:rsidDel="00000000" w:rsidR="00000000" w:rsidRPr="00000000">
        <w:rPr>
          <w:rFonts w:ascii="Palatino Linotype" w:cs="Palatino Linotype" w:eastAsia="Palatino Linotype" w:hAnsi="Palatino Linotype"/>
          <w:i w:val="1"/>
          <w:sz w:val="22"/>
          <w:szCs w:val="22"/>
          <w:rtl w:val="0"/>
        </w:rPr>
        <w:t xml:space="preserve">: “...el definitivo es una verdadera sentencia que pone fin al juicio, y que una vez dictada, produce cosa juzgada, mientras que el provisorio tiene por efectos suspender la prosecución de la causa...”</w:t>
      </w:r>
      <w:r w:rsidDel="00000000" w:rsidR="00000000" w:rsidRPr="00000000">
        <w:rPr>
          <w:rtl w:val="0"/>
        </w:rPr>
      </w:r>
    </w:p>
    <w:p w:rsidR="00000000" w:rsidDel="00000000" w:rsidP="00000000" w:rsidRDefault="00000000" w:rsidRPr="00000000" w14:paraId="0000005B">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Así, para la doctrina el sobreseimiento provoca que un procedimiento se suspenda o se resuelva en definitiva </w:t>
      </w:r>
      <w:r w:rsidDel="00000000" w:rsidR="00000000" w:rsidRPr="00000000">
        <w:rPr>
          <w:rFonts w:ascii="Palatino Linotype" w:cs="Palatino Linotype" w:eastAsia="Palatino Linotype" w:hAnsi="Palatino Linotype"/>
          <w:b w:val="1"/>
          <w:sz w:val="22"/>
          <w:szCs w:val="22"/>
          <w:u w:val="single"/>
          <w:rtl w:val="0"/>
        </w:rPr>
        <w:t xml:space="preserve">sin que se entre al estudio de los agravios o motivos de inconformidad</w:t>
      </w:r>
      <w:r w:rsidDel="00000000" w:rsidR="00000000" w:rsidRPr="00000000">
        <w:rPr>
          <w:rFonts w:ascii="Palatino Linotype" w:cs="Palatino Linotype" w:eastAsia="Palatino Linotype" w:hAnsi="Palatino Linotype"/>
          <w:b w:val="1"/>
          <w:sz w:val="22"/>
          <w:szCs w:val="22"/>
          <w:rtl w:val="0"/>
        </w:rPr>
        <w:t xml:space="preserve">. </w:t>
      </w:r>
      <w:r w:rsidDel="00000000" w:rsidR="00000000" w:rsidRPr="00000000">
        <w:rPr>
          <w:rFonts w:ascii="Palatino Linotype" w:cs="Palatino Linotype" w:eastAsia="Palatino Linotype" w:hAnsi="Palatino Linotype"/>
          <w:sz w:val="22"/>
          <w:szCs w:val="22"/>
          <w:rtl w:val="0"/>
        </w:rPr>
        <w:t xml:space="preserve">Este mismo criterio es compartido por el más alto tribunal del país en múltiples jurisprudencias, por lo que a continuación se agrega una de ellas que sirve como orientador en esta resolución:</w:t>
      </w:r>
    </w:p>
    <w:p w:rsidR="00000000" w:rsidDel="00000000" w:rsidP="00000000" w:rsidRDefault="00000000" w:rsidRPr="00000000" w14:paraId="0000005C">
      <w:pPr>
        <w:spacing w:after="240" w:before="24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“SOBRESEIMIENTO EN EL JUICIO DE AMPARO DIRECTO. IMPIDE EL ESTUDIO DE LAS VIOLACIONES PROCESALES PLANTEADAS EN LOS CONCEPTOS DE VIOLACIÓN. El sobreseimiento</w:t>
      </w:r>
      <w:r w:rsidDel="00000000" w:rsidR="00000000" w:rsidRPr="00000000">
        <w:rPr>
          <w:rFonts w:ascii="Palatino Linotype" w:cs="Palatino Linotype" w:eastAsia="Palatino Linotype" w:hAnsi="Palatino Linotype"/>
          <w:i w:val="1"/>
          <w:sz w:val="22"/>
          <w:szCs w:val="22"/>
          <w:rtl w:val="0"/>
        </w:rPr>
        <w:t xml:space="preserve"> en el juicio de amparo directo </w:t>
      </w:r>
      <w:r w:rsidDel="00000000" w:rsidR="00000000" w:rsidRPr="00000000">
        <w:rPr>
          <w:rFonts w:ascii="Palatino Linotype" w:cs="Palatino Linotype" w:eastAsia="Palatino Linotype" w:hAnsi="Palatino Linotype"/>
          <w:b w:val="1"/>
          <w:i w:val="1"/>
          <w:sz w:val="22"/>
          <w:szCs w:val="22"/>
          <w:rtl w:val="0"/>
        </w:rPr>
        <w:t xml:space="preserve">provoca la terminación de la controversia planteada</w:t>
      </w:r>
      <w:r w:rsidDel="00000000" w:rsidR="00000000" w:rsidRPr="00000000">
        <w:rPr>
          <w:rFonts w:ascii="Palatino Linotype" w:cs="Palatino Linotype" w:eastAsia="Palatino Linotype" w:hAnsi="Palatino Linotype"/>
          <w:i w:val="1"/>
          <w:sz w:val="22"/>
          <w:szCs w:val="22"/>
          <w:rtl w:val="0"/>
        </w:rPr>
        <w:t xml:space="preserve"> por el quejoso en la demanda de amparo</w:t>
      </w:r>
      <w:r w:rsidDel="00000000" w:rsidR="00000000" w:rsidRPr="00000000">
        <w:rPr>
          <w:rFonts w:ascii="Palatino Linotype" w:cs="Palatino Linotype" w:eastAsia="Palatino Linotype" w:hAnsi="Palatino Linotype"/>
          <w:b w:val="1"/>
          <w:i w:val="1"/>
          <w:sz w:val="22"/>
          <w:szCs w:val="22"/>
          <w:rtl w:val="0"/>
        </w:rPr>
        <w:t xml:space="preserve">, sin hacer un pronunciamiento de fondo sobre la legalidad o ilegalidad de la sentencia reclamada</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Por consiguiente, si al sobreseerse en el juicio de amparo </w:t>
      </w:r>
      <w:r w:rsidDel="00000000" w:rsidR="00000000" w:rsidRPr="00000000">
        <w:rPr>
          <w:rFonts w:ascii="Palatino Linotype" w:cs="Palatino Linotype" w:eastAsia="Palatino Linotype" w:hAnsi="Palatino Linotype"/>
          <w:b w:val="1"/>
          <w:i w:val="1"/>
          <w:sz w:val="22"/>
          <w:szCs w:val="22"/>
          <w:u w:val="single"/>
          <w:rtl w:val="0"/>
        </w:rPr>
        <w:t xml:space="preserve">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5D">
      <w:pPr>
        <w:spacing w:after="240" w:before="240" w:line="360" w:lineRule="auto"/>
        <w:jc w:val="both"/>
        <w:rPr>
          <w:rFonts w:ascii="Palatino Linotype" w:cs="Palatino Linotype" w:eastAsia="Palatino Linotype" w:hAnsi="Palatino Linotype"/>
          <w:sz w:val="22"/>
          <w:szCs w:val="22"/>
        </w:rPr>
      </w:pPr>
      <w:bookmarkStart w:colFirst="0" w:colLast="0" w:name="_heading=h.1ex1ok8a6wp" w:id="10"/>
      <w:bookmarkEnd w:id="10"/>
      <w:r w:rsidDel="00000000" w:rsidR="00000000" w:rsidRPr="00000000">
        <w:rPr>
          <w:rFonts w:ascii="Palatino Linotype" w:cs="Palatino Linotype" w:eastAsia="Palatino Linotype" w:hAnsi="Palatino Linotype"/>
          <w:sz w:val="22"/>
          <w:szCs w:val="22"/>
          <w:rtl w:val="0"/>
        </w:rPr>
        <w:t xml:space="preserve">Así, con fundamento en lo prescrito en los artículos 5 párrafos trigésimo noveno, cuadragésimo y cuadragésimo primero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132, 133, y 137 de la Ley de Protección de Datos Personales en Posesión de Sujetos Obligados del Estado de México y Municipios, este Pleno:</w:t>
      </w:r>
    </w:p>
    <w:p w:rsidR="00000000" w:rsidDel="00000000" w:rsidP="00000000" w:rsidRDefault="00000000" w:rsidRPr="00000000" w14:paraId="0000005E">
      <w:pPr>
        <w:spacing w:after="240" w:before="240" w:line="360" w:lineRule="auto"/>
        <w:jc w:val="cente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III. R E S U E L V E:</w:t>
      </w:r>
    </w:p>
    <w:p w:rsidR="00000000" w:rsidDel="00000000" w:rsidP="00000000" w:rsidRDefault="00000000" w:rsidRPr="00000000" w14:paraId="0000005F">
      <w:pPr>
        <w:spacing w:after="240" w:before="240" w:line="360" w:lineRule="auto"/>
        <w:jc w:val="both"/>
        <w:rPr>
          <w:rFonts w:ascii="Palatino Linotype" w:cs="Palatino Linotype" w:eastAsia="Palatino Linotype" w:hAnsi="Palatino Linotype"/>
          <w:sz w:val="22"/>
          <w:szCs w:val="22"/>
        </w:rPr>
      </w:pPr>
      <w:bookmarkStart w:colFirst="0" w:colLast="0" w:name="_heading=h.o1br582gcvgr" w:id="11"/>
      <w:bookmarkEnd w:id="11"/>
      <w:r w:rsidDel="00000000" w:rsidR="00000000" w:rsidRPr="00000000">
        <w:rPr>
          <w:rFonts w:ascii="Palatino Linotype" w:cs="Palatino Linotype" w:eastAsia="Palatino Linotype" w:hAnsi="Palatino Linotype"/>
          <w:b w:val="1"/>
          <w:sz w:val="22"/>
          <w:szCs w:val="22"/>
          <w:rtl w:val="0"/>
        </w:rPr>
        <w:t xml:space="preserve">Primero. </w:t>
      </w:r>
      <w:r w:rsidDel="00000000" w:rsidR="00000000" w:rsidRPr="00000000">
        <w:rPr>
          <w:rFonts w:ascii="Palatino Linotype" w:cs="Palatino Linotype" w:eastAsia="Palatino Linotype" w:hAnsi="Palatino Linotype"/>
          <w:sz w:val="22"/>
          <w:szCs w:val="22"/>
          <w:rtl w:val="0"/>
        </w:rPr>
        <w:t xml:space="preserve">Se </w:t>
      </w:r>
      <w:r w:rsidDel="00000000" w:rsidR="00000000" w:rsidRPr="00000000">
        <w:rPr>
          <w:rFonts w:ascii="Palatino Linotype" w:cs="Palatino Linotype" w:eastAsia="Palatino Linotype" w:hAnsi="Palatino Linotype"/>
          <w:b w:val="1"/>
          <w:sz w:val="22"/>
          <w:szCs w:val="22"/>
          <w:rtl w:val="0"/>
        </w:rPr>
        <w:t xml:space="preserve">Sobresee </w:t>
      </w:r>
      <w:r w:rsidDel="00000000" w:rsidR="00000000" w:rsidRPr="00000000">
        <w:rPr>
          <w:rFonts w:ascii="Palatino Linotype" w:cs="Palatino Linotype" w:eastAsia="Palatino Linotype" w:hAnsi="Palatino Linotype"/>
          <w:sz w:val="22"/>
          <w:szCs w:val="22"/>
          <w:rtl w:val="0"/>
        </w:rPr>
        <w:t xml:space="preserve">el recurso de revisión </w:t>
      </w:r>
      <w:r w:rsidDel="00000000" w:rsidR="00000000" w:rsidRPr="00000000">
        <w:rPr>
          <w:rFonts w:ascii="Palatino Linotype" w:cs="Palatino Linotype" w:eastAsia="Palatino Linotype" w:hAnsi="Palatino Linotype"/>
          <w:b w:val="1"/>
          <w:sz w:val="22"/>
          <w:szCs w:val="22"/>
          <w:rtl w:val="0"/>
        </w:rPr>
        <w:t xml:space="preserve">09454/INFOEM/AD/RR/2025,</w:t>
      </w:r>
      <w:r w:rsidDel="00000000" w:rsidR="00000000" w:rsidRPr="00000000">
        <w:rPr>
          <w:rFonts w:ascii="Palatino Linotype" w:cs="Palatino Linotype" w:eastAsia="Palatino Linotype" w:hAnsi="Palatino Linotype"/>
          <w:sz w:val="22"/>
          <w:szCs w:val="22"/>
          <w:rtl w:val="0"/>
        </w:rPr>
        <w:t xml:space="preserve"> al quedarse sin materia</w:t>
      </w:r>
      <w:r w:rsidDel="00000000" w:rsidR="00000000" w:rsidRPr="00000000">
        <w:rPr>
          <w:rFonts w:ascii="Palatino Linotype" w:cs="Palatino Linotype" w:eastAsia="Palatino Linotype" w:hAnsi="Palatino Linotype"/>
          <w:b w:val="1"/>
          <w:sz w:val="22"/>
          <w:szCs w:val="22"/>
          <w:rtl w:val="0"/>
        </w:rPr>
        <w:t xml:space="preserve">,</w:t>
      </w:r>
      <w:r w:rsidDel="00000000" w:rsidR="00000000" w:rsidRPr="00000000">
        <w:rPr>
          <w:rFonts w:ascii="Palatino Linotype" w:cs="Palatino Linotype" w:eastAsia="Palatino Linotype" w:hAnsi="Palatino Linotype"/>
          <w:sz w:val="22"/>
          <w:szCs w:val="22"/>
          <w:rtl w:val="0"/>
        </w:rPr>
        <w:t xml:space="preserve"> se actualizó la causal prevista en el artículo 139 fracción V, en relación con el artículo 132 fracción V, ambos de la Ley de Protección de Datos Personales en Posesión de Sujetos Obligados del Estado de México y Municipios, en términos del Considerando </w:t>
      </w:r>
      <w:r w:rsidDel="00000000" w:rsidR="00000000" w:rsidRPr="00000000">
        <w:rPr>
          <w:rFonts w:ascii="Palatino Linotype" w:cs="Palatino Linotype" w:eastAsia="Palatino Linotype" w:hAnsi="Palatino Linotype"/>
          <w:b w:val="1"/>
          <w:sz w:val="22"/>
          <w:szCs w:val="22"/>
          <w:rtl w:val="0"/>
        </w:rPr>
        <w:t xml:space="preserve">Cuarto </w:t>
      </w:r>
      <w:r w:rsidDel="00000000" w:rsidR="00000000" w:rsidRPr="00000000">
        <w:rPr>
          <w:rFonts w:ascii="Palatino Linotype" w:cs="Palatino Linotype" w:eastAsia="Palatino Linotype" w:hAnsi="Palatino Linotype"/>
          <w:sz w:val="22"/>
          <w:szCs w:val="22"/>
          <w:rtl w:val="0"/>
        </w:rPr>
        <w:t xml:space="preserve">de la presente Resolución.</w:t>
      </w:r>
    </w:p>
    <w:p w:rsidR="00000000" w:rsidDel="00000000" w:rsidP="00000000" w:rsidRDefault="00000000" w:rsidRPr="00000000" w14:paraId="00000060">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Segundo. Notifíquese </w:t>
      </w:r>
      <w:r w:rsidDel="00000000" w:rsidR="00000000" w:rsidRPr="00000000">
        <w:rPr>
          <w:rFonts w:ascii="Palatino Linotype" w:cs="Palatino Linotype" w:eastAsia="Palatino Linotype" w:hAnsi="Palatino Linotype"/>
          <w:sz w:val="22"/>
          <w:szCs w:val="22"/>
          <w:rtl w:val="0"/>
        </w:rPr>
        <w:t xml:space="preserve">la presente resolución</w:t>
      </w:r>
      <w:r w:rsidDel="00000000" w:rsidR="00000000" w:rsidRPr="00000000">
        <w:rPr>
          <w:rFonts w:ascii="Palatino Linotype" w:cs="Palatino Linotype" w:eastAsia="Palatino Linotype" w:hAnsi="Palatino Linotype"/>
          <w:b w:val="1"/>
          <w:sz w:val="22"/>
          <w:szCs w:val="22"/>
          <w:rtl w:val="0"/>
        </w:rPr>
        <w:t xml:space="preserve"> vía SARCOEM,</w:t>
      </w:r>
      <w:r w:rsidDel="00000000" w:rsidR="00000000" w:rsidRPr="00000000">
        <w:rPr>
          <w:rFonts w:ascii="Palatino Linotype" w:cs="Palatino Linotype" w:eastAsia="Palatino Linotype" w:hAnsi="Palatino Linotype"/>
          <w:b w:val="1"/>
          <w:i w:val="1"/>
          <w:sz w:val="22"/>
          <w:szCs w:val="22"/>
          <w:rtl w:val="0"/>
        </w:rPr>
        <w:t xml:space="preserve"> </w:t>
      </w:r>
      <w:r w:rsidDel="00000000" w:rsidR="00000000" w:rsidRPr="00000000">
        <w:rPr>
          <w:rFonts w:ascii="Palatino Linotype" w:cs="Palatino Linotype" w:eastAsia="Palatino Linotype" w:hAnsi="Palatino Linotype"/>
          <w:sz w:val="22"/>
          <w:szCs w:val="22"/>
          <w:rtl w:val="0"/>
        </w:rPr>
        <w:t xml:space="preserve">al Responsable de la Unidad de Transparencia del </w:t>
      </w:r>
      <w:r w:rsidDel="00000000" w:rsidR="00000000" w:rsidRPr="00000000">
        <w:rPr>
          <w:rFonts w:ascii="Palatino Linotype" w:cs="Palatino Linotype" w:eastAsia="Palatino Linotype" w:hAnsi="Palatino Linotype"/>
          <w:b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la presente resolución, para su conocimiento.</w:t>
      </w:r>
    </w:p>
    <w:p w:rsidR="00000000" w:rsidDel="00000000" w:rsidP="00000000" w:rsidRDefault="00000000" w:rsidRPr="00000000" w14:paraId="00000061">
      <w:pPr>
        <w:tabs>
          <w:tab w:val="left" w:leader="none" w:pos="4667"/>
        </w:tabs>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Tercero. Notifíquese vía SARCOEM y correo electrónico</w:t>
      </w:r>
      <w:r w:rsidDel="00000000" w:rsidR="00000000" w:rsidRPr="00000000">
        <w:rPr>
          <w:rFonts w:ascii="Palatino Linotype" w:cs="Palatino Linotype" w:eastAsia="Palatino Linotype" w:hAnsi="Palatino Linotype"/>
          <w:b w:val="1"/>
          <w:i w:val="1"/>
          <w:sz w:val="22"/>
          <w:szCs w:val="22"/>
          <w:rtl w:val="0"/>
        </w:rPr>
        <w:t xml:space="preserve"> </w:t>
      </w:r>
      <w:r w:rsidDel="00000000" w:rsidR="00000000" w:rsidRPr="00000000">
        <w:rPr>
          <w:rFonts w:ascii="Palatino Linotype" w:cs="Palatino Linotype" w:eastAsia="Palatino Linotype" w:hAnsi="Palatino Linotype"/>
          <w:sz w:val="22"/>
          <w:szCs w:val="22"/>
          <w:rtl w:val="0"/>
        </w:rPr>
        <w:t xml:space="preserve">a </w:t>
      </w:r>
      <w:r w:rsidDel="00000000" w:rsidR="00000000" w:rsidRPr="00000000">
        <w:rPr>
          <w:rFonts w:ascii="Palatino Linotype" w:cs="Palatino Linotype" w:eastAsia="Palatino Linotype" w:hAnsi="Palatino Linotype"/>
          <w:b w:val="1"/>
          <w:sz w:val="22"/>
          <w:szCs w:val="22"/>
          <w:rtl w:val="0"/>
        </w:rPr>
        <w:t xml:space="preserve">la parte</w:t>
      </w:r>
      <w:r w:rsidDel="00000000" w:rsidR="00000000" w:rsidRPr="00000000">
        <w:rPr>
          <w:rFonts w:ascii="Palatino Linotype" w:cs="Palatino Linotype" w:eastAsia="Palatino Linotype" w:hAnsi="Palatino Linotype"/>
          <w:sz w:val="22"/>
          <w:szCs w:val="22"/>
          <w:rtl w:val="0"/>
        </w:rPr>
        <w:t xml:space="preserve"> </w:t>
      </w:r>
      <w:r w:rsidDel="00000000" w:rsidR="00000000" w:rsidRPr="00000000">
        <w:rPr>
          <w:rFonts w:ascii="Palatino Linotype" w:cs="Palatino Linotype" w:eastAsia="Palatino Linotype" w:hAnsi="Palatino Linotype"/>
          <w:b w:val="1"/>
          <w:sz w:val="22"/>
          <w:szCs w:val="22"/>
          <w:rtl w:val="0"/>
        </w:rPr>
        <w:t xml:space="preserve">Recurrente</w:t>
      </w:r>
      <w:r w:rsidDel="00000000" w:rsidR="00000000" w:rsidRPr="00000000">
        <w:rPr>
          <w:rFonts w:ascii="Palatino Linotype" w:cs="Palatino Linotype" w:eastAsia="Palatino Linotype" w:hAnsi="Palatino Linotype"/>
          <w:sz w:val="22"/>
          <w:szCs w:val="22"/>
          <w:rtl w:val="0"/>
        </w:rPr>
        <w:t xml:space="preserve">, la presente resolución; asimismo, se hace de su conocimiento que de conformidad con lo establecido en el artículo 196 de la Ley de Transparencia y Acceso a la Información Pública del Estado de México y Municipios y 142 de la Ley de Protección de Datos Personales en Posesión de Sujetos Obligados del Estado de México y Municipios podrá promover el Juicio de Amparo en los términos de las leyes aplicables. </w:t>
      </w:r>
    </w:p>
    <w:p w:rsidR="00000000" w:rsidDel="00000000" w:rsidP="00000000" w:rsidRDefault="00000000" w:rsidRPr="00000000" w14:paraId="00000062">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DE SEPTIEMBRE DE DOS MIL VEINTICINCO, ANTE EL SECRETARIO TÉCNICO DEL PLENO ALEXIS TAPIA RAMÍREZ.</w:t>
      </w:r>
    </w:p>
    <w:p w:rsidR="00000000" w:rsidDel="00000000" w:rsidP="00000000" w:rsidRDefault="00000000" w:rsidRPr="00000000" w14:paraId="00000063">
      <w:pPr>
        <w:spacing w:after="240" w:before="240"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4">
      <w:pPr>
        <w:spacing w:line="360" w:lineRule="auto"/>
        <w:jc w:val="both"/>
        <w:rPr>
          <w:rFonts w:ascii="Palatino Linotype" w:cs="Palatino Linotype" w:eastAsia="Palatino Linotype" w:hAnsi="Palatino Linotype"/>
          <w:sz w:val="22"/>
          <w:szCs w:val="22"/>
        </w:rPr>
      </w:pPr>
      <w:bookmarkStart w:colFirst="0" w:colLast="0" w:name="_heading=h.1t3h5sf" w:id="12"/>
      <w:bookmarkEnd w:id="12"/>
      <w:r w:rsidDel="00000000" w:rsidR="00000000" w:rsidRPr="00000000">
        <w:rPr>
          <w:rtl w:val="0"/>
        </w:rPr>
      </w:r>
    </w:p>
    <w:p w:rsidR="00000000" w:rsidDel="00000000" w:rsidP="00000000" w:rsidRDefault="00000000" w:rsidRPr="00000000" w14:paraId="00000065">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6">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7">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8">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9">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A">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B">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C">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D">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E">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F">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0">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1">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2">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3">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4">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5">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6">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7">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8">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9">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A">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B">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C">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D">
      <w:pPr>
        <w:spacing w:line="360" w:lineRule="auto"/>
        <w:jc w:val="both"/>
        <w:rPr>
          <w:rFonts w:ascii="Palatino Linotype" w:cs="Palatino Linotype" w:eastAsia="Palatino Linotype" w:hAnsi="Palatino Linotype"/>
          <w:sz w:val="22"/>
          <w:szCs w:val="22"/>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701" w:top="1985"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252"/>
        <w:tab w:val="right" w:leader="none" w:pos="8504"/>
      </w:tabs>
      <w:jc w:val="right"/>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Página </w:t>
    </w:r>
    <w:r w:rsidDel="00000000" w:rsidR="00000000" w:rsidRPr="00000000">
      <w:rPr>
        <w:rFonts w:ascii="Palatino Linotype" w:cs="Palatino Linotype" w:eastAsia="Palatino Linotype" w:hAnsi="Palatino Linotype"/>
        <w:b w:val="1"/>
        <w:color w:val="000000"/>
        <w:sz w:val="20"/>
        <w:szCs w:val="20"/>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color w:val="000000"/>
        <w:sz w:val="20"/>
        <w:szCs w:val="20"/>
        <w:rtl w:val="0"/>
      </w:rPr>
      <w:t xml:space="preserve"> de </w:t>
    </w:r>
    <w:r w:rsidDel="00000000" w:rsidR="00000000" w:rsidRPr="00000000">
      <w:rPr>
        <w:rFonts w:ascii="Palatino Linotype" w:cs="Palatino Linotype" w:eastAsia="Palatino Linotype" w:hAnsi="Palatino Linotype"/>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252"/>
        <w:tab w:val="right" w:leader="none" w:pos="8504"/>
      </w:tabs>
      <w:ind w:firstLine="708"/>
      <w:rPr>
        <w:rFonts w:ascii="Cambria" w:cs="Cambria" w:eastAsia="Cambria" w:hAnsi="Cambria"/>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252"/>
        <w:tab w:val="right" w:leader="none" w:pos="8504"/>
      </w:tabs>
      <w:jc w:val="right"/>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Página </w:t>
    </w:r>
    <w:r w:rsidDel="00000000" w:rsidR="00000000" w:rsidRPr="00000000">
      <w:rPr>
        <w:rFonts w:ascii="Palatino Linotype" w:cs="Palatino Linotype" w:eastAsia="Palatino Linotype" w:hAnsi="Palatino Linotype"/>
        <w:b w:val="1"/>
        <w:color w:val="000000"/>
        <w:sz w:val="20"/>
        <w:szCs w:val="20"/>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color w:val="000000"/>
        <w:sz w:val="20"/>
        <w:szCs w:val="20"/>
        <w:rtl w:val="0"/>
      </w:rPr>
      <w:t xml:space="preserve"> de </w:t>
    </w:r>
    <w:r w:rsidDel="00000000" w:rsidR="00000000" w:rsidRPr="00000000">
      <w:rPr>
        <w:rFonts w:ascii="Palatino Linotype" w:cs="Palatino Linotype" w:eastAsia="Palatino Linotype" w:hAnsi="Palatino Linotype"/>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252"/>
        <w:tab w:val="right" w:leader="none" w:pos="8504"/>
      </w:tabs>
      <w:rPr>
        <w:rFonts w:ascii="Cambria" w:cs="Cambria" w:eastAsia="Cambria" w:hAnsi="Cambria"/>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rPr>
        <w:rFonts w:ascii="Cambria" w:cs="Cambria" w:eastAsia="Cambria" w:hAnsi="Cambria"/>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-1080115</wp:posOffset>
          </wp:positionH>
          <wp:positionV relativeFrom="paragraph">
            <wp:posOffset>-488292</wp:posOffset>
          </wp:positionV>
          <wp:extent cx="7809865" cy="10165715"/>
          <wp:effectExtent b="0" l="0" r="0" t="0"/>
          <wp:wrapNone/>
          <wp:docPr id="201975762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9865" cy="10165715"/>
                  </a:xfrm>
                  <a:prstGeom prst="rect"/>
                  <a:ln/>
                </pic:spPr>
              </pic:pic>
            </a:graphicData>
          </a:graphic>
        </wp:anchor>
      </w:drawing>
    </w:r>
  </w:p>
  <w:tbl>
    <w:tblPr>
      <w:tblStyle w:val="Table1"/>
      <w:tblW w:w="5953.0" w:type="dxa"/>
      <w:jc w:val="left"/>
      <w:tblInd w:w="3261.0" w:type="dxa"/>
      <w:tblLayout w:type="fixed"/>
      <w:tblLook w:val="0400"/>
    </w:tblPr>
    <w:tblGrid>
      <w:gridCol w:w="2489"/>
      <w:gridCol w:w="3464"/>
      <w:tblGridChange w:id="0">
        <w:tblGrid>
          <w:gridCol w:w="2489"/>
          <w:gridCol w:w="3464"/>
        </w:tblGrid>
      </w:tblGridChange>
    </w:tblGrid>
    <w:tr>
      <w:trPr>
        <w:cantSplit w:val="0"/>
        <w:tblHeader w:val="0"/>
      </w:trPr>
      <w:tc>
        <w:tcPr/>
        <w:p w:rsidR="00000000" w:rsidDel="00000000" w:rsidP="00000000" w:rsidRDefault="00000000" w:rsidRPr="00000000" w14:paraId="0000007F">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vAlign w:val="center"/>
        </w:tcPr>
        <w:p w:rsidR="00000000" w:rsidDel="00000000" w:rsidP="00000000" w:rsidRDefault="00000000" w:rsidRPr="00000000" w14:paraId="00000080">
          <w:pPr>
            <w:ind w:left="-53" w:right="175"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09454/INFOEM/AD/RR/2025</w:t>
          </w:r>
        </w:p>
      </w:tc>
    </w:tr>
    <w:tr>
      <w:trPr>
        <w:cantSplit w:val="0"/>
        <w:trHeight w:val="228" w:hRule="atLeast"/>
        <w:tblHeader w:val="0"/>
      </w:trPr>
      <w:tc>
        <w:tcPr>
          <w:vAlign w:val="center"/>
        </w:tcPr>
        <w:p w:rsidR="00000000" w:rsidDel="00000000" w:rsidP="00000000" w:rsidRDefault="00000000" w:rsidRPr="00000000" w14:paraId="00000081">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vAlign w:val="center"/>
        </w:tcPr>
        <w:p w:rsidR="00000000" w:rsidDel="00000000" w:rsidP="00000000" w:rsidRDefault="00000000" w:rsidRPr="00000000" w14:paraId="00000082">
          <w:pPr>
            <w:ind w:left="-45" w:right="176"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Instituto de Seguridad Social del Estado de México y Municipios</w:t>
          </w:r>
        </w:p>
      </w:tc>
    </w:tr>
    <w:tr>
      <w:trPr>
        <w:cantSplit w:val="0"/>
        <w:tblHeader w:val="0"/>
      </w:trPr>
      <w:tc>
        <w:tcPr>
          <w:vAlign w:val="center"/>
        </w:tcPr>
        <w:p w:rsidR="00000000" w:rsidDel="00000000" w:rsidP="00000000" w:rsidRDefault="00000000" w:rsidRPr="00000000" w14:paraId="00000083">
          <w:pPr>
            <w:ind w:right="-108"/>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 Ponente:</w:t>
          </w:r>
        </w:p>
      </w:tc>
      <w:tc>
        <w:tcPr>
          <w:vAlign w:val="center"/>
        </w:tcPr>
        <w:p w:rsidR="00000000" w:rsidDel="00000000" w:rsidP="00000000" w:rsidRDefault="00000000" w:rsidRPr="00000000" w14:paraId="00000084">
          <w:pPr>
            <w:ind w:left="-53" w:right="175"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Guadalupe Ramírez Peña</w:t>
          </w:r>
        </w:p>
      </w:tc>
    </w:tr>
  </w:tbl>
  <w:p w:rsidR="00000000" w:rsidDel="00000000" w:rsidP="00000000" w:rsidRDefault="00000000" w:rsidRPr="00000000" w14:paraId="00000085">
    <w:pPr>
      <w:rPr>
        <w:rFonts w:ascii="Cambria" w:cs="Cambria" w:eastAsia="Cambria" w:hAnsi="Cambria"/>
        <w:color w:val="000000"/>
      </w:rPr>
    </w:pPr>
    <w:r w:rsidDel="00000000" w:rsidR="00000000" w:rsidRPr="00000000">
      <w:rPr>
        <w:rFonts w:ascii="Cambria" w:cs="Cambria" w:eastAsia="Cambria" w:hAnsi="Cambria"/>
        <w:color w:val="000000"/>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76" w:lineRule="auto"/>
      <w:rPr>
        <w:rFonts w:ascii="Palatino Linotype" w:cs="Palatino Linotype" w:eastAsia="Palatino Linotype" w:hAnsi="Palatino Linotype"/>
        <w:color w:val="000000"/>
        <w:sz w:val="16"/>
        <w:szCs w:val="16"/>
      </w:rPr>
    </w:pPr>
    <w:r w:rsidDel="00000000" w:rsidR="00000000" w:rsidRPr="00000000">
      <w:rPr>
        <w:rtl w:val="0"/>
      </w:rPr>
    </w:r>
  </w:p>
  <w:tbl>
    <w:tblPr>
      <w:tblStyle w:val="Table2"/>
      <w:tblW w:w="5670.0" w:type="dxa"/>
      <w:jc w:val="left"/>
      <w:tblInd w:w="3261.0" w:type="dxa"/>
      <w:tblLayout w:type="fixed"/>
      <w:tblLook w:val="0400"/>
    </w:tblPr>
    <w:tblGrid>
      <w:gridCol w:w="2551"/>
      <w:gridCol w:w="3119"/>
      <w:tblGridChange w:id="0">
        <w:tblGrid>
          <w:gridCol w:w="2551"/>
          <w:gridCol w:w="3119"/>
        </w:tblGrid>
      </w:tblGridChange>
    </w:tblGrid>
    <w:tr>
      <w:trPr>
        <w:cantSplit w:val="0"/>
        <w:tblHeader w:val="0"/>
      </w:trPr>
      <w:tc>
        <w:tcPr>
          <w:vAlign w:val="center"/>
        </w:tcPr>
        <w:p w:rsidR="00000000" w:rsidDel="00000000" w:rsidP="00000000" w:rsidRDefault="00000000" w:rsidRPr="00000000" w14:paraId="00000087">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vAlign w:val="center"/>
        </w:tcPr>
        <w:p w:rsidR="00000000" w:rsidDel="00000000" w:rsidP="00000000" w:rsidRDefault="00000000" w:rsidRPr="00000000" w14:paraId="00000088">
          <w:pPr>
            <w:tabs>
              <w:tab w:val="left" w:leader="none" w:pos="3153"/>
            </w:tabs>
            <w:ind w:left="-45"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09454/INFOEM/AD/RR/2025</w:t>
          </w:r>
        </w:p>
      </w:tc>
    </w:tr>
    <w:tr>
      <w:trPr>
        <w:cantSplit w:val="0"/>
        <w:trHeight w:val="130" w:hRule="atLeast"/>
        <w:tblHeader w:val="0"/>
      </w:trPr>
      <w:tc>
        <w:tcPr>
          <w:vAlign w:val="center"/>
        </w:tcPr>
        <w:p w:rsidR="00000000" w:rsidDel="00000000" w:rsidP="00000000" w:rsidRDefault="00000000" w:rsidRPr="00000000" w14:paraId="00000089">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Recurrente:</w:t>
          </w:r>
        </w:p>
      </w:tc>
      <w:tc>
        <w:tcPr>
          <w:vAlign w:val="center"/>
        </w:tcPr>
        <w:p w:rsidR="00000000" w:rsidDel="00000000" w:rsidP="00000000" w:rsidRDefault="00000000" w:rsidRPr="00000000" w14:paraId="0000008A">
          <w:pPr>
            <w:ind w:left="-45" w:firstLine="0"/>
            <w:jc w:val="both"/>
            <w:rPr>
              <w:rFonts w:ascii="Palatino Linotype" w:cs="Palatino Linotype" w:eastAsia="Palatino Linotype" w:hAnsi="Palatino Linotype"/>
              <w:b w:val="1"/>
              <w:strike w:val="1"/>
              <w:sz w:val="22"/>
              <w:szCs w:val="22"/>
            </w:rPr>
          </w:pPr>
          <w:bookmarkStart w:colFirst="0" w:colLast="0" w:name="_heading=h.x8t3jzjg8ayd" w:id="13"/>
          <w:bookmarkEnd w:id="13"/>
          <w:r w:rsidDel="00000000" w:rsidR="00000000" w:rsidRPr="00000000">
            <w:rPr>
              <w:rFonts w:ascii="Palatino Linotype" w:cs="Palatino Linotype" w:eastAsia="Palatino Linotype" w:hAnsi="Palatino Linotype"/>
              <w:b w:val="1"/>
              <w:sz w:val="22"/>
              <w:szCs w:val="22"/>
              <w:rtl w:val="0"/>
            </w:rPr>
            <w:t xml:space="preserve">XXXXXXX XXXX XXXXXXX </w:t>
          </w:r>
          <w:r w:rsidDel="00000000" w:rsidR="00000000" w:rsidRPr="00000000">
            <w:rPr>
              <w:rtl w:val="0"/>
            </w:rPr>
          </w:r>
        </w:p>
      </w:tc>
    </w:tr>
    <w:tr>
      <w:trPr>
        <w:cantSplit w:val="0"/>
        <w:trHeight w:val="228" w:hRule="atLeast"/>
        <w:tblHeader w:val="0"/>
      </w:trPr>
      <w:tc>
        <w:tcPr>
          <w:vAlign w:val="center"/>
        </w:tcPr>
        <w:p w:rsidR="00000000" w:rsidDel="00000000" w:rsidP="00000000" w:rsidRDefault="00000000" w:rsidRPr="00000000" w14:paraId="0000008B">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vAlign w:val="center"/>
        </w:tcPr>
        <w:p w:rsidR="00000000" w:rsidDel="00000000" w:rsidP="00000000" w:rsidRDefault="00000000" w:rsidRPr="00000000" w14:paraId="0000008C">
          <w:pPr>
            <w:ind w:left="-45" w:right="176"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Instituto de Seguridad Social del Estado de México y Municipios</w:t>
          </w:r>
          <w:r w:rsidDel="00000000" w:rsidR="00000000" w:rsidRPr="00000000">
            <w:drawing>
              <wp:anchor allowOverlap="1" behindDoc="1" distB="0" distT="0" distL="0" distR="0" hidden="0" layoutInCell="1" locked="0" relativeHeight="0" simplePos="0">
                <wp:simplePos x="0" y="0"/>
                <wp:positionH relativeFrom="column">
                  <wp:posOffset>-4875527</wp:posOffset>
                </wp:positionH>
                <wp:positionV relativeFrom="paragraph">
                  <wp:posOffset>-1099182</wp:posOffset>
                </wp:positionV>
                <wp:extent cx="7809865" cy="10165715"/>
                <wp:effectExtent b="0" l="0" r="0" t="0"/>
                <wp:wrapNone/>
                <wp:docPr id="201975762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9865" cy="10165715"/>
                        </a:xfrm>
                        <a:prstGeom prst="rect"/>
                        <a:ln/>
                      </pic:spPr>
                    </pic:pic>
                  </a:graphicData>
                </a:graphic>
              </wp:anchor>
            </w:drawing>
          </w:r>
        </w:p>
      </w:tc>
    </w:tr>
    <w:tr>
      <w:trPr>
        <w:cantSplit w:val="0"/>
        <w:tblHeader w:val="0"/>
      </w:trPr>
      <w:tc>
        <w:tcPr>
          <w:vAlign w:val="center"/>
        </w:tcPr>
        <w:p w:rsidR="00000000" w:rsidDel="00000000" w:rsidP="00000000" w:rsidRDefault="00000000" w:rsidRPr="00000000" w14:paraId="0000008D">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 Ponente:</w:t>
          </w:r>
        </w:p>
      </w:tc>
      <w:tc>
        <w:tcPr>
          <w:vAlign w:val="center"/>
        </w:tcPr>
        <w:p w:rsidR="00000000" w:rsidDel="00000000" w:rsidP="00000000" w:rsidRDefault="00000000" w:rsidRPr="00000000" w14:paraId="0000008E">
          <w:pPr>
            <w:ind w:left="-45" w:right="-533"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Guadalupe Ramírez Peña</w:t>
          </w:r>
        </w:p>
      </w:tc>
    </w:tr>
  </w:tbl>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252"/>
        <w:tab w:val="right" w:leader="none" w:pos="8504"/>
      </w:tabs>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634" w:hanging="360"/>
      </w:pPr>
      <w:rPr/>
    </w:lvl>
    <w:lvl w:ilvl="1">
      <w:start w:val="1"/>
      <w:numFmt w:val="lowerLetter"/>
      <w:lvlText w:val="%2."/>
      <w:lvlJc w:val="left"/>
      <w:pPr>
        <w:ind w:left="1354" w:hanging="360"/>
      </w:pPr>
      <w:rPr/>
    </w:lvl>
    <w:lvl w:ilvl="2">
      <w:start w:val="1"/>
      <w:numFmt w:val="lowerRoman"/>
      <w:lvlText w:val="%3."/>
      <w:lvlJc w:val="right"/>
      <w:pPr>
        <w:ind w:left="2074" w:hanging="180"/>
      </w:pPr>
      <w:rPr/>
    </w:lvl>
    <w:lvl w:ilvl="3">
      <w:start w:val="1"/>
      <w:numFmt w:val="decimal"/>
      <w:lvlText w:val="%4."/>
      <w:lvlJc w:val="left"/>
      <w:pPr>
        <w:ind w:left="2794" w:hanging="360"/>
      </w:pPr>
      <w:rPr/>
    </w:lvl>
    <w:lvl w:ilvl="4">
      <w:start w:val="1"/>
      <w:numFmt w:val="lowerLetter"/>
      <w:lvlText w:val="%5."/>
      <w:lvlJc w:val="left"/>
      <w:pPr>
        <w:ind w:left="3514" w:hanging="360"/>
      </w:pPr>
      <w:rPr/>
    </w:lvl>
    <w:lvl w:ilvl="5">
      <w:start w:val="1"/>
      <w:numFmt w:val="lowerRoman"/>
      <w:lvlText w:val="%6."/>
      <w:lvlJc w:val="right"/>
      <w:pPr>
        <w:ind w:left="4234" w:hanging="180"/>
      </w:pPr>
      <w:rPr/>
    </w:lvl>
    <w:lvl w:ilvl="6">
      <w:start w:val="1"/>
      <w:numFmt w:val="decimal"/>
      <w:lvlText w:val="%7."/>
      <w:lvlJc w:val="left"/>
      <w:pPr>
        <w:ind w:left="4954" w:hanging="360"/>
      </w:pPr>
      <w:rPr/>
    </w:lvl>
    <w:lvl w:ilvl="7">
      <w:start w:val="1"/>
      <w:numFmt w:val="lowerLetter"/>
      <w:lvlText w:val="%8."/>
      <w:lvlJc w:val="left"/>
      <w:pPr>
        <w:ind w:left="5674" w:hanging="360"/>
      </w:pPr>
      <w:rPr/>
    </w:lvl>
    <w:lvl w:ilvl="8">
      <w:start w:val="1"/>
      <w:numFmt w:val="lowerRoman"/>
      <w:lvlText w:val="%9."/>
      <w:lvlJc w:val="right"/>
      <w:pPr>
        <w:ind w:left="6394"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spacing w:after="60" w:before="240" w:lineRule="auto"/>
      <w:ind w:left="2160" w:hanging="720"/>
    </w:pPr>
    <w:rPr>
      <w:rFonts w:ascii="Calibri" w:cs="Calibri" w:eastAsia="Calibri" w:hAnsi="Calibri"/>
      <w:b w:val="1"/>
      <w:sz w:val="26"/>
      <w:szCs w:val="26"/>
    </w:rPr>
  </w:style>
  <w:style w:type="paragraph" w:styleId="Heading4">
    <w:name w:val="heading 4"/>
    <w:basedOn w:val="Normal"/>
    <w:next w:val="Normal"/>
    <w:pPr>
      <w:keepNext w:val="1"/>
      <w:spacing w:after="60" w:before="240" w:lineRule="auto"/>
      <w:ind w:left="2880" w:hanging="720"/>
    </w:pPr>
    <w:rPr>
      <w:rFonts w:ascii="Cambria" w:cs="Cambria" w:eastAsia="Cambria" w:hAnsi="Cambria"/>
      <w:b w:val="1"/>
      <w:sz w:val="28"/>
      <w:szCs w:val="28"/>
    </w:rPr>
  </w:style>
  <w:style w:type="paragraph" w:styleId="Heading5">
    <w:name w:val="heading 5"/>
    <w:basedOn w:val="Normal"/>
    <w:next w:val="Normal"/>
    <w:pPr>
      <w:spacing w:after="60" w:before="240" w:lineRule="auto"/>
      <w:ind w:left="3600" w:hanging="720"/>
    </w:pPr>
    <w:rPr>
      <w:rFonts w:ascii="Cambria" w:cs="Cambria" w:eastAsia="Cambria" w:hAnsi="Cambria"/>
      <w:b w:val="1"/>
      <w:i w:val="1"/>
      <w:sz w:val="26"/>
      <w:szCs w:val="26"/>
    </w:rPr>
  </w:style>
  <w:style w:type="paragraph" w:styleId="Heading6">
    <w:name w:val="heading 6"/>
    <w:basedOn w:val="Normal"/>
    <w:next w:val="Normal"/>
    <w:pPr>
      <w:spacing w:after="60" w:before="240" w:lineRule="auto"/>
      <w:ind w:left="4320" w:hanging="720"/>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Ttulo7">
    <w:name w:val="heading 7"/>
    <w:basedOn w:val="Normal"/>
    <w:next w:val="Normal"/>
    <w:link w:val="Ttulo7Car"/>
    <w:uiPriority w:val="9"/>
    <w:semiHidden w:val="1"/>
    <w:unhideWhenUsed w:val="1"/>
    <w:qFormat w:val="1"/>
    <w:rsid w:val="003B73CD"/>
    <w:pPr>
      <w:tabs>
        <w:tab w:val="num" w:pos="5040"/>
      </w:tabs>
      <w:spacing w:after="60" w:before="240"/>
      <w:ind w:left="5040" w:hanging="720"/>
      <w:outlineLvl w:val="6"/>
    </w:pPr>
    <w:rPr>
      <w:rFonts w:asciiTheme="minorHAnsi" w:cstheme="minorBidi" w:eastAsiaTheme="minorEastAsia" w:hAnsiTheme="minorHAnsi"/>
      <w:lang w:eastAsia="en-US" w:val="en-US"/>
    </w:rPr>
  </w:style>
  <w:style w:type="paragraph" w:styleId="Ttulo8">
    <w:name w:val="heading 8"/>
    <w:basedOn w:val="Normal"/>
    <w:next w:val="Normal"/>
    <w:link w:val="Ttulo8Car"/>
    <w:uiPriority w:val="9"/>
    <w:semiHidden w:val="1"/>
    <w:unhideWhenUsed w:val="1"/>
    <w:qFormat w:val="1"/>
    <w:rsid w:val="003B73CD"/>
    <w:pPr>
      <w:tabs>
        <w:tab w:val="num" w:pos="5760"/>
      </w:tabs>
      <w:spacing w:after="60" w:before="240"/>
      <w:ind w:left="5760" w:hanging="720"/>
      <w:outlineLvl w:val="7"/>
    </w:pPr>
    <w:rPr>
      <w:rFonts w:asciiTheme="minorHAnsi" w:cstheme="minorBidi" w:eastAsiaTheme="minorEastAsia" w:hAnsiTheme="minorHAnsi"/>
      <w:i w:val="1"/>
      <w:iCs w:val="1"/>
      <w:lang w:eastAsia="en-US" w:val="en-US"/>
    </w:rPr>
  </w:style>
  <w:style w:type="paragraph" w:styleId="Ttulo9">
    <w:name w:val="heading 9"/>
    <w:basedOn w:val="Normal"/>
    <w:next w:val="Normal"/>
    <w:link w:val="Ttulo9Car"/>
    <w:uiPriority w:val="9"/>
    <w:semiHidden w:val="1"/>
    <w:unhideWhenUsed w:val="1"/>
    <w:qFormat w:val="1"/>
    <w:rsid w:val="003B73CD"/>
    <w:pPr>
      <w:tabs>
        <w:tab w:val="num" w:pos="6480"/>
      </w:tabs>
      <w:spacing w:after="60" w:before="240"/>
      <w:ind w:left="6480" w:hanging="720"/>
      <w:outlineLvl w:val="8"/>
    </w:pPr>
    <w:rPr>
      <w:rFonts w:asciiTheme="majorHAnsi" w:cstheme="majorBidi" w:eastAsiaTheme="majorEastAsia" w:hAnsiTheme="majorHAnsi"/>
      <w:sz w:val="22"/>
      <w:szCs w:val="22"/>
      <w:lang w:eastAsia="en-US" w:val="en-U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9"/>
    <w:tblPr>
      <w:tblCellMar>
        <w:top w:w="0.0" w:type="dxa"/>
        <w:left w:w="0.0" w:type="dxa"/>
        <w:bottom w:w="0.0" w:type="dxa"/>
        <w:right w:w="0.0" w:type="dxa"/>
      </w:tblCellMar>
    </w:tblPr>
  </w:style>
  <w:style w:type="table" w:styleId="TableNormal80" w:customStyle="1">
    <w:name w:val="Table Normal8"/>
    <w:tblPr>
      <w:tblCellMar>
        <w:top w:w="0.0" w:type="dxa"/>
        <w:left w:w="0.0" w:type="dxa"/>
        <w:bottom w:w="0.0" w:type="dxa"/>
        <w:right w:w="0.0" w:type="dxa"/>
      </w:tblCellMar>
    </w:tblPr>
  </w:style>
  <w:style w:type="table" w:styleId="TableNormal70" w:customStyle="1">
    <w:name w:val="Table Normal7"/>
    <w:tblPr>
      <w:tblCellMar>
        <w:top w:w="0.0" w:type="dxa"/>
        <w:left w:w="0.0" w:type="dxa"/>
        <w:bottom w:w="0.0" w:type="dxa"/>
        <w:right w:w="0.0" w:type="dxa"/>
      </w:tblCellMar>
    </w:tblPr>
  </w:style>
  <w:style w:type="table" w:styleId="TableNormal60" w:customStyle="1">
    <w:name w:val="Table Normal6"/>
    <w:tblPr>
      <w:tblCellMar>
        <w:top w:w="0.0" w:type="dxa"/>
        <w:left w:w="0.0" w:type="dxa"/>
        <w:bottom w:w="0.0" w:type="dxa"/>
        <w:right w:w="0.0" w:type="dxa"/>
      </w:tblCellMar>
    </w:tblPr>
  </w:style>
  <w:style w:type="table" w:styleId="TableNormal50" w:customStyle="1">
    <w:name w:val="Table Normal5"/>
    <w:tblPr>
      <w:tblCellMar>
        <w:top w:w="0.0" w:type="dxa"/>
        <w:left w:w="0.0" w:type="dxa"/>
        <w:bottom w:w="0.0" w:type="dxa"/>
        <w:right w:w="0.0" w:type="dxa"/>
      </w:tblCellMar>
    </w:tblPr>
  </w:style>
  <w:style w:type="table" w:styleId="TableNormal40" w:customStyle="1">
    <w:name w:val="Table Normal4"/>
    <w:tblPr>
      <w:tblCellMar>
        <w:top w:w="0.0" w:type="dxa"/>
        <w:left w:w="0.0" w:type="dxa"/>
        <w:bottom w:w="0.0" w:type="dxa"/>
        <w:right w:w="0.0" w:type="dxa"/>
      </w:tblCellMar>
    </w:tblPr>
  </w:style>
  <w:style w:type="table" w:styleId="TableNormal30" w:customStyle="1">
    <w:name w:val="Table Normal3"/>
    <w:tblPr>
      <w:tblCellMar>
        <w:top w:w="0.0" w:type="dxa"/>
        <w:left w:w="0.0" w:type="dxa"/>
        <w:bottom w:w="0.0" w:type="dxa"/>
        <w:right w:w="0.0" w:type="dxa"/>
      </w:tblCellMar>
    </w:tblPr>
  </w:style>
  <w:style w:type="table" w:styleId="TableNormal20" w:customStyle="1">
    <w:name w:val="Table Normal2"/>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EncabezadoCar" w:customStyle="1">
    <w:name w:val="Encabezado Car"/>
    <w:basedOn w:val="Fuentedeprrafopredeter"/>
    <w:link w:val="Encabezado"/>
    <w:uiPriority w:val="99"/>
    <w:rsid w:val="00C80F8C"/>
  </w:style>
  <w:style w:type="paragraph" w:styleId="Piedepgina">
    <w:name w:val="footer"/>
    <w:basedOn w:val="Normal"/>
    <w:link w:val="Piedepgina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PiedepginaCar" w:customStyle="1">
    <w:name w:val="Pie de página Car"/>
    <w:basedOn w:val="Fuentedeprrafopredeter"/>
    <w:link w:val="Piedepgina"/>
    <w:uiPriority w:val="99"/>
    <w:rsid w:val="00C80F8C"/>
  </w:style>
  <w:style w:type="paragraph" w:styleId="Textodeglobo">
    <w:name w:val="Balloon Text"/>
    <w:basedOn w:val="Normal"/>
    <w:link w:val="TextodegloboCar"/>
    <w:uiPriority w:val="99"/>
    <w:semiHidden w:val="1"/>
    <w:unhideWhenUsed w:val="1"/>
    <w:rsid w:val="00C80F8C"/>
    <w:rPr>
      <w:rFonts w:ascii="Lucida Grande" w:cs="Lucida Grande" w:hAnsi="Lucida Grande" w:eastAsiaTheme="minorEastAsia"/>
      <w:sz w:val="18"/>
      <w:szCs w:val="18"/>
      <w:lang w:val="es-ES_tradnl"/>
    </w:rPr>
  </w:style>
  <w:style w:type="character" w:styleId="TextodegloboCar" w:customStyle="1">
    <w:name w:val="Texto de globo Car"/>
    <w:basedOn w:val="Fuentedeprrafopredeter"/>
    <w:link w:val="Textodeglobo"/>
    <w:uiPriority w:val="99"/>
    <w:semiHidden w:val="1"/>
    <w:rsid w:val="00C80F8C"/>
    <w:rPr>
      <w:rFonts w:ascii="Lucida Grande" w:cs="Lucida Grande" w:hAnsi="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70703E"/>
    <w:pPr>
      <w:ind w:left="720"/>
      <w:contextualSpacing w:val="1"/>
    </w:pPr>
  </w:style>
  <w:style w:type="character" w:styleId="Hipervnculo">
    <w:name w:val="Hyperlink"/>
    <w:basedOn w:val="Fuentedeprrafopredeter"/>
    <w:uiPriority w:val="99"/>
    <w:unhideWhenUsed w:val="1"/>
    <w:rsid w:val="00FD7589"/>
    <w:rPr>
      <w:color w:val="0000ff"/>
      <w:u w:val="single"/>
    </w:rPr>
  </w:style>
  <w:style w:type="character" w:styleId="apple-converted-space" w:customStyle="1">
    <w:name w:val="apple-converted-space"/>
    <w:basedOn w:val="Fuentedeprrafopredeter"/>
    <w:rsid w:val="00FD7589"/>
  </w:style>
  <w:style w:type="paragraph" w:styleId="Listavistosa-nfasis11" w:customStyle="1">
    <w:name w:val="Lista vistosa - Énfasis 11"/>
    <w:basedOn w:val="Normal"/>
    <w:link w:val="Listavistosa-nfasis1Car"/>
    <w:uiPriority w:val="34"/>
    <w:qFormat w:val="1"/>
    <w:rsid w:val="000D2D89"/>
    <w:pPr>
      <w:ind w:left="708"/>
    </w:pPr>
  </w:style>
  <w:style w:type="character" w:styleId="Listavistosa-nfasis1Car" w:customStyle="1">
    <w:name w:val="Lista vistosa - Énfasis 1 Car"/>
    <w:link w:val="Listavistosa-nfasis11"/>
    <w:uiPriority w:val="34"/>
    <w:locked w:val="1"/>
    <w:rsid w:val="000D2D89"/>
    <w:rPr>
      <w:rFonts w:ascii="Times New Roman" w:cs="Times New Roman" w:eastAsia="Times New Roman" w:hAnsi="Times New Roman"/>
      <w:lang w:val="es-ES"/>
    </w:rPr>
  </w:style>
  <w:style w:type="paragraph" w:styleId="Texto" w:customStyle="1">
    <w:name w:val="Texto"/>
    <w:basedOn w:val="Normal"/>
    <w:link w:val="TextoCar"/>
    <w:rsid w:val="000470FE"/>
    <w:pPr>
      <w:spacing w:after="101" w:line="216" w:lineRule="exact"/>
      <w:ind w:firstLine="288"/>
      <w:jc w:val="both"/>
    </w:pPr>
    <w:rPr>
      <w:rFonts w:ascii="Arial" w:cs="Arial" w:hAnsi="Arial"/>
      <w:sz w:val="18"/>
      <w:szCs w:val="18"/>
    </w:rPr>
  </w:style>
  <w:style w:type="paragraph" w:styleId="NormalWeb">
    <w:name w:val="Normal (Web)"/>
    <w:basedOn w:val="Normal"/>
    <w:uiPriority w:val="99"/>
    <w:rsid w:val="000470FE"/>
    <w:pPr>
      <w:spacing w:after="100" w:afterAutospacing="1" w:before="100" w:beforeAutospacing="1"/>
    </w:pPr>
  </w:style>
  <w:style w:type="character" w:styleId="apple-style-span" w:customStyle="1">
    <w:name w:val="apple-style-span"/>
    <w:rsid w:val="008846E7"/>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7E1FF4"/>
    <w:rPr>
      <w:rFonts w:ascii="Times New Roman" w:cs="Times New Roman" w:eastAsia="Times New Roman" w:hAnsi="Times New Roman"/>
      <w:lang w:val="es-ES"/>
    </w:rPr>
  </w:style>
  <w:style w:type="character" w:styleId="Textoennegrita">
    <w:name w:val="Strong"/>
    <w:uiPriority w:val="22"/>
    <w:qFormat w:val="1"/>
    <w:rsid w:val="003D1B5F"/>
    <w:rPr>
      <w:b w:val="1"/>
      <w:bCs w:val="1"/>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val="1"/>
    <w:qFormat w:val="1"/>
    <w:rsid w:val="002944C8"/>
    <w:rPr>
      <w:rFonts w:asciiTheme="minorHAnsi" w:cstheme="minorBidi" w:eastAsiaTheme="minorHAnsi" w:hAnsiTheme="minorHAnsi"/>
      <w:sz w:val="20"/>
      <w:szCs w:val="20"/>
      <w:lang w:eastAsia="en-US"/>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eastAsia="en-US"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val="1"/>
    <w:qFormat w:val="1"/>
    <w:rsid w:val="002944C8"/>
    <w:rPr>
      <w:vertAlign w:val="superscript"/>
    </w:rPr>
  </w:style>
  <w:style w:type="paragraph" w:styleId="Sinespaciado">
    <w:name w:val="No Spacing"/>
    <w:aliases w:val="Francesa,INAI"/>
    <w:link w:val="SinespaciadoCar"/>
    <w:uiPriority w:val="1"/>
    <w:qFormat w:val="1"/>
    <w:rsid w:val="002944C8"/>
  </w:style>
  <w:style w:type="paragraph" w:styleId="Textoindependiente2">
    <w:name w:val="Body Text 2"/>
    <w:basedOn w:val="Normal"/>
    <w:link w:val="Textoindependiente2Car"/>
    <w:uiPriority w:val="99"/>
    <w:unhideWhenUsed w:val="1"/>
    <w:rsid w:val="002944C8"/>
    <w:pPr>
      <w:spacing w:after="120" w:line="480" w:lineRule="auto"/>
    </w:pPr>
  </w:style>
  <w:style w:type="character" w:styleId="Textoindependiente2Car" w:customStyle="1">
    <w:name w:val="Texto independiente 2 Car"/>
    <w:basedOn w:val="Fuentedeprrafopredeter"/>
    <w:link w:val="Textoindependiente2"/>
    <w:uiPriority w:val="99"/>
    <w:rsid w:val="002944C8"/>
    <w:rPr>
      <w:rFonts w:ascii="Times New Roman" w:cs="Times New Roman" w:eastAsia="Times New Roman" w:hAnsi="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styleId="TextosinformatoCar" w:customStyle="1">
    <w:name w:val="Texto sin formato Car"/>
    <w:basedOn w:val="Fuentedeprrafopredeter"/>
    <w:link w:val="Textosinformato"/>
    <w:rsid w:val="002944C8"/>
    <w:rPr>
      <w:rFonts w:ascii="Courier New" w:cs="Times New Roman" w:eastAsia="Times New Roman" w:hAnsi="Courier New"/>
      <w:sz w:val="20"/>
      <w:szCs w:val="20"/>
      <w:lang w:val="es-ES"/>
    </w:rPr>
  </w:style>
  <w:style w:type="paragraph" w:styleId="Standard" w:customStyle="1">
    <w:name w:val="Standard"/>
    <w:rsid w:val="002944C8"/>
    <w:pPr>
      <w:widowControl w:val="0"/>
      <w:suppressAutoHyphens w:val="1"/>
      <w:autoSpaceDN w:val="0"/>
      <w:textAlignment w:val="baseline"/>
    </w:pPr>
    <w:rPr>
      <w:rFonts w:ascii="Liberation Serif" w:cs="Lohit Hindi" w:eastAsia="DejaVu Sans" w:hAnsi="Liberation Serif"/>
      <w:kern w:val="3"/>
      <w:lang w:bidi="hi-IN" w:eastAsia="zh-CN"/>
    </w:rPr>
  </w:style>
  <w:style w:type="character" w:styleId="negritas1" w:customStyle="1">
    <w:name w:val="negritas1"/>
    <w:rsid w:val="002944C8"/>
    <w:rPr>
      <w:rFonts w:ascii="Arial" w:cs="Arial" w:hAnsi="Arial" w:hint="default"/>
      <w:b w:val="1"/>
      <w:bCs w:val="1"/>
      <w:sz w:val="18"/>
      <w:szCs w:val="18"/>
    </w:rPr>
  </w:style>
  <w:style w:type="paragraph" w:styleId="Pa2" w:customStyle="1">
    <w:name w:val="Pa2"/>
    <w:basedOn w:val="Normal"/>
    <w:next w:val="Normal"/>
    <w:uiPriority w:val="99"/>
    <w:rsid w:val="002944C8"/>
    <w:pPr>
      <w:autoSpaceDE w:val="0"/>
      <w:autoSpaceDN w:val="0"/>
      <w:adjustRightInd w:val="0"/>
      <w:spacing w:line="240" w:lineRule="atLeast"/>
    </w:pPr>
    <w:rPr>
      <w:rFonts w:ascii="Helvetica" w:hAnsi="Helvetica"/>
      <w:lang w:eastAsia="es-ES_tradnl" w:val="es-ES_tradnl"/>
    </w:rPr>
  </w:style>
  <w:style w:type="paragraph" w:styleId="Default" w:customStyle="1">
    <w:name w:val="Default"/>
    <w:rsid w:val="002944C8"/>
    <w:pPr>
      <w:autoSpaceDE w:val="0"/>
      <w:autoSpaceDN w:val="0"/>
      <w:adjustRightInd w:val="0"/>
    </w:pPr>
    <w:rPr>
      <w:rFonts w:ascii="Arial" w:cs="Arial" w:hAnsi="Arial" w:eastAsiaTheme="minorHAnsi"/>
      <w:color w:val="000000"/>
      <w:lang w:eastAsia="en-US"/>
    </w:rPr>
  </w:style>
  <w:style w:type="character" w:styleId="f" w:customStyle="1">
    <w:name w:val="f"/>
    <w:basedOn w:val="Fuentedeprrafopredeter"/>
    <w:rsid w:val="002944C8"/>
  </w:style>
  <w:style w:type="paragraph" w:styleId="q" w:customStyle="1">
    <w:name w:val="q"/>
    <w:basedOn w:val="Normal"/>
    <w:rsid w:val="002944C8"/>
    <w:pPr>
      <w:spacing w:after="100" w:afterAutospacing="1" w:before="100" w:beforeAutospacing="1"/>
    </w:pPr>
  </w:style>
  <w:style w:type="character" w:styleId="d" w:customStyle="1">
    <w:name w:val="d"/>
    <w:basedOn w:val="Fuentedeprrafopredeter"/>
    <w:rsid w:val="002944C8"/>
  </w:style>
  <w:style w:type="character" w:styleId="b" w:customStyle="1">
    <w:name w:val="b"/>
    <w:basedOn w:val="Fuentedeprrafopredeter"/>
    <w:rsid w:val="002944C8"/>
  </w:style>
  <w:style w:type="character" w:styleId="k" w:customStyle="1">
    <w:name w:val="k"/>
    <w:basedOn w:val="Fuentedeprrafopredeter"/>
    <w:rsid w:val="002944C8"/>
  </w:style>
  <w:style w:type="character" w:styleId="h" w:customStyle="1">
    <w:name w:val="h"/>
    <w:basedOn w:val="Fuentedeprrafopredeter"/>
    <w:rsid w:val="002944C8"/>
  </w:style>
  <w:style w:type="character" w:styleId="Hipervnculovisitado">
    <w:name w:val="FollowedHyperlink"/>
    <w:basedOn w:val="Fuentedeprrafopredeter"/>
    <w:uiPriority w:val="99"/>
    <w:semiHidden w:val="1"/>
    <w:unhideWhenUsed w:val="1"/>
    <w:rsid w:val="002944C8"/>
    <w:rPr>
      <w:color w:val="800080" w:themeColor="followedHyperlink"/>
      <w:u w:val="single"/>
    </w:rPr>
  </w:style>
  <w:style w:type="character" w:styleId="CitaHTML">
    <w:name w:val="HTML Cite"/>
    <w:uiPriority w:val="99"/>
    <w:semiHidden w:val="1"/>
    <w:unhideWhenUsed w:val="1"/>
    <w:rsid w:val="00B85C7C"/>
    <w:rPr>
      <w:i w:val="1"/>
      <w:iCs w:val="1"/>
    </w:rPr>
  </w:style>
  <w:style w:type="character" w:styleId="SinespaciadoCar" w:customStyle="1">
    <w:name w:val="Sin espaciado Car"/>
    <w:aliases w:val="Francesa Car,INAI Car"/>
    <w:link w:val="Sinespaciado"/>
    <w:uiPriority w:val="1"/>
    <w:locked w:val="1"/>
    <w:rsid w:val="00270539"/>
    <w:rPr>
      <w:rFonts w:ascii="Times New Roman" w:cs="Times New Roman" w:eastAsia="Times New Roman" w:hAnsi="Times New Roman"/>
      <w:lang w:val="es-MX"/>
    </w:rPr>
  </w:style>
  <w:style w:type="character" w:styleId="medium" w:customStyle="1">
    <w:name w:val="medium"/>
    <w:basedOn w:val="Fuentedeprrafopredeter"/>
    <w:rsid w:val="00354DB7"/>
  </w:style>
  <w:style w:type="table" w:styleId="Tablaconcuadrcula">
    <w:name w:val="Table Grid"/>
    <w:basedOn w:val="Tablanormal"/>
    <w:uiPriority w:val="59"/>
    <w:rsid w:val="00BB3AE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umeroconsecutivo" w:customStyle="1">
    <w:name w:val="numeroconsecutivo"/>
    <w:basedOn w:val="Fuentedeprrafopredeter"/>
    <w:rsid w:val="00615060"/>
  </w:style>
  <w:style w:type="character" w:styleId="titulorubrolgt" w:customStyle="1">
    <w:name w:val="titulorubrolgt"/>
    <w:basedOn w:val="Fuentedeprrafopredeter"/>
    <w:rsid w:val="00615060"/>
  </w:style>
  <w:style w:type="character" w:styleId="ctr" w:customStyle="1">
    <w:name w:val="ctr"/>
    <w:basedOn w:val="Fuentedeprrafopredeter"/>
    <w:rsid w:val="00615060"/>
  </w:style>
  <w:style w:type="paragraph" w:styleId="Textonotaalfinal">
    <w:name w:val="endnote text"/>
    <w:basedOn w:val="Normal"/>
    <w:link w:val="TextonotaalfinalCar"/>
    <w:uiPriority w:val="99"/>
    <w:semiHidden w:val="1"/>
    <w:unhideWhenUsed w:val="1"/>
    <w:rsid w:val="00D25E88"/>
    <w:rPr>
      <w:sz w:val="20"/>
      <w:szCs w:val="20"/>
    </w:rPr>
  </w:style>
  <w:style w:type="character" w:styleId="TextonotaalfinalCar" w:customStyle="1">
    <w:name w:val="Texto nota al final Car"/>
    <w:basedOn w:val="Fuentedeprrafopredeter"/>
    <w:link w:val="Textonotaalfinal"/>
    <w:uiPriority w:val="99"/>
    <w:semiHidden w:val="1"/>
    <w:rsid w:val="00D25E88"/>
    <w:rPr>
      <w:rFonts w:ascii="Times New Roman" w:cs="Times New Roman" w:eastAsia="Times New Roman" w:hAnsi="Times New Roman"/>
      <w:sz w:val="20"/>
      <w:szCs w:val="20"/>
      <w:lang w:val="es-ES"/>
    </w:rPr>
  </w:style>
  <w:style w:type="character" w:styleId="Refdenotaalfinal">
    <w:name w:val="endnote reference"/>
    <w:basedOn w:val="Fuentedeprrafopredeter"/>
    <w:uiPriority w:val="99"/>
    <w:semiHidden w:val="1"/>
    <w:unhideWhenUsed w:val="1"/>
    <w:rsid w:val="00D25E88"/>
    <w:rPr>
      <w:vertAlign w:val="superscript"/>
    </w:rPr>
  </w:style>
  <w:style w:type="character" w:styleId="A1" w:customStyle="1">
    <w:name w:val="A1"/>
    <w:uiPriority w:val="99"/>
    <w:rsid w:val="00EC4ECD"/>
    <w:rPr>
      <w:rFonts w:ascii="Myriad Pro" w:cs="Myriad Pro" w:hAnsi="Myriad Pro" w:hint="default"/>
      <w:color w:val="000000"/>
      <w:sz w:val="22"/>
      <w:szCs w:val="22"/>
    </w:rPr>
  </w:style>
  <w:style w:type="paragraph" w:styleId="Pa9" w:customStyle="1">
    <w:name w:val="Pa9"/>
    <w:basedOn w:val="Normal"/>
    <w:next w:val="Normal"/>
    <w:uiPriority w:val="99"/>
    <w:rsid w:val="00EC4ECD"/>
    <w:pPr>
      <w:autoSpaceDE w:val="0"/>
      <w:autoSpaceDN w:val="0"/>
      <w:adjustRightInd w:val="0"/>
      <w:spacing w:line="241" w:lineRule="atLeast"/>
    </w:pPr>
    <w:rPr>
      <w:rFonts w:ascii="Myriad Pro" w:hAnsi="Myriad Pro" w:cstheme="minorBidi" w:eastAsiaTheme="minorHAnsi"/>
      <w:lang w:eastAsia="en-US"/>
    </w:rPr>
  </w:style>
  <w:style w:type="paragraph" w:styleId="Pa5" w:customStyle="1">
    <w:name w:val="Pa5"/>
    <w:basedOn w:val="Normal"/>
    <w:next w:val="Normal"/>
    <w:uiPriority w:val="99"/>
    <w:rsid w:val="00EC4ECD"/>
    <w:pPr>
      <w:autoSpaceDE w:val="0"/>
      <w:autoSpaceDN w:val="0"/>
      <w:adjustRightInd w:val="0"/>
      <w:spacing w:line="201" w:lineRule="atLeast"/>
    </w:pPr>
    <w:rPr>
      <w:rFonts w:ascii="Myriad Pro" w:hAnsi="Myriad Pro" w:cstheme="minorBidi" w:eastAsiaTheme="minorHAnsi"/>
      <w:lang w:eastAsia="en-US"/>
    </w:rPr>
  </w:style>
  <w:style w:type="paragraph" w:styleId="m5127500252372250437gmail-paragraph" w:customStyle="1">
    <w:name w:val="m_5127500252372250437gmail-paragraph"/>
    <w:basedOn w:val="Normal"/>
    <w:rsid w:val="00980B7E"/>
    <w:pPr>
      <w:spacing w:after="100" w:afterAutospacing="1" w:before="100" w:beforeAutospacing="1"/>
    </w:pPr>
  </w:style>
  <w:style w:type="character" w:styleId="nombrefraccder" w:customStyle="1">
    <w:name w:val="nombrefraccder"/>
    <w:basedOn w:val="Fuentedeprrafopredeter"/>
    <w:rsid w:val="009B4A68"/>
  </w:style>
  <w:style w:type="character" w:styleId="numberfraccder" w:customStyle="1">
    <w:name w:val="numberfraccder"/>
    <w:basedOn w:val="Fuentedeprrafopredeter"/>
    <w:rsid w:val="009B4A68"/>
  </w:style>
  <w:style w:type="character" w:styleId="TextoCar" w:customStyle="1">
    <w:name w:val="Texto Car"/>
    <w:link w:val="Texto"/>
    <w:locked w:val="1"/>
    <w:rsid w:val="002B0963"/>
    <w:rPr>
      <w:rFonts w:ascii="Arial" w:cs="Arial" w:eastAsia="Times New Roman" w:hAnsi="Arial"/>
      <w:sz w:val="18"/>
      <w:szCs w:val="18"/>
      <w:lang w:val="es-MX"/>
    </w:rPr>
  </w:style>
  <w:style w:type="character" w:styleId="nfasis">
    <w:name w:val="Emphasis"/>
    <w:basedOn w:val="Fuentedeprrafopredeter"/>
    <w:uiPriority w:val="20"/>
    <w:qFormat w:val="1"/>
    <w:rsid w:val="00C536F2"/>
    <w:rPr>
      <w:i w:val="1"/>
      <w:iCs w:val="1"/>
    </w:rPr>
  </w:style>
  <w:style w:type="character" w:styleId="normaltextrun" w:customStyle="1">
    <w:name w:val="normaltextrun"/>
    <w:basedOn w:val="Fuentedeprrafopredeter"/>
    <w:rsid w:val="0011437B"/>
  </w:style>
  <w:style w:type="character" w:styleId="m5127500252372250437gmail-normaltextrun" w:customStyle="1">
    <w:name w:val="m_5127500252372250437gmail-normaltextrun"/>
    <w:basedOn w:val="Fuentedeprrafopredeter"/>
    <w:rsid w:val="0011437B"/>
  </w:style>
  <w:style w:type="paragraph" w:styleId="m-60081275284358516gmail-msolistparagraph" w:customStyle="1">
    <w:name w:val="m_-60081275284358516gmail-msolistparagraph"/>
    <w:basedOn w:val="Normal"/>
    <w:rsid w:val="00207C90"/>
    <w:pPr>
      <w:spacing w:after="100" w:afterAutospacing="1" w:before="100" w:beforeAutospacing="1"/>
    </w:pPr>
  </w:style>
  <w:style w:type="paragraph" w:styleId="ANOTACION" w:customStyle="1">
    <w:name w:val="ANOTACION"/>
    <w:basedOn w:val="Normal"/>
    <w:link w:val="ANOTACIONCar"/>
    <w:rsid w:val="001B5A73"/>
    <w:pPr>
      <w:spacing w:after="101" w:before="101" w:line="216" w:lineRule="atLeast"/>
      <w:jc w:val="center"/>
    </w:pPr>
    <w:rPr>
      <w:b w:val="1"/>
      <w:sz w:val="18"/>
      <w:szCs w:val="20"/>
      <w:lang w:val="es-ES_tradnl"/>
    </w:rPr>
  </w:style>
  <w:style w:type="character" w:styleId="ANOTACIONCar" w:customStyle="1">
    <w:name w:val="ANOTACION Car"/>
    <w:link w:val="ANOTACION"/>
    <w:locked w:val="1"/>
    <w:rsid w:val="001B5A73"/>
    <w:rPr>
      <w:rFonts w:ascii="Times New Roman" w:cs="Times New Roman" w:eastAsia="Times New Roman" w:hAnsi="Times New Roman"/>
      <w:b w:val="1"/>
      <w:sz w:val="18"/>
      <w:szCs w:val="20"/>
    </w:rPr>
  </w:style>
  <w:style w:type="paragraph" w:styleId="j" w:customStyle="1">
    <w:name w:val="j"/>
    <w:basedOn w:val="Normal"/>
    <w:rsid w:val="007B00BD"/>
    <w:pPr>
      <w:spacing w:after="100" w:afterAutospacing="1" w:before="100" w:beforeAutospacing="1"/>
    </w:pPr>
  </w:style>
  <w:style w:type="character" w:styleId="nacep" w:customStyle="1">
    <w:name w:val="n_acep"/>
    <w:basedOn w:val="Fuentedeprrafopredeter"/>
    <w:rsid w:val="007B00BD"/>
  </w:style>
  <w:style w:type="paragraph" w:styleId="k5" w:customStyle="1">
    <w:name w:val="k5"/>
    <w:basedOn w:val="Normal"/>
    <w:rsid w:val="007B00BD"/>
    <w:pPr>
      <w:spacing w:after="100" w:afterAutospacing="1" w:before="100" w:beforeAutospacing="1"/>
    </w:pPr>
  </w:style>
  <w:style w:type="paragraph" w:styleId="m" w:customStyle="1">
    <w:name w:val="m"/>
    <w:basedOn w:val="Normal"/>
    <w:rsid w:val="007B00BD"/>
    <w:pPr>
      <w:spacing w:after="100" w:afterAutospacing="1" w:before="100" w:beforeAutospacing="1"/>
    </w:pPr>
  </w:style>
  <w:style w:type="character" w:styleId="Refdecomentario">
    <w:name w:val="annotation reference"/>
    <w:basedOn w:val="Fuentedeprrafopredeter"/>
    <w:uiPriority w:val="99"/>
    <w:semiHidden w:val="1"/>
    <w:unhideWhenUsed w:val="1"/>
    <w:rsid w:val="003219FE"/>
    <w:rPr>
      <w:sz w:val="16"/>
      <w:szCs w:val="16"/>
    </w:rPr>
  </w:style>
  <w:style w:type="paragraph" w:styleId="Textocomentario">
    <w:name w:val="annotation text"/>
    <w:basedOn w:val="Normal"/>
    <w:link w:val="TextocomentarioCar"/>
    <w:uiPriority w:val="99"/>
    <w:semiHidden w:val="1"/>
    <w:unhideWhenUsed w:val="1"/>
    <w:rsid w:val="003219FE"/>
    <w:rPr>
      <w:sz w:val="20"/>
      <w:szCs w:val="20"/>
    </w:rPr>
  </w:style>
  <w:style w:type="character" w:styleId="TextocomentarioCar" w:customStyle="1">
    <w:name w:val="Texto comentario Car"/>
    <w:basedOn w:val="Fuentedeprrafopredeter"/>
    <w:link w:val="Textocomentario"/>
    <w:uiPriority w:val="99"/>
    <w:semiHidden w:val="1"/>
    <w:rsid w:val="003219FE"/>
    <w:rPr>
      <w:rFonts w:ascii="Times New Roman" w:cs="Times New Roman" w:eastAsia="Times New Roman" w:hAnsi="Times New Roman"/>
      <w:sz w:val="20"/>
      <w:szCs w:val="20"/>
      <w:lang w:val="es-ES"/>
    </w:rPr>
  </w:style>
  <w:style w:type="paragraph" w:styleId="Asuntodelcomentario">
    <w:name w:val="annotation subject"/>
    <w:basedOn w:val="Textocomentario"/>
    <w:next w:val="Textocomentario"/>
    <w:link w:val="AsuntodelcomentarioCar"/>
    <w:uiPriority w:val="99"/>
    <w:semiHidden w:val="1"/>
    <w:unhideWhenUsed w:val="1"/>
    <w:rsid w:val="003219FE"/>
    <w:rPr>
      <w:b w:val="1"/>
      <w:bCs w:val="1"/>
    </w:rPr>
  </w:style>
  <w:style w:type="character" w:styleId="AsuntodelcomentarioCar" w:customStyle="1">
    <w:name w:val="Asunto del comentario Car"/>
    <w:basedOn w:val="TextocomentarioCar"/>
    <w:link w:val="Asuntodelcomentario"/>
    <w:uiPriority w:val="99"/>
    <w:semiHidden w:val="1"/>
    <w:rsid w:val="003219FE"/>
    <w:rPr>
      <w:rFonts w:ascii="Times New Roman" w:cs="Times New Roman" w:eastAsia="Times New Roman" w:hAnsi="Times New Roman"/>
      <w:b w:val="1"/>
      <w:bCs w:val="1"/>
      <w:sz w:val="20"/>
      <w:szCs w:val="20"/>
      <w:lang w:val="es-ES"/>
    </w:rPr>
  </w:style>
  <w:style w:type="paragraph" w:styleId="FAFunotente1" w:customStyle="1">
    <w:name w:val="FA Fu?notente1"/>
    <w:basedOn w:val="Normal"/>
    <w:next w:val="Textonotapie"/>
    <w:uiPriority w:val="99"/>
    <w:unhideWhenUsed w:val="1"/>
    <w:rsid w:val="00A403D3"/>
    <w:rPr>
      <w:rFonts w:eastAsia="Cambria" w:asciiTheme="minorHAnsi" w:cstheme="minorBidi" w:hAnsiTheme="minorHAnsi"/>
      <w:sz w:val="20"/>
      <w:szCs w:val="20"/>
      <w:lang w:eastAsia="en-US"/>
    </w:rPr>
  </w:style>
  <w:style w:type="character" w:styleId="Ttulo1Car" w:customStyle="1">
    <w:name w:val="Título 1 Car"/>
    <w:basedOn w:val="Fuentedeprrafopredeter"/>
    <w:uiPriority w:val="9"/>
    <w:rsid w:val="00603D72"/>
    <w:rPr>
      <w:rFonts w:asciiTheme="majorHAnsi" w:cstheme="majorBidi" w:eastAsiaTheme="majorEastAsia" w:hAnsiTheme="majorHAnsi"/>
      <w:color w:val="365f91" w:themeColor="accent1" w:themeShade="0000BF"/>
      <w:sz w:val="32"/>
      <w:szCs w:val="32"/>
      <w:lang w:val="es-ES"/>
    </w:rPr>
  </w:style>
  <w:style w:type="character" w:styleId="Ttulo2Car" w:customStyle="1">
    <w:name w:val="Título 2 Car"/>
    <w:basedOn w:val="Fuentedeprrafopredeter"/>
    <w:uiPriority w:val="9"/>
    <w:rsid w:val="00603D72"/>
    <w:rPr>
      <w:rFonts w:asciiTheme="majorHAnsi" w:cstheme="majorBidi" w:eastAsiaTheme="majorEastAsia" w:hAnsiTheme="majorHAnsi"/>
      <w:color w:val="365f91" w:themeColor="accent1" w:themeShade="0000BF"/>
      <w:sz w:val="26"/>
      <w:szCs w:val="26"/>
      <w:lang w:val="es-ES"/>
    </w:rPr>
  </w:style>
  <w:style w:type="paragraph" w:styleId="Lista">
    <w:name w:val="List"/>
    <w:basedOn w:val="Normal"/>
    <w:uiPriority w:val="99"/>
    <w:unhideWhenUsed w:val="1"/>
    <w:rsid w:val="00603D72"/>
    <w:pPr>
      <w:ind w:left="283" w:hanging="283"/>
      <w:contextualSpacing w:val="1"/>
    </w:pPr>
  </w:style>
  <w:style w:type="paragraph" w:styleId="Lista2">
    <w:name w:val="List 2"/>
    <w:basedOn w:val="Normal"/>
    <w:uiPriority w:val="99"/>
    <w:unhideWhenUsed w:val="1"/>
    <w:rsid w:val="00603D72"/>
    <w:pPr>
      <w:ind w:left="566" w:hanging="283"/>
      <w:contextualSpacing w:val="1"/>
    </w:pPr>
  </w:style>
  <w:style w:type="paragraph" w:styleId="Lista3">
    <w:name w:val="List 3"/>
    <w:basedOn w:val="Normal"/>
    <w:uiPriority w:val="99"/>
    <w:unhideWhenUsed w:val="1"/>
    <w:rsid w:val="00603D72"/>
    <w:pPr>
      <w:ind w:left="849" w:hanging="283"/>
      <w:contextualSpacing w:val="1"/>
    </w:pPr>
  </w:style>
  <w:style w:type="paragraph" w:styleId="Listaconvietas3">
    <w:name w:val="List Bullet 3"/>
    <w:basedOn w:val="Normal"/>
    <w:uiPriority w:val="99"/>
    <w:unhideWhenUsed w:val="1"/>
    <w:rsid w:val="00603D72"/>
    <w:pPr>
      <w:numPr>
        <w:numId w:val="2"/>
      </w:numPr>
      <w:contextualSpacing w:val="1"/>
    </w:pPr>
  </w:style>
  <w:style w:type="paragraph" w:styleId="Continuarlista">
    <w:name w:val="List Continue"/>
    <w:basedOn w:val="Normal"/>
    <w:uiPriority w:val="99"/>
    <w:unhideWhenUsed w:val="1"/>
    <w:rsid w:val="00603D72"/>
    <w:pPr>
      <w:spacing w:after="120"/>
      <w:ind w:left="283"/>
      <w:contextualSpacing w:val="1"/>
    </w:pPr>
  </w:style>
  <w:style w:type="paragraph" w:styleId="Continuarlista2">
    <w:name w:val="List Continue 2"/>
    <w:basedOn w:val="Normal"/>
    <w:uiPriority w:val="99"/>
    <w:unhideWhenUsed w:val="1"/>
    <w:rsid w:val="00603D72"/>
    <w:pPr>
      <w:spacing w:after="120"/>
      <w:ind w:left="566"/>
      <w:contextualSpacing w:val="1"/>
    </w:pPr>
  </w:style>
  <w:style w:type="paragraph" w:styleId="Textoindependiente">
    <w:name w:val="Body Text"/>
    <w:basedOn w:val="Normal"/>
    <w:link w:val="TextoindependienteCar"/>
    <w:uiPriority w:val="99"/>
    <w:unhideWhenUsed w:val="1"/>
    <w:rsid w:val="00603D72"/>
    <w:pPr>
      <w:spacing w:after="120"/>
    </w:pPr>
  </w:style>
  <w:style w:type="character" w:styleId="TextoindependienteCar" w:customStyle="1">
    <w:name w:val="Texto independiente Car"/>
    <w:basedOn w:val="Fuentedeprrafopredeter"/>
    <w:link w:val="Textoindependiente"/>
    <w:uiPriority w:val="99"/>
    <w:rsid w:val="00603D72"/>
    <w:rPr>
      <w:rFonts w:ascii="Times New Roman" w:cs="Times New Roman" w:eastAsia="Times New Roman" w:hAnsi="Times New Roman"/>
      <w:lang w:val="es-ES"/>
    </w:rPr>
  </w:style>
  <w:style w:type="paragraph" w:styleId="Sangradetextonormal">
    <w:name w:val="Body Text Indent"/>
    <w:basedOn w:val="Normal"/>
    <w:link w:val="SangradetextonormalCar"/>
    <w:uiPriority w:val="99"/>
    <w:unhideWhenUsed w:val="1"/>
    <w:rsid w:val="00603D72"/>
    <w:pPr>
      <w:spacing w:after="120"/>
      <w:ind w:left="283"/>
    </w:pPr>
  </w:style>
  <w:style w:type="character" w:styleId="SangradetextonormalCar" w:customStyle="1">
    <w:name w:val="Sangría de texto normal Car"/>
    <w:basedOn w:val="Fuentedeprrafopredeter"/>
    <w:link w:val="Sangradetextonormal"/>
    <w:uiPriority w:val="99"/>
    <w:rsid w:val="00603D72"/>
    <w:rPr>
      <w:rFonts w:ascii="Times New Roman" w:cs="Times New Roman" w:eastAsia="Times New Roman" w:hAnsi="Times New Roman"/>
      <w:lang w:val="es-ES"/>
    </w:rPr>
  </w:style>
  <w:style w:type="paragraph" w:styleId="Textoindependienteprimerasangra2">
    <w:name w:val="Body Text First Indent 2"/>
    <w:basedOn w:val="Sangradetextonormal"/>
    <w:link w:val="Textoindependienteprimerasangra2Car"/>
    <w:uiPriority w:val="99"/>
    <w:unhideWhenUsed w:val="1"/>
    <w:rsid w:val="00603D7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603D72"/>
    <w:rPr>
      <w:rFonts w:ascii="Times New Roman" w:cs="Times New Roman" w:eastAsia="Times New Roman" w:hAnsi="Times New Roman"/>
      <w:lang w:val="es-ES"/>
    </w:rPr>
  </w:style>
  <w:style w:type="paragraph" w:styleId="paragraph" w:customStyle="1">
    <w:name w:val="paragraph"/>
    <w:basedOn w:val="Normal"/>
    <w:rsid w:val="00E34821"/>
    <w:pPr>
      <w:spacing w:after="100" w:afterAutospacing="1" w:before="100" w:beforeAutospacing="1"/>
    </w:pPr>
  </w:style>
  <w:style w:type="paragraph" w:styleId="n2" w:customStyle="1">
    <w:name w:val="n2"/>
    <w:basedOn w:val="Normal"/>
    <w:rsid w:val="009D307C"/>
    <w:pPr>
      <w:spacing w:after="100" w:afterAutospacing="1" w:before="100" w:beforeAutospacing="1"/>
    </w:pPr>
  </w:style>
  <w:style w:type="character" w:styleId="u" w:customStyle="1">
    <w:name w:val="u"/>
    <w:basedOn w:val="Fuentedeprrafopredeter"/>
    <w:rsid w:val="009D307C"/>
  </w:style>
  <w:style w:type="paragraph" w:styleId="j1" w:customStyle="1">
    <w:name w:val="j1"/>
    <w:basedOn w:val="Normal"/>
    <w:rsid w:val="009D307C"/>
    <w:pPr>
      <w:spacing w:after="100" w:afterAutospacing="1" w:before="100" w:beforeAutospacing="1"/>
    </w:pPr>
  </w:style>
  <w:style w:type="paragraph" w:styleId="j2" w:customStyle="1">
    <w:name w:val="j2"/>
    <w:basedOn w:val="Normal"/>
    <w:rsid w:val="009D307C"/>
    <w:pPr>
      <w:spacing w:after="100" w:afterAutospacing="1" w:before="100" w:before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val="1"/>
        <w:bCs w:val="1"/>
      </w:rPr>
      <w:tblPr/>
      <w:tcPr>
        <w:tcBorders>
          <w:bottom w:color="95b3d7" w:space="0" w:sz="4" w:themeColor="accent1" w:themeTint="000099" w:val="single"/>
        </w:tcBorders>
      </w:tcPr>
    </w:tblStylePr>
    <w:tblStylePr w:type="lastRow">
      <w:rPr>
        <w:b w:val="1"/>
        <w:bCs w:val="1"/>
      </w:rPr>
      <w:tblPr/>
      <w:tcPr>
        <w:tcBorders>
          <w:top w:color="95b3d7"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Mencinsinresolver1" w:customStyle="1">
    <w:name w:val="Mención sin resolver1"/>
    <w:basedOn w:val="Fuentedeprrafopredeter"/>
    <w:uiPriority w:val="99"/>
    <w:semiHidden w:val="1"/>
    <w:unhideWhenUsed w:val="1"/>
    <w:rsid w:val="00457753"/>
    <w:rPr>
      <w:color w:val="605e5c"/>
      <w:shd w:color="auto" w:fill="e1dfdd" w:val="clear"/>
    </w:rPr>
  </w:style>
  <w:style w:type="character" w:styleId="Mencinsinresolver2" w:customStyle="1">
    <w:name w:val="Mención sin resolver2"/>
    <w:basedOn w:val="Fuentedeprrafopredeter"/>
    <w:uiPriority w:val="99"/>
    <w:semiHidden w:val="1"/>
    <w:unhideWhenUsed w:val="1"/>
    <w:rsid w:val="00CE48D4"/>
    <w:rPr>
      <w:color w:val="605e5c"/>
      <w:shd w:color="auto" w:fill="e1dfdd" w:val="clear"/>
    </w:rPr>
  </w:style>
  <w:style w:type="table" w:styleId="Tabladelista1clara-nfasis11" w:customStyle="1">
    <w:name w:val="Tabla de lista 1 clara - Énfasis 11"/>
    <w:basedOn w:val="Tablanormal"/>
    <w:uiPriority w:val="46"/>
    <w:rsid w:val="008F79FD"/>
    <w:rPr>
      <w:rFonts w:eastAsia="MS Mincho"/>
    </w:rPr>
    <w:tblPr>
      <w:tblStyleRowBandSize w:val="1"/>
      <w:tblStyleColBandSize w:val="1"/>
    </w:tblPr>
    <w:tblStylePr w:type="firstRow">
      <w:rPr>
        <w:b w:val="1"/>
        <w:bCs w:val="1"/>
      </w:rPr>
      <w:tblPr/>
      <w:tcPr>
        <w:tcBorders>
          <w:bottom w:color="95b3d7" w:space="0" w:sz="4" w:val="single"/>
        </w:tcBorders>
      </w:tcPr>
    </w:tblStylePr>
    <w:tblStylePr w:type="lastRow">
      <w:rPr>
        <w:b w:val="1"/>
        <w:bCs w:val="1"/>
      </w:rPr>
      <w:tblPr/>
      <w:tcPr>
        <w:tcBorders>
          <w:top w:color="95b3d7" w:space="0" w:sz="4" w:val="single"/>
        </w:tcBorders>
      </w:tcPr>
    </w:tblStylePr>
    <w:tblStylePr w:type="firstCol">
      <w:rPr>
        <w:b w:val="1"/>
        <w:bCs w:val="1"/>
      </w:rPr>
    </w:tblStylePr>
    <w:tblStylePr w:type="lastCol">
      <w:rPr>
        <w:b w:val="1"/>
        <w:bCs w:val="1"/>
      </w:rPr>
    </w:tblStylePr>
    <w:tblStylePr w:type="band1Vert">
      <w:tblPr/>
      <w:tcPr>
        <w:shd w:color="auto" w:fill="dbe5f1" w:val="clear"/>
      </w:tcPr>
    </w:tblStylePr>
    <w:tblStylePr w:type="band1Horz">
      <w:tblPr/>
      <w:tcPr>
        <w:shd w:color="auto" w:fill="dbe5f1" w:val="clear"/>
      </w:tcPr>
    </w:tblStylePr>
  </w:style>
  <w:style w:type="character" w:styleId="Ttulo3Car" w:customStyle="1">
    <w:name w:val="Título 3 Car"/>
    <w:basedOn w:val="Fuentedeprrafopredeter"/>
    <w:uiPriority w:val="9"/>
    <w:rsid w:val="003B73CD"/>
    <w:rPr>
      <w:rFonts w:asciiTheme="majorHAnsi" w:cstheme="majorBidi" w:eastAsiaTheme="majorEastAsia" w:hAnsiTheme="majorHAnsi"/>
      <w:b w:val="1"/>
      <w:bCs w:val="1"/>
      <w:sz w:val="26"/>
      <w:szCs w:val="26"/>
      <w:lang w:eastAsia="en-US" w:val="en-US"/>
    </w:rPr>
  </w:style>
  <w:style w:type="character" w:styleId="Ttulo4Car" w:customStyle="1">
    <w:name w:val="Título 4 Car"/>
    <w:basedOn w:val="Fuentedeprrafopredeter"/>
    <w:uiPriority w:val="9"/>
    <w:semiHidden w:val="1"/>
    <w:rsid w:val="003B73CD"/>
    <w:rPr>
      <w:b w:val="1"/>
      <w:bCs w:val="1"/>
      <w:sz w:val="28"/>
      <w:szCs w:val="28"/>
      <w:lang w:eastAsia="en-US" w:val="en-US"/>
    </w:rPr>
  </w:style>
  <w:style w:type="character" w:styleId="Ttulo5Car" w:customStyle="1">
    <w:name w:val="Título 5 Car"/>
    <w:basedOn w:val="Fuentedeprrafopredeter"/>
    <w:uiPriority w:val="9"/>
    <w:semiHidden w:val="1"/>
    <w:rsid w:val="003B73CD"/>
    <w:rPr>
      <w:b w:val="1"/>
      <w:bCs w:val="1"/>
      <w:i w:val="1"/>
      <w:iCs w:val="1"/>
      <w:sz w:val="26"/>
      <w:szCs w:val="26"/>
      <w:lang w:eastAsia="en-US" w:val="en-US"/>
    </w:rPr>
  </w:style>
  <w:style w:type="character" w:styleId="Ttulo6Car" w:customStyle="1">
    <w:name w:val="Título 6 Car"/>
    <w:basedOn w:val="Fuentedeprrafopredeter"/>
    <w:semiHidden w:val="1"/>
    <w:rsid w:val="003B73CD"/>
    <w:rPr>
      <w:rFonts w:ascii="Times New Roman" w:cs="Times New Roman" w:eastAsia="Times New Roman" w:hAnsi="Times New Roman"/>
      <w:b w:val="1"/>
      <w:bCs w:val="1"/>
      <w:sz w:val="22"/>
      <w:szCs w:val="22"/>
      <w:lang w:eastAsia="en-US" w:val="en-US"/>
    </w:rPr>
  </w:style>
  <w:style w:type="character" w:styleId="Ttulo7Car" w:customStyle="1">
    <w:name w:val="Título 7 Car"/>
    <w:basedOn w:val="Fuentedeprrafopredeter"/>
    <w:link w:val="Ttulo7"/>
    <w:uiPriority w:val="9"/>
    <w:semiHidden w:val="1"/>
    <w:rsid w:val="003B73CD"/>
    <w:rPr>
      <w:lang w:eastAsia="en-US" w:val="en-US"/>
    </w:rPr>
  </w:style>
  <w:style w:type="character" w:styleId="Ttulo8Car" w:customStyle="1">
    <w:name w:val="Título 8 Car"/>
    <w:basedOn w:val="Fuentedeprrafopredeter"/>
    <w:link w:val="Ttulo8"/>
    <w:uiPriority w:val="9"/>
    <w:semiHidden w:val="1"/>
    <w:rsid w:val="003B73CD"/>
    <w:rPr>
      <w:i w:val="1"/>
      <w:iCs w:val="1"/>
      <w:lang w:eastAsia="en-US" w:val="en-US"/>
    </w:rPr>
  </w:style>
  <w:style w:type="character" w:styleId="Ttulo9Car" w:customStyle="1">
    <w:name w:val="Título 9 Car"/>
    <w:basedOn w:val="Fuentedeprrafopredeter"/>
    <w:link w:val="Ttulo9"/>
    <w:uiPriority w:val="9"/>
    <w:semiHidden w:val="1"/>
    <w:rsid w:val="003B73CD"/>
    <w:rPr>
      <w:rFonts w:asciiTheme="majorHAnsi" w:cstheme="majorBidi" w:eastAsiaTheme="majorEastAsia" w:hAnsiTheme="majorHAnsi"/>
      <w:sz w:val="22"/>
      <w:szCs w:val="22"/>
      <w:lang w:eastAsia="en-US" w:val="en-US"/>
    </w:rPr>
  </w:style>
  <w:style w:type="table" w:styleId="5" w:customStyle="1">
    <w:name w:val="5"/>
    <w:basedOn w:val="TableNormal10"/>
    <w:tblPr>
      <w:tblStyleRowBandSize w:val="1"/>
      <w:tblStyleColBandSize w:val="1"/>
      <w:tblCellMar>
        <w:left w:w="108.0" w:type="dxa"/>
        <w:right w:w="108.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4" w:customStyle="1">
    <w:name w:val="4"/>
    <w:basedOn w:val="TableNormal10"/>
    <w:tblPr>
      <w:tblStyleRowBandSize w:val="1"/>
      <w:tblStyleColBandSize w:val="1"/>
      <w:tblCellMar>
        <w:left w:w="115.0" w:type="dxa"/>
        <w:right w:w="115.0" w:type="dxa"/>
      </w:tblCellMar>
    </w:tblPr>
  </w:style>
  <w:style w:type="table" w:styleId="3" w:customStyle="1">
    <w:name w:val="3"/>
    <w:basedOn w:val="TableNormal10"/>
    <w:tblPr>
      <w:tblStyleRowBandSize w:val="1"/>
      <w:tblStyleColBandSize w:val="1"/>
      <w:tblCellMar>
        <w:left w:w="115.0" w:type="dxa"/>
        <w:right w:w="115.0" w:type="dxa"/>
      </w:tblCellMar>
    </w:tblPr>
  </w:style>
  <w:style w:type="character" w:styleId="Mencinsinresolver3" w:customStyle="1">
    <w:name w:val="Mención sin resolver3"/>
    <w:basedOn w:val="Fuentedeprrafopredeter"/>
    <w:uiPriority w:val="99"/>
    <w:semiHidden w:val="1"/>
    <w:unhideWhenUsed w:val="1"/>
    <w:rsid w:val="0094565C"/>
    <w:rPr>
      <w:color w:val="605e5c"/>
      <w:shd w:color="auto" w:fill="e1dfdd" w:val="clear"/>
    </w:rPr>
  </w:style>
  <w:style w:type="table" w:styleId="2" w:customStyle="1">
    <w:name w:val="2"/>
    <w:basedOn w:val="TableNormal10"/>
    <w:tblPr>
      <w:tblStyleRowBandSize w:val="1"/>
      <w:tblStyleColBandSize w:val="1"/>
      <w:tblCellMar>
        <w:left w:w="115.0" w:type="dxa"/>
        <w:right w:w="115.0" w:type="dxa"/>
      </w:tblCellMar>
    </w:tblPr>
  </w:style>
  <w:style w:type="table" w:styleId="1" w:customStyle="1">
    <w:name w:val="1"/>
    <w:basedOn w:val="TableNormal10"/>
    <w:tblPr>
      <w:tblStyleRowBandSize w:val="1"/>
      <w:tblStyleColBandSize w:val="1"/>
      <w:tblCellMar>
        <w:left w:w="115.0" w:type="dxa"/>
        <w:right w:w="115.0" w:type="dxa"/>
      </w:tblCellMar>
    </w:tblPr>
  </w:style>
  <w:style w:type="table" w:styleId="9" w:customStyle="1">
    <w:name w:val="9"/>
    <w:basedOn w:val="TableNormal20"/>
    <w:tblPr>
      <w:tblStyleRowBandSize w:val="1"/>
      <w:tblStyleColBandSize w:val="1"/>
      <w:tblCellMar>
        <w:left w:w="115.0" w:type="dxa"/>
        <w:right w:w="115.0" w:type="dxa"/>
      </w:tblCellMar>
    </w:tblPr>
  </w:style>
  <w:style w:type="table" w:styleId="8" w:customStyle="1">
    <w:name w:val="8"/>
    <w:basedOn w:val="TableNormal20"/>
    <w:tblPr>
      <w:tblStyleRowBandSize w:val="1"/>
      <w:tblStyleColBandSize w:val="1"/>
      <w:tblCellMar>
        <w:left w:w="115.0" w:type="dxa"/>
        <w:right w:w="115.0" w:type="dxa"/>
      </w:tblCellMar>
    </w:tblPr>
  </w:style>
  <w:style w:type="table" w:styleId="7" w:customStyle="1">
    <w:name w:val="7"/>
    <w:basedOn w:val="TableNormal30"/>
    <w:tblPr>
      <w:tblStyleRowBandSize w:val="1"/>
      <w:tblStyleColBandSize w:val="1"/>
      <w:tblCellMar>
        <w:left w:w="115.0" w:type="dxa"/>
        <w:right w:w="115.0" w:type="dxa"/>
      </w:tblCellMar>
    </w:tblPr>
  </w:style>
  <w:style w:type="table" w:styleId="6" w:customStyle="1">
    <w:name w:val="6"/>
    <w:basedOn w:val="TableNormal30"/>
    <w:tblPr>
      <w:tblStyleRowBandSize w:val="1"/>
      <w:tblStyleColBandSize w:val="1"/>
      <w:tblCellMar>
        <w:left w:w="115.0" w:type="dxa"/>
        <w:right w:w="115.0" w:type="dxa"/>
      </w:tblCellMar>
    </w:tblPr>
  </w:style>
  <w:style w:type="table" w:styleId="20" w:customStyle="1">
    <w:name w:val="20"/>
    <w:basedOn w:val="TableNormal40"/>
    <w:tblPr>
      <w:tblStyleRowBandSize w:val="1"/>
      <w:tblStyleColBandSize w:val="1"/>
      <w:tblCellMar>
        <w:left w:w="115.0" w:type="dxa"/>
        <w:right w:w="115.0" w:type="dxa"/>
      </w:tblCellMar>
    </w:tblPr>
  </w:style>
  <w:style w:type="table" w:styleId="19" w:customStyle="1">
    <w:name w:val="19"/>
    <w:basedOn w:val="TableNormal40"/>
    <w:tblPr>
      <w:tblStyleRowBandSize w:val="1"/>
      <w:tblStyleColBandSize w:val="1"/>
      <w:tblCellMar>
        <w:left w:w="115.0" w:type="dxa"/>
        <w:right w:w="115.0" w:type="dxa"/>
      </w:tblCellMar>
    </w:tblPr>
  </w:style>
  <w:style w:type="table" w:styleId="18" w:customStyle="1">
    <w:name w:val="18"/>
    <w:basedOn w:val="TableNormal50"/>
    <w:tblPr>
      <w:tblStyleRowBandSize w:val="1"/>
      <w:tblStyleColBandSize w:val="1"/>
      <w:tblCellMar>
        <w:left w:w="115.0" w:type="dxa"/>
        <w:right w:w="115.0" w:type="dxa"/>
      </w:tblCellMar>
    </w:tblPr>
  </w:style>
  <w:style w:type="table" w:styleId="17" w:customStyle="1">
    <w:name w:val="17"/>
    <w:basedOn w:val="TableNormal50"/>
    <w:tblPr>
      <w:tblStyleRowBandSize w:val="1"/>
      <w:tblStyleColBandSize w:val="1"/>
      <w:tblCellMar>
        <w:left w:w="115.0" w:type="dxa"/>
        <w:right w:w="115.0" w:type="dxa"/>
      </w:tblCellMar>
    </w:tblPr>
  </w:style>
  <w:style w:type="table" w:styleId="16" w:customStyle="1">
    <w:name w:val="16"/>
    <w:basedOn w:val="TableNormal60"/>
    <w:tblPr>
      <w:tblStyleRowBandSize w:val="1"/>
      <w:tblStyleColBandSize w:val="1"/>
      <w:tblCellMar>
        <w:left w:w="115.0" w:type="dxa"/>
        <w:right w:w="115.0" w:type="dxa"/>
      </w:tblCellMar>
    </w:tblPr>
  </w:style>
  <w:style w:type="table" w:styleId="15" w:customStyle="1">
    <w:name w:val="15"/>
    <w:basedOn w:val="TableNormal60"/>
    <w:tblPr>
      <w:tblStyleRowBandSize w:val="1"/>
      <w:tblStyleColBandSize w:val="1"/>
      <w:tblCellMar>
        <w:left w:w="115.0" w:type="dxa"/>
        <w:right w:w="115.0" w:type="dxa"/>
      </w:tblCellMar>
    </w:tblPr>
  </w:style>
  <w:style w:type="table" w:styleId="14" w:customStyle="1">
    <w:name w:val="14"/>
    <w:basedOn w:val="TableNormal70"/>
    <w:tblPr>
      <w:tblStyleRowBandSize w:val="1"/>
      <w:tblStyleColBandSize w:val="1"/>
      <w:tblCellMar>
        <w:left w:w="115.0" w:type="dxa"/>
        <w:right w:w="115.0" w:type="dxa"/>
      </w:tblCellMar>
    </w:tblPr>
  </w:style>
  <w:style w:type="table" w:styleId="13" w:customStyle="1">
    <w:name w:val="13"/>
    <w:basedOn w:val="TableNormal70"/>
    <w:tblPr>
      <w:tblStyleRowBandSize w:val="1"/>
      <w:tblStyleColBandSize w:val="1"/>
      <w:tblCellMar>
        <w:left w:w="115.0" w:type="dxa"/>
        <w:right w:w="115.0" w:type="dxa"/>
      </w:tblCellMar>
    </w:tblPr>
  </w:style>
  <w:style w:type="character" w:styleId="rse6dlih" w:customStyle="1">
    <w:name w:val="rse6dlih"/>
    <w:basedOn w:val="Fuentedeprrafopredeter"/>
    <w:rsid w:val="00190860"/>
  </w:style>
  <w:style w:type="table" w:styleId="12" w:customStyle="1">
    <w:name w:val="12"/>
    <w:basedOn w:val="TableNormal80"/>
    <w:tblPr>
      <w:tblStyleRowBandSize w:val="1"/>
      <w:tblStyleColBandSize w:val="1"/>
      <w:tblCellMar>
        <w:left w:w="108.0" w:type="dxa"/>
        <w:right w:w="108.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11" w:customStyle="1">
    <w:name w:val="11"/>
    <w:basedOn w:val="TableNormal80"/>
    <w:tblPr>
      <w:tblStyleRowBandSize w:val="1"/>
      <w:tblStyleColBandSize w:val="1"/>
      <w:tblCellMar>
        <w:left w:w="115.0" w:type="dxa"/>
        <w:right w:w="115.0" w:type="dxa"/>
      </w:tblCellMar>
    </w:tblPr>
  </w:style>
  <w:style w:type="table" w:styleId="10" w:customStyle="1">
    <w:name w:val="10"/>
    <w:basedOn w:val="TableNormal80"/>
    <w:tblPr>
      <w:tblStyleRowBandSize w:val="1"/>
      <w:tblStyleColBandSize w:val="1"/>
      <w:tblCellMar>
        <w:left w:w="115.0" w:type="dxa"/>
        <w:right w:w="115.0" w:type="dxa"/>
      </w:tblCellMar>
    </w:tblPr>
  </w:style>
  <w:style w:type="table" w:styleId="24" w:customStyle="1">
    <w:name w:val="24"/>
    <w:basedOn w:val="TableNormal9"/>
    <w:tblPr>
      <w:tblStyleRowBandSize w:val="1"/>
      <w:tblStyleColBandSize w:val="1"/>
      <w:tblCellMar>
        <w:left w:w="115.0" w:type="dxa"/>
        <w:right w:w="115.0" w:type="dxa"/>
      </w:tblCellMar>
    </w:tblPr>
  </w:style>
  <w:style w:type="table" w:styleId="23" w:customStyle="1">
    <w:name w:val="23"/>
    <w:basedOn w:val="TableNormal9"/>
    <w:tblPr>
      <w:tblStyleRowBandSize w:val="1"/>
      <w:tblStyleColBandSize w:val="1"/>
      <w:tblCellMar>
        <w:left w:w="108.0" w:type="dxa"/>
        <w:right w:w="108.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22" w:customStyle="1">
    <w:name w:val="22"/>
    <w:basedOn w:val="TableNormal9"/>
    <w:tblPr>
      <w:tblStyleRowBandSize w:val="1"/>
      <w:tblStyleColBandSize w:val="1"/>
      <w:tblCellMar>
        <w:left w:w="115.0" w:type="dxa"/>
        <w:right w:w="115.0" w:type="dxa"/>
      </w:tblCellMar>
    </w:tblPr>
  </w:style>
  <w:style w:type="table" w:styleId="21" w:customStyle="1">
    <w:name w:val="21"/>
    <w:basedOn w:val="TableNormal9"/>
    <w:tblPr>
      <w:tblStyleRowBandSize w:val="1"/>
      <w:tblStyleColBandSize w:val="1"/>
      <w:tblCellMar>
        <w:left w:w="115.0" w:type="dxa"/>
        <w:right w:w="115.0" w:type="dxa"/>
      </w:tblCellMar>
    </w:tblPr>
  </w:style>
  <w:style w:type="table" w:styleId="a" w:customStyle="1">
    <w:basedOn w:val="TableNormal8"/>
    <w:tblPr>
      <w:tblStyleRowBandSize w:val="1"/>
      <w:tblStyleColBandSize w:val="1"/>
      <w:tblCellMar>
        <w:left w:w="108.0" w:type="dxa"/>
        <w:right w:w="108.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0" w:customStyle="1">
    <w:basedOn w:val="TableNormal8"/>
    <w:tblPr>
      <w:tblStyleRowBandSize w:val="1"/>
      <w:tblStyleColBandSize w:val="1"/>
      <w:tblCellMar>
        <w:left w:w="115.0" w:type="dxa"/>
        <w:right w:w="115.0" w:type="dxa"/>
      </w:tblCellMar>
    </w:tblPr>
  </w:style>
  <w:style w:type="table" w:styleId="a2" w:customStyle="1">
    <w:basedOn w:val="TableNormal8"/>
    <w:tblPr>
      <w:tblStyleRowBandSize w:val="1"/>
      <w:tblStyleColBandSize w:val="1"/>
      <w:tblCellMar>
        <w:left w:w="115.0" w:type="dxa"/>
        <w:right w:w="115.0" w:type="dxa"/>
      </w:tblCellMar>
    </w:tblPr>
  </w:style>
  <w:style w:type="table" w:styleId="a3" w:customStyle="1">
    <w:basedOn w:val="TableNormal7"/>
    <w:tblPr>
      <w:tblStyleRowBandSize w:val="1"/>
      <w:tblStyleColBandSize w:val="1"/>
      <w:tblCellMar>
        <w:left w:w="115.0" w:type="dxa"/>
        <w:right w:w="115.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4" w:customStyle="1">
    <w:basedOn w:val="TableNormal7"/>
    <w:tblPr>
      <w:tblStyleRowBandSize w:val="1"/>
      <w:tblStyleColBandSize w:val="1"/>
      <w:tblCellMar>
        <w:left w:w="115.0" w:type="dxa"/>
        <w:right w:w="115.0" w:type="dxa"/>
      </w:tblCellMar>
    </w:tblPr>
  </w:style>
  <w:style w:type="table" w:styleId="a5" w:customStyle="1">
    <w:basedOn w:val="TableNormal7"/>
    <w:tblPr>
      <w:tblStyleRowBandSize w:val="1"/>
      <w:tblStyleColBandSize w:val="1"/>
      <w:tblCellMar>
        <w:left w:w="115.0" w:type="dxa"/>
        <w:right w:w="115.0" w:type="dxa"/>
      </w:tblCellMar>
    </w:tblPr>
  </w:style>
  <w:style w:type="table" w:styleId="a6" w:customStyle="1">
    <w:basedOn w:val="TableNormal6"/>
    <w:tblPr>
      <w:tblStyleRowBandSize w:val="1"/>
      <w:tblStyleColBandSize w:val="1"/>
      <w:tblCellMar>
        <w:left w:w="108.0" w:type="dxa"/>
        <w:right w:w="108.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7" w:customStyle="1">
    <w:basedOn w:val="TableNormal6"/>
    <w:tblPr>
      <w:tblStyleRowBandSize w:val="1"/>
      <w:tblStyleColBandSize w:val="1"/>
      <w:tblCellMar>
        <w:left w:w="115.0" w:type="dxa"/>
        <w:right w:w="115.0" w:type="dxa"/>
      </w:tblCellMar>
    </w:tblPr>
  </w:style>
  <w:style w:type="table" w:styleId="a8" w:customStyle="1">
    <w:basedOn w:val="TableNormal6"/>
    <w:tblPr>
      <w:tblStyleRowBandSize w:val="1"/>
      <w:tblStyleColBandSize w:val="1"/>
      <w:tblCellMar>
        <w:left w:w="115.0" w:type="dxa"/>
        <w:right w:w="115.0" w:type="dxa"/>
      </w:tblCellMar>
    </w:tblPr>
  </w:style>
  <w:style w:type="character" w:styleId="Mencinsinresolver4" w:customStyle="1">
    <w:name w:val="Mención sin resolver4"/>
    <w:basedOn w:val="Fuentedeprrafopredeter"/>
    <w:uiPriority w:val="99"/>
    <w:semiHidden w:val="1"/>
    <w:unhideWhenUsed w:val="1"/>
    <w:rsid w:val="00B70D09"/>
    <w:rPr>
      <w:color w:val="605e5c"/>
      <w:shd w:color="auto" w:fill="e1dfdd" w:val="clear"/>
    </w:rPr>
  </w:style>
  <w:style w:type="character" w:styleId="Mencinsinresolver5" w:customStyle="1">
    <w:name w:val="Mención sin resolver5"/>
    <w:basedOn w:val="Fuentedeprrafopredeter"/>
    <w:uiPriority w:val="99"/>
    <w:semiHidden w:val="1"/>
    <w:unhideWhenUsed w:val="1"/>
    <w:rsid w:val="00160ABB"/>
    <w:rPr>
      <w:color w:val="605e5c"/>
      <w:shd w:color="auto" w:fill="e1dfdd" w:val="clear"/>
    </w:rPr>
  </w:style>
  <w:style w:type="table" w:styleId="a9" w:customStyle="1">
    <w:basedOn w:val="TableNormal5"/>
    <w:tblPr>
      <w:tblStyleRowBandSize w:val="1"/>
      <w:tblStyleColBandSize w:val="1"/>
      <w:tblCellMar>
        <w:left w:w="108.0" w:type="dxa"/>
        <w:right w:w="108.0" w:type="dxa"/>
      </w:tblCellMar>
    </w:tblPr>
  </w:style>
  <w:style w:type="table" w:styleId="aa" w:customStyle="1">
    <w:basedOn w:val="TableNormal5"/>
    <w:tblPr>
      <w:tblStyleRowBandSize w:val="1"/>
      <w:tblStyleColBandSize w:val="1"/>
      <w:tblCellMar>
        <w:left w:w="115.0" w:type="dxa"/>
        <w:right w:w="115.0" w:type="dxa"/>
      </w:tblCellMar>
    </w:tblPr>
  </w:style>
  <w:style w:type="table" w:styleId="ab" w:customStyle="1">
    <w:basedOn w:val="TableNormal5"/>
    <w:tblPr>
      <w:tblStyleRowBandSize w:val="1"/>
      <w:tblStyleColBandSize w:val="1"/>
      <w:tblCellMar>
        <w:left w:w="115.0" w:type="dxa"/>
        <w:right w:w="115.0" w:type="dxa"/>
      </w:tblCellMar>
    </w:tblPr>
  </w:style>
  <w:style w:type="character" w:styleId="Mencinsinresolver6" w:customStyle="1">
    <w:name w:val="Mención sin resolver6"/>
    <w:basedOn w:val="Fuentedeprrafopredeter"/>
    <w:uiPriority w:val="99"/>
    <w:semiHidden w:val="1"/>
    <w:unhideWhenUsed w:val="1"/>
    <w:rsid w:val="00D20DA7"/>
    <w:rPr>
      <w:color w:val="605e5c"/>
      <w:shd w:color="auto" w:fill="e1dfdd" w:val="clear"/>
    </w:rPr>
  </w:style>
  <w:style w:type="table" w:styleId="ac" w:customStyle="1">
    <w:basedOn w:val="TableNormal4"/>
    <w:tblPr>
      <w:tblStyleRowBandSize w:val="1"/>
      <w:tblStyleColBandSize w:val="1"/>
      <w:tblCellMar>
        <w:left w:w="115.0" w:type="dxa"/>
        <w:right w:w="115.0" w:type="dxa"/>
      </w:tblCellMar>
    </w:tblPr>
  </w:style>
  <w:style w:type="table" w:styleId="ad" w:customStyle="1">
    <w:basedOn w:val="TableNormal4"/>
    <w:tblPr>
      <w:tblStyleRowBandSize w:val="1"/>
      <w:tblStyleColBandSize w:val="1"/>
      <w:tblCellMar>
        <w:left w:w="115.0" w:type="dxa"/>
        <w:right w:w="115.0" w:type="dxa"/>
      </w:tblCellMar>
    </w:tblPr>
  </w:style>
  <w:style w:type="table" w:styleId="ae" w:customStyle="1">
    <w:basedOn w:val="TableNormal3"/>
    <w:tblPr>
      <w:tblStyleRowBandSize w:val="1"/>
      <w:tblStyleColBandSize w:val="1"/>
      <w:tblCellMar>
        <w:left w:w="115.0" w:type="dxa"/>
        <w:right w:w="115.0" w:type="dxa"/>
      </w:tblCellMar>
    </w:tblPr>
  </w:style>
  <w:style w:type="table" w:styleId="af" w:customStyle="1">
    <w:basedOn w:val="TableNormal3"/>
    <w:tblPr>
      <w:tblStyleRowBandSize w:val="1"/>
      <w:tblStyleColBandSize w:val="1"/>
      <w:tblCellMar>
        <w:left w:w="115.0" w:type="dxa"/>
        <w:right w:w="115.0" w:type="dxa"/>
      </w:tblCellMar>
    </w:tblPr>
  </w:style>
  <w:style w:type="character" w:styleId="Mencinsinresolver7" w:customStyle="1">
    <w:name w:val="Mención sin resolver7"/>
    <w:basedOn w:val="Fuentedeprrafopredeter"/>
    <w:uiPriority w:val="99"/>
    <w:semiHidden w:val="1"/>
    <w:unhideWhenUsed w:val="1"/>
    <w:rsid w:val="003A4FC8"/>
    <w:rPr>
      <w:color w:val="605e5c"/>
      <w:shd w:color="auto" w:fill="e1dfdd" w:val="clear"/>
    </w:rPr>
  </w:style>
  <w:style w:type="table" w:styleId="af0" w:customStyle="1">
    <w:basedOn w:val="TableNormal2"/>
    <w:tblPr>
      <w:tblStyleRowBandSize w:val="1"/>
      <w:tblStyleColBandSize w:val="1"/>
      <w:tblCellMar>
        <w:left w:w="115.0" w:type="dxa"/>
        <w:right w:w="115.0" w:type="dxa"/>
      </w:tblCellMar>
    </w:tblPr>
  </w:style>
  <w:style w:type="table" w:styleId="af1" w:customStyle="1">
    <w:basedOn w:val="TableNormal2"/>
    <w:tblPr>
      <w:tblStyleRowBandSize w:val="1"/>
      <w:tblStyleColBandSize w:val="1"/>
      <w:tblCellMar>
        <w:left w:w="115.0" w:type="dxa"/>
        <w:right w:w="115.0" w:type="dxa"/>
      </w:tblCellMar>
    </w:tblPr>
  </w:style>
  <w:style w:type="table" w:styleId="af2" w:customStyle="1">
    <w:basedOn w:val="TableNormal1"/>
    <w:tblPr>
      <w:tblStyleRowBandSize w:val="1"/>
      <w:tblStyleColBandSize w:val="1"/>
      <w:tblCellMar>
        <w:left w:w="115.0" w:type="dxa"/>
        <w:right w:w="115.0" w:type="dxa"/>
      </w:tblCellMar>
    </w:tblPr>
  </w:style>
  <w:style w:type="table" w:styleId="af3" w:customStyle="1">
    <w:basedOn w:val="TableNormal1"/>
    <w:tblPr>
      <w:tblStyleRowBandSize w:val="1"/>
      <w:tblStyleColBandSize w:val="1"/>
      <w:tblCellMar>
        <w:left w:w="115.0" w:type="dxa"/>
        <w:right w:w="115.0" w:type="dxa"/>
      </w:tblCellMar>
    </w:tblPr>
  </w:style>
  <w:style w:type="table" w:styleId="af4" w:customStyle="1">
    <w:basedOn w:val="TableNormal0"/>
    <w:tblPr>
      <w:tblStyleRowBandSize w:val="1"/>
      <w:tblStyleColBandSize w:val="1"/>
      <w:tblCellMar>
        <w:left w:w="115.0" w:type="dxa"/>
        <w:right w:w="115.0" w:type="dxa"/>
      </w:tblCellMar>
    </w:tblPr>
  </w:style>
  <w:style w:type="table" w:styleId="af5"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EdaUM7rVuOyVpqb9i32fHRMRBA==">CgMxLjAyDWguYTU1eW52Zmp6bm4yCGguZ2pkZ3hzMgloLjNkeTZ2a20yDmgucDRqcDk5NWZsbDVpMg5oLndhNm96d2lzMGQwOTIOaC50dDE1cm15YWZrcWcyCWguMzBqMHpsbDIJaC4yZXQ5MnAwMgloLjJzOGV5bzEyDmguamFzMHdoNGdlcDA2Mg1oLjFleDFvazhhNndwMg5oLm8xYnI1ODJnY3ZncjIJaC4xdDNoNXNmMg5oLng4dDNqempnOGF5ZDgAciExT2xxLUtzUU1YT1dtTzFvQllaSTREOURzWUM0bHdpQ2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2025-10-06T19:31:00Z</dcterms:created>
  <dc:creator>iMac</dc:creator>
</cp:coreProperties>
</file>