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18D" w:rsidRDefault="00E417BD" w:rsidP="001734D3">
      <w:pPr>
        <w:spacing w:before="240" w:after="240" w:line="360" w:lineRule="auto"/>
        <w:jc w:val="both"/>
        <w:rPr>
          <w:rFonts w:ascii="Palatino Linotype" w:eastAsia="Palatino Linotype" w:hAnsi="Palatino Linotype" w:cs="Palatino Linotype"/>
          <w:color w:val="000000" w:themeColor="text1"/>
        </w:rPr>
      </w:pPr>
      <w:bookmarkStart w:id="0" w:name="_GoBack"/>
      <w:bookmarkEnd w:id="0"/>
      <w:r w:rsidRPr="00CD747B">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w:t>
      </w:r>
      <w:r w:rsidR="004034CF">
        <w:rPr>
          <w:rFonts w:ascii="Palatino Linotype" w:eastAsia="Palatino Linotype" w:hAnsi="Palatino Linotype" w:cs="Palatino Linotype"/>
          <w:color w:val="000000" w:themeColor="text1"/>
        </w:rPr>
        <w:t xml:space="preserve">en Metepec, Estado de México, de fecha </w:t>
      </w:r>
      <w:r w:rsidRPr="00CD747B">
        <w:rPr>
          <w:rFonts w:ascii="Palatino Linotype" w:eastAsia="Palatino Linotype" w:hAnsi="Palatino Linotype" w:cs="Palatino Linotype"/>
          <w:b/>
          <w:color w:val="000000" w:themeColor="text1"/>
        </w:rPr>
        <w:t>dieciocho</w:t>
      </w:r>
      <w:r w:rsidR="004034CF">
        <w:rPr>
          <w:rFonts w:ascii="Palatino Linotype" w:eastAsia="Palatino Linotype" w:hAnsi="Palatino Linotype" w:cs="Palatino Linotype"/>
          <w:b/>
          <w:color w:val="000000" w:themeColor="text1"/>
        </w:rPr>
        <w:t xml:space="preserve"> (18) </w:t>
      </w:r>
      <w:r w:rsidRPr="00CD747B">
        <w:rPr>
          <w:rFonts w:ascii="Palatino Linotype" w:eastAsia="Palatino Linotype" w:hAnsi="Palatino Linotype" w:cs="Palatino Linotype"/>
          <w:b/>
          <w:color w:val="000000" w:themeColor="text1"/>
        </w:rPr>
        <w:t>de septiembre de dos mil veinticinco</w:t>
      </w:r>
      <w:r w:rsidRPr="00CD747B">
        <w:rPr>
          <w:rFonts w:ascii="Palatino Linotype" w:eastAsia="Palatino Linotype" w:hAnsi="Palatino Linotype" w:cs="Palatino Linotype"/>
          <w:color w:val="000000" w:themeColor="text1"/>
        </w:rPr>
        <w:t xml:space="preserve">. </w:t>
      </w:r>
    </w:p>
    <w:p w:rsidR="004034CF" w:rsidRPr="00CD747B" w:rsidRDefault="004034CF" w:rsidP="001734D3">
      <w:pPr>
        <w:spacing w:before="240" w:after="240" w:line="360" w:lineRule="auto"/>
        <w:jc w:val="both"/>
        <w:rPr>
          <w:rFonts w:ascii="Palatino Linotype" w:eastAsia="Palatino Linotype" w:hAnsi="Palatino Linotype" w:cs="Palatino Linotype"/>
          <w:color w:val="000000" w:themeColor="text1"/>
        </w:rPr>
      </w:pPr>
    </w:p>
    <w:p w:rsidR="0035618D" w:rsidRDefault="00E417BD" w:rsidP="001734D3">
      <w:pPr>
        <w:spacing w:line="360" w:lineRule="auto"/>
        <w:jc w:val="both"/>
        <w:rPr>
          <w:rFonts w:ascii="Palatino Linotype" w:eastAsia="Palatino Linotype" w:hAnsi="Palatino Linotype" w:cs="Palatino Linotype"/>
          <w:color w:val="000000" w:themeColor="text1"/>
        </w:rPr>
      </w:pPr>
      <w:bookmarkStart w:id="1" w:name="_heading=h.1t3h5sf" w:colFirst="0" w:colLast="0"/>
      <w:bookmarkEnd w:id="1"/>
      <w:r w:rsidRPr="00CD747B">
        <w:rPr>
          <w:rFonts w:ascii="Palatino Linotype" w:eastAsia="Palatino Linotype" w:hAnsi="Palatino Linotype" w:cs="Palatino Linotype"/>
          <w:b/>
          <w:color w:val="000000" w:themeColor="text1"/>
        </w:rPr>
        <w:t>VISTO</w:t>
      </w:r>
      <w:r w:rsidRPr="00CD747B">
        <w:rPr>
          <w:rFonts w:ascii="Palatino Linotype" w:eastAsia="Palatino Linotype" w:hAnsi="Palatino Linotype" w:cs="Palatino Linotype"/>
          <w:color w:val="000000" w:themeColor="text1"/>
        </w:rPr>
        <w:t xml:space="preserve"> el expediente formado con motivo del recurso de revisión </w:t>
      </w:r>
      <w:r w:rsidRPr="00CD747B">
        <w:rPr>
          <w:rFonts w:ascii="Palatino Linotype" w:eastAsia="Palatino Linotype" w:hAnsi="Palatino Linotype" w:cs="Palatino Linotype"/>
          <w:b/>
          <w:color w:val="000000" w:themeColor="text1"/>
        </w:rPr>
        <w:t>05358/INFOEM/AD/RR/2025</w:t>
      </w:r>
      <w:r w:rsidRPr="00CD747B">
        <w:rPr>
          <w:rFonts w:ascii="Palatino Linotype" w:eastAsia="Palatino Linotype" w:hAnsi="Palatino Linotype" w:cs="Palatino Linotype"/>
          <w:color w:val="000000" w:themeColor="text1"/>
        </w:rPr>
        <w:t xml:space="preserve">, promovido por </w:t>
      </w:r>
      <w:r w:rsidR="00E75312">
        <w:rPr>
          <w:rFonts w:ascii="Palatino Linotype" w:eastAsia="Palatino Linotype" w:hAnsi="Palatino Linotype" w:cs="Palatino Linotype"/>
          <w:b/>
          <w:color w:val="000000" w:themeColor="text1"/>
        </w:rPr>
        <w:t>XXXX</w:t>
      </w:r>
      <w:r w:rsidRPr="00CD747B">
        <w:rPr>
          <w:rFonts w:ascii="Palatino Linotype" w:eastAsia="Palatino Linotype" w:hAnsi="Palatino Linotype" w:cs="Palatino Linotype"/>
          <w:b/>
          <w:color w:val="000000" w:themeColor="text1"/>
        </w:rPr>
        <w:t xml:space="preserve">, </w:t>
      </w:r>
      <w:r w:rsidRPr="00CD747B">
        <w:rPr>
          <w:rFonts w:ascii="Palatino Linotype" w:eastAsia="Palatino Linotype" w:hAnsi="Palatino Linotype" w:cs="Palatino Linotype"/>
          <w:color w:val="000000" w:themeColor="text1"/>
        </w:rPr>
        <w:t>en lo sucesivo la</w:t>
      </w:r>
      <w:r w:rsidRPr="00CD747B">
        <w:rPr>
          <w:rFonts w:ascii="Palatino Linotype" w:eastAsia="Palatino Linotype" w:hAnsi="Palatino Linotype" w:cs="Palatino Linotype"/>
          <w:b/>
          <w:color w:val="000000" w:themeColor="text1"/>
        </w:rPr>
        <w:t xml:space="preserve"> </w:t>
      </w:r>
      <w:r w:rsidR="004034CF" w:rsidRPr="00CD747B">
        <w:rPr>
          <w:rFonts w:ascii="Palatino Linotype" w:eastAsia="Palatino Linotype" w:hAnsi="Palatino Linotype" w:cs="Palatino Linotype"/>
          <w:b/>
          <w:color w:val="000000" w:themeColor="text1"/>
        </w:rPr>
        <w:t>RECURRENTE</w:t>
      </w:r>
      <w:r w:rsidRPr="00CD747B">
        <w:rPr>
          <w:rFonts w:ascii="Palatino Linotype" w:eastAsia="Palatino Linotype" w:hAnsi="Palatino Linotype" w:cs="Palatino Linotype"/>
          <w:color w:val="000000" w:themeColor="text1"/>
        </w:rPr>
        <w:t xml:space="preserve"> en contra de la respuesta del </w:t>
      </w:r>
      <w:r w:rsidRPr="00CD747B">
        <w:rPr>
          <w:rFonts w:ascii="Palatino Linotype" w:eastAsia="Palatino Linotype" w:hAnsi="Palatino Linotype" w:cs="Palatino Linotype"/>
          <w:b/>
          <w:color w:val="000000" w:themeColor="text1"/>
        </w:rPr>
        <w:t xml:space="preserve">Instituto de Seguridad Social del Estado de México y Municipios, </w:t>
      </w:r>
      <w:r w:rsidRPr="00CD747B">
        <w:rPr>
          <w:rFonts w:ascii="Palatino Linotype" w:eastAsia="Palatino Linotype" w:hAnsi="Palatino Linotype" w:cs="Palatino Linotype"/>
          <w:color w:val="000000" w:themeColor="text1"/>
        </w:rPr>
        <w:t xml:space="preserve">en </w:t>
      </w:r>
      <w:r w:rsidR="004034CF">
        <w:rPr>
          <w:rFonts w:ascii="Palatino Linotype" w:eastAsia="Palatino Linotype" w:hAnsi="Palatino Linotype" w:cs="Palatino Linotype"/>
          <w:color w:val="000000" w:themeColor="text1"/>
        </w:rPr>
        <w:t>adelante</w:t>
      </w:r>
      <w:r w:rsidRPr="00CD747B">
        <w:rPr>
          <w:rFonts w:ascii="Palatino Linotype" w:eastAsia="Palatino Linotype" w:hAnsi="Palatino Linotype" w:cs="Palatino Linotype"/>
          <w:color w:val="000000" w:themeColor="text1"/>
        </w:rPr>
        <w:t xml:space="preserve"> el</w:t>
      </w:r>
      <w:r w:rsidRPr="00CD747B">
        <w:rPr>
          <w:rFonts w:ascii="Palatino Linotype" w:eastAsia="Palatino Linotype" w:hAnsi="Palatino Linotype" w:cs="Palatino Linotype"/>
          <w:b/>
          <w:color w:val="000000" w:themeColor="text1"/>
        </w:rPr>
        <w:t xml:space="preserve"> </w:t>
      </w:r>
      <w:r w:rsidR="004034CF" w:rsidRPr="00CD747B">
        <w:rPr>
          <w:rFonts w:ascii="Palatino Linotype" w:eastAsia="Palatino Linotype" w:hAnsi="Palatino Linotype" w:cs="Palatino Linotype"/>
          <w:b/>
          <w:color w:val="000000" w:themeColor="text1"/>
        </w:rPr>
        <w:t>SUJETO OBLIGADO</w:t>
      </w:r>
      <w:r w:rsidRPr="00CD747B">
        <w:rPr>
          <w:rFonts w:ascii="Palatino Linotype" w:eastAsia="Palatino Linotype" w:hAnsi="Palatino Linotype" w:cs="Palatino Linotype"/>
          <w:color w:val="000000" w:themeColor="text1"/>
        </w:rPr>
        <w:t xml:space="preserve">, se procede a dictar la presente Resolución con base en los siguientes: </w:t>
      </w:r>
    </w:p>
    <w:p w:rsidR="004034CF" w:rsidRPr="00CD747B" w:rsidRDefault="004034CF"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spacing w:before="240" w:after="240" w:line="360" w:lineRule="auto"/>
        <w:jc w:val="center"/>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A N T E C E D E N T E S</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 xml:space="preserve">Solicitud de Acceso a Datos. </w:t>
      </w:r>
      <w:r w:rsidRPr="00CD747B">
        <w:rPr>
          <w:rFonts w:ascii="Palatino Linotype" w:eastAsia="Palatino Linotype" w:hAnsi="Palatino Linotype" w:cs="Palatino Linotype"/>
          <w:color w:val="000000" w:themeColor="text1"/>
        </w:rPr>
        <w:t xml:space="preserve">En fecha </w:t>
      </w:r>
      <w:r w:rsidRPr="00CD747B">
        <w:rPr>
          <w:rFonts w:ascii="Palatino Linotype" w:eastAsia="Palatino Linotype" w:hAnsi="Palatino Linotype" w:cs="Palatino Linotype"/>
          <w:b/>
          <w:color w:val="000000" w:themeColor="text1"/>
        </w:rPr>
        <w:t>dos de abril de dos mil veinticinco</w:t>
      </w:r>
      <w:r w:rsidRPr="00CD747B">
        <w:rPr>
          <w:rFonts w:ascii="Palatino Linotype" w:eastAsia="Palatino Linotype" w:hAnsi="Palatino Linotype" w:cs="Palatino Linotype"/>
          <w:color w:val="000000" w:themeColor="text1"/>
        </w:rPr>
        <w:t xml:space="preserve">, la </w:t>
      </w:r>
      <w:r w:rsidRPr="00CD747B">
        <w:rPr>
          <w:rFonts w:ascii="Palatino Linotype" w:eastAsia="Palatino Linotype" w:hAnsi="Palatino Linotype" w:cs="Palatino Linotype"/>
          <w:b/>
          <w:color w:val="000000" w:themeColor="text1"/>
        </w:rPr>
        <w:t>Recurrente</w:t>
      </w:r>
      <w:r w:rsidRPr="00CD747B">
        <w:rPr>
          <w:rFonts w:ascii="Palatino Linotype" w:eastAsia="Palatino Linotype" w:hAnsi="Palatino Linotype" w:cs="Palatino Linotype"/>
          <w:color w:val="000000" w:themeColor="text1"/>
        </w:rPr>
        <w:t xml:space="preserve"> presentó a través del Sistema de Acceso, Rectificación, Cancelación y Oposición de Datos Personales en el Estado de México en lo subsecuente SARCOEM, ante el </w:t>
      </w:r>
      <w:r w:rsidRPr="00CD747B">
        <w:rPr>
          <w:rFonts w:ascii="Palatino Linotype" w:eastAsia="Palatino Linotype" w:hAnsi="Palatino Linotype" w:cs="Palatino Linotype"/>
          <w:b/>
          <w:color w:val="000000" w:themeColor="text1"/>
        </w:rPr>
        <w:t>Sujeto Obligado</w:t>
      </w:r>
      <w:r w:rsidRPr="00CD747B">
        <w:rPr>
          <w:rFonts w:ascii="Palatino Linotype" w:eastAsia="Palatino Linotype" w:hAnsi="Palatino Linotype" w:cs="Palatino Linotype"/>
          <w:color w:val="000000" w:themeColor="text1"/>
        </w:rPr>
        <w:t xml:space="preserve">, la solicitud de acceso a datos personales, a la que se le asignó el número de expediente </w:t>
      </w:r>
      <w:r w:rsidRPr="00CD747B">
        <w:rPr>
          <w:rFonts w:ascii="Palatino Linotype" w:eastAsia="Palatino Linotype" w:hAnsi="Palatino Linotype" w:cs="Palatino Linotype"/>
          <w:b/>
          <w:color w:val="000000" w:themeColor="text1"/>
        </w:rPr>
        <w:t xml:space="preserve"> 00435/ISSEMYM/AD/2025, </w:t>
      </w:r>
      <w:r w:rsidRPr="00CD747B">
        <w:rPr>
          <w:rFonts w:ascii="Palatino Linotype" w:eastAsia="Palatino Linotype" w:hAnsi="Palatino Linotype" w:cs="Palatino Linotype"/>
          <w:color w:val="000000" w:themeColor="text1"/>
        </w:rPr>
        <w:t xml:space="preserve">en  la que requirió el acceso a lo siguiente: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“SOLICITO COPIA CERTIFICADA DEL AVISO DE MOVIMIENTO DE BAJA CON FECHA DE DEL 16 DE MARZO DE 2021, DE MI HERMANO FALLECIDO, SECRETARIA DE EDUCACIÓN, CLAVE ISSEMYM 294522.” (Sic)</w:t>
      </w:r>
    </w:p>
    <w:p w:rsidR="0035618D" w:rsidRPr="00CD747B" w:rsidRDefault="0035618D" w:rsidP="001734D3">
      <w:pPr>
        <w:spacing w:line="276" w:lineRule="auto"/>
        <w:jc w:val="both"/>
        <w:rPr>
          <w:rFonts w:ascii="Palatino Linotype" w:eastAsia="Palatino Linotype" w:hAnsi="Palatino Linotype" w:cs="Palatino Linotype"/>
          <w:b/>
          <w:color w:val="000000" w:themeColor="text1"/>
        </w:rPr>
      </w:pPr>
    </w:p>
    <w:p w:rsidR="0035618D" w:rsidRPr="004034CF" w:rsidRDefault="00E417BD" w:rsidP="004034CF">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4034CF">
        <w:rPr>
          <w:rFonts w:ascii="Palatino Linotype" w:eastAsia="Palatino Linotype" w:hAnsi="Palatino Linotype" w:cs="Palatino Linotype"/>
          <w:color w:val="000000" w:themeColor="text1"/>
        </w:rPr>
        <w:t>Señaló como modalidad de entrega de información</w:t>
      </w:r>
      <w:r w:rsidRPr="004034CF">
        <w:rPr>
          <w:rFonts w:ascii="Palatino Linotype" w:eastAsia="Palatino Linotype" w:hAnsi="Palatino Linotype" w:cs="Palatino Linotype"/>
          <w:b/>
          <w:color w:val="000000" w:themeColor="text1"/>
        </w:rPr>
        <w:t>:</w:t>
      </w:r>
      <w:r w:rsidRPr="004034CF">
        <w:rPr>
          <w:rFonts w:ascii="Palatino Linotype" w:eastAsia="Palatino Linotype" w:hAnsi="Palatino Linotype" w:cs="Palatino Linotype"/>
          <w:color w:val="000000" w:themeColor="text1"/>
        </w:rPr>
        <w:t xml:space="preserve"> A través de </w:t>
      </w:r>
      <w:r w:rsidRPr="004034CF">
        <w:rPr>
          <w:rFonts w:ascii="Palatino Linotype" w:eastAsia="Palatino Linotype" w:hAnsi="Palatino Linotype" w:cs="Palatino Linotype"/>
          <w:b/>
          <w:color w:val="000000" w:themeColor="text1"/>
        </w:rPr>
        <w:t>COPIAS CERTIFICADAS.</w:t>
      </w: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Al momento de solicitar la información, la solicitante adjuntó dos archivos electrónicos en los que adjuntó los siguientes documentos:</w:t>
      </w:r>
    </w:p>
    <w:p w:rsidR="0035618D" w:rsidRPr="00CD747B" w:rsidRDefault="005677FB" w:rsidP="001734D3">
      <w:pPr>
        <w:numPr>
          <w:ilvl w:val="0"/>
          <w:numId w:val="1"/>
        </w:numPr>
        <w:spacing w:before="280" w:after="280" w:line="360" w:lineRule="auto"/>
        <w:ind w:left="0" w:firstLine="0"/>
        <w:jc w:val="both"/>
        <w:rPr>
          <w:rFonts w:ascii="Palatino Linotype" w:eastAsia="Palatino Linotype" w:hAnsi="Palatino Linotype" w:cs="Palatino Linotype"/>
          <w:color w:val="000000" w:themeColor="text1"/>
        </w:rPr>
      </w:pPr>
      <w:hyperlink r:id="rId8">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.pdf</w:t>
        </w:r>
      </w:hyperlink>
      <w:r w:rsidR="00E417BD" w:rsidRPr="00CD747B">
        <w:rPr>
          <w:rFonts w:ascii="Palatino Linotype" w:eastAsia="Palatino Linotype" w:hAnsi="Palatino Linotype" w:cs="Palatino Linotype"/>
          <w:color w:val="000000" w:themeColor="text1"/>
        </w:rPr>
        <w:t xml:space="preserve">: identificación oficial emitida por el Instituto Nacional Electoral de la Recurrente. </w:t>
      </w:r>
    </w:p>
    <w:p w:rsidR="0035618D" w:rsidRPr="00CD747B" w:rsidRDefault="005677FB" w:rsidP="001734D3">
      <w:pPr>
        <w:numPr>
          <w:ilvl w:val="0"/>
          <w:numId w:val="2"/>
        </w:numPr>
        <w:spacing w:before="280" w:line="360" w:lineRule="auto"/>
        <w:ind w:left="0" w:firstLine="0"/>
        <w:jc w:val="both"/>
        <w:rPr>
          <w:rFonts w:ascii="Palatino Linotype" w:eastAsia="Palatino Linotype" w:hAnsi="Palatino Linotype" w:cs="Palatino Linotype"/>
          <w:color w:val="000000" w:themeColor="text1"/>
        </w:rPr>
      </w:pPr>
      <w:hyperlink r:id="rId9">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.pdf</w:t>
        </w:r>
      </w:hyperlink>
      <w:r w:rsidR="00E417BD" w:rsidRPr="00CD747B">
        <w:rPr>
          <w:rFonts w:ascii="Palatino Linotype" w:eastAsia="Palatino Linotype" w:hAnsi="Palatino Linotype" w:cs="Palatino Linotype"/>
          <w:color w:val="000000" w:themeColor="text1"/>
        </w:rPr>
        <w:t xml:space="preserve">: </w:t>
      </w:r>
    </w:p>
    <w:p w:rsidR="0035618D" w:rsidRPr="00CD747B" w:rsidRDefault="00E417BD" w:rsidP="001734D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Constancia de Situación Registral del INE.</w:t>
      </w:r>
    </w:p>
    <w:p w:rsidR="0035618D" w:rsidRPr="00CD747B" w:rsidRDefault="00E417BD" w:rsidP="001734D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CURPP de la persona fallecida.</w:t>
      </w:r>
    </w:p>
    <w:p w:rsidR="0035618D" w:rsidRPr="00CD747B" w:rsidRDefault="00E417BD" w:rsidP="001734D3">
      <w:pPr>
        <w:numPr>
          <w:ilvl w:val="1"/>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Carta Testamentaria del ISSEMYM</w:t>
      </w:r>
    </w:p>
    <w:p w:rsidR="0035618D" w:rsidRPr="00CD747B" w:rsidRDefault="00E417BD" w:rsidP="001734D3">
      <w:pPr>
        <w:numPr>
          <w:ilvl w:val="1"/>
          <w:numId w:val="2"/>
        </w:numPr>
        <w:pBdr>
          <w:top w:val="nil"/>
          <w:left w:val="nil"/>
          <w:bottom w:val="nil"/>
          <w:right w:val="nil"/>
          <w:between w:val="nil"/>
        </w:pBdr>
        <w:spacing w:after="280"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Acta de defunción.</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En fecha </w:t>
      </w:r>
      <w:r w:rsidRPr="00CD747B">
        <w:rPr>
          <w:rFonts w:ascii="Palatino Linotype" w:eastAsia="Palatino Linotype" w:hAnsi="Palatino Linotype" w:cs="Palatino Linotype"/>
          <w:b/>
          <w:color w:val="000000" w:themeColor="text1"/>
        </w:rPr>
        <w:t>nueve de abril de dos mil veinticinco</w:t>
      </w:r>
      <w:r w:rsidRPr="00CD747B">
        <w:rPr>
          <w:rFonts w:ascii="Palatino Linotype" w:eastAsia="Palatino Linotype" w:hAnsi="Palatino Linotype" w:cs="Palatino Linotype"/>
          <w:color w:val="000000" w:themeColor="text1"/>
        </w:rPr>
        <w:t xml:space="preserve">, el </w:t>
      </w:r>
      <w:r w:rsidRPr="00CD747B">
        <w:rPr>
          <w:rFonts w:ascii="Palatino Linotype" w:eastAsia="Palatino Linotype" w:hAnsi="Palatino Linotype" w:cs="Palatino Linotype"/>
          <w:b/>
          <w:color w:val="000000" w:themeColor="text1"/>
        </w:rPr>
        <w:t>Sujeto Obligado</w:t>
      </w:r>
      <w:r w:rsidRPr="00CD747B">
        <w:rPr>
          <w:rFonts w:ascii="Palatino Linotype" w:eastAsia="Palatino Linotype" w:hAnsi="Palatino Linotype" w:cs="Palatino Linotype"/>
          <w:color w:val="000000" w:themeColor="text1"/>
        </w:rPr>
        <w:t>, requirió a la solicitante presentar a través del Sistema SARCOEM, una aclaración en el siguiente sentido:</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tbl>
      <w:tblPr>
        <w:tblStyle w:val="a"/>
        <w:tblW w:w="7616" w:type="dxa"/>
        <w:jc w:val="center"/>
        <w:tblInd w:w="0" w:type="dxa"/>
        <w:tblLayout w:type="fixed"/>
        <w:tblLook w:val="0400" w:firstRow="0" w:lastRow="0" w:firstColumn="0" w:lastColumn="0" w:noHBand="0" w:noVBand="1"/>
      </w:tblPr>
      <w:tblGrid>
        <w:gridCol w:w="7616"/>
      </w:tblGrid>
      <w:tr w:rsidR="001734D3" w:rsidRPr="00CD747B">
        <w:trPr>
          <w:trHeight w:val="545"/>
          <w:jc w:val="center"/>
        </w:trPr>
        <w:tc>
          <w:tcPr>
            <w:tcW w:w="7616" w:type="dxa"/>
            <w:vAlign w:val="center"/>
          </w:tcPr>
          <w:p w:rsidR="0035618D" w:rsidRPr="00CD747B" w:rsidRDefault="00E417BD" w:rsidP="001734D3">
            <w:pPr>
              <w:jc w:val="right"/>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“Metepec, México a 09 de Abril de 2025</w:t>
            </w:r>
          </w:p>
        </w:tc>
      </w:tr>
      <w:tr w:rsidR="001734D3" w:rsidRPr="00CD747B">
        <w:trPr>
          <w:trHeight w:val="545"/>
          <w:jc w:val="center"/>
        </w:trPr>
        <w:tc>
          <w:tcPr>
            <w:tcW w:w="7616" w:type="dxa"/>
            <w:vAlign w:val="center"/>
          </w:tcPr>
          <w:p w:rsidR="0035618D" w:rsidRPr="00CD747B" w:rsidRDefault="00E417BD" w:rsidP="00E75312">
            <w:pPr>
              <w:jc w:val="right"/>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 xml:space="preserve">Nombre del solicitante: </w:t>
            </w:r>
            <w:r w:rsidR="00E75312">
              <w:rPr>
                <w:rFonts w:ascii="Palatino Linotype" w:eastAsia="Palatino Linotype" w:hAnsi="Palatino Linotype" w:cs="Palatino Linotype"/>
                <w:i/>
                <w:color w:val="000000" w:themeColor="text1"/>
              </w:rPr>
              <w:t>XXXX</w:t>
            </w:r>
          </w:p>
        </w:tc>
      </w:tr>
      <w:tr w:rsidR="001734D3" w:rsidRPr="00CD747B">
        <w:trPr>
          <w:trHeight w:val="545"/>
          <w:jc w:val="center"/>
        </w:trPr>
        <w:tc>
          <w:tcPr>
            <w:tcW w:w="7616" w:type="dxa"/>
            <w:vAlign w:val="center"/>
          </w:tcPr>
          <w:p w:rsidR="0035618D" w:rsidRPr="00CD747B" w:rsidRDefault="00E417BD" w:rsidP="001734D3">
            <w:pPr>
              <w:jc w:val="right"/>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Folio de la solicitud: 00435/ISSEMYM/AD/2025</w:t>
            </w:r>
          </w:p>
        </w:tc>
      </w:tr>
      <w:tr w:rsidR="001734D3" w:rsidRPr="00CD747B">
        <w:trPr>
          <w:trHeight w:val="817"/>
          <w:jc w:val="center"/>
        </w:trPr>
        <w:tc>
          <w:tcPr>
            <w:tcW w:w="7616" w:type="dxa"/>
            <w:vAlign w:val="center"/>
          </w:tcPr>
          <w:p w:rsidR="0035618D" w:rsidRPr="00CD747B" w:rsidRDefault="0035618D" w:rsidP="001734D3">
            <w:pPr>
              <w:jc w:val="right"/>
              <w:rPr>
                <w:rFonts w:ascii="Palatino Linotype" w:eastAsia="Palatino Linotype" w:hAnsi="Palatino Linotype" w:cs="Palatino Linotype"/>
                <w:i/>
                <w:color w:val="000000" w:themeColor="text1"/>
              </w:rPr>
            </w:pPr>
          </w:p>
        </w:tc>
      </w:tr>
      <w:tr w:rsidR="001734D3" w:rsidRPr="00CD747B">
        <w:trPr>
          <w:trHeight w:val="272"/>
          <w:jc w:val="center"/>
        </w:trPr>
        <w:tc>
          <w:tcPr>
            <w:tcW w:w="7616" w:type="dxa"/>
            <w:vAlign w:val="center"/>
          </w:tcPr>
          <w:p w:rsidR="0035618D" w:rsidRPr="00CD747B" w:rsidRDefault="00E417BD" w:rsidP="001734D3">
            <w:pPr>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 xml:space="preserve">Con fundamento en el </w:t>
            </w:r>
            <w:r w:rsidR="00885155" w:rsidRPr="00CD747B">
              <w:rPr>
                <w:rFonts w:ascii="Palatino Linotype" w:eastAsia="Palatino Linotype" w:hAnsi="Palatino Linotype" w:cs="Palatino Linotype"/>
                <w:i/>
                <w:color w:val="000000" w:themeColor="text1"/>
              </w:rPr>
              <w:t>artículo</w:t>
            </w:r>
            <w:r w:rsidRPr="00CD747B">
              <w:rPr>
                <w:rFonts w:ascii="Palatino Linotype" w:eastAsia="Palatino Linotype" w:hAnsi="Palatino Linotype" w:cs="Palatino Linotype"/>
                <w:i/>
                <w:color w:val="000000" w:themeColor="text1"/>
              </w:rPr>
              <w:t xml:space="preserve"> 159 de la Ley de Transparencia y Acceso a la Información Pública del Estado de México y Municipios, se le requiere para que dentro del plazo de diez días hábiles realice lo siguiente:</w:t>
            </w:r>
          </w:p>
        </w:tc>
      </w:tr>
      <w:tr w:rsidR="001734D3" w:rsidRPr="00CD747B">
        <w:trPr>
          <w:trHeight w:val="681"/>
          <w:jc w:val="center"/>
        </w:trPr>
        <w:tc>
          <w:tcPr>
            <w:tcW w:w="7616" w:type="dxa"/>
            <w:vAlign w:val="center"/>
          </w:tcPr>
          <w:p w:rsidR="0035618D" w:rsidRPr="00CD747B" w:rsidRDefault="0035618D" w:rsidP="001734D3">
            <w:pPr>
              <w:jc w:val="both"/>
              <w:rPr>
                <w:rFonts w:ascii="Palatino Linotype" w:eastAsia="Palatino Linotype" w:hAnsi="Palatino Linotype" w:cs="Palatino Linotype"/>
                <w:i/>
                <w:color w:val="000000" w:themeColor="text1"/>
              </w:rPr>
            </w:pPr>
          </w:p>
        </w:tc>
      </w:tr>
      <w:tr w:rsidR="001734D3" w:rsidRPr="00CD747B">
        <w:trPr>
          <w:trHeight w:val="272"/>
          <w:jc w:val="center"/>
        </w:trPr>
        <w:tc>
          <w:tcPr>
            <w:tcW w:w="7616" w:type="dxa"/>
            <w:vAlign w:val="center"/>
          </w:tcPr>
          <w:p w:rsidR="0035618D" w:rsidRPr="00CD747B" w:rsidRDefault="00E417BD" w:rsidP="001734D3">
            <w:pPr>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w:t>
            </w:r>
            <w:r w:rsidRPr="00CD747B">
              <w:rPr>
                <w:rFonts w:ascii="Palatino Linotype" w:eastAsia="Palatino Linotype" w:hAnsi="Palatino Linotype" w:cs="Palatino Linotype"/>
                <w:i/>
                <w:color w:val="000000" w:themeColor="text1"/>
              </w:rPr>
              <w:lastRenderedPageBreak/>
              <w:t>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cubrebocas y pluma o bolí-grafo personal, como medidas de seguridad sanitaria.</w:t>
            </w:r>
          </w:p>
        </w:tc>
      </w:tr>
      <w:tr w:rsidR="001734D3" w:rsidRPr="00CD747B">
        <w:trPr>
          <w:trHeight w:val="681"/>
          <w:jc w:val="center"/>
        </w:trPr>
        <w:tc>
          <w:tcPr>
            <w:tcW w:w="7616" w:type="dxa"/>
            <w:vAlign w:val="center"/>
          </w:tcPr>
          <w:p w:rsidR="0035618D" w:rsidRPr="00CD747B" w:rsidRDefault="0035618D" w:rsidP="001734D3">
            <w:pPr>
              <w:jc w:val="both"/>
              <w:rPr>
                <w:rFonts w:ascii="Palatino Linotype" w:eastAsia="Palatino Linotype" w:hAnsi="Palatino Linotype" w:cs="Palatino Linotype"/>
                <w:i/>
                <w:color w:val="000000" w:themeColor="text1"/>
              </w:rPr>
            </w:pPr>
          </w:p>
        </w:tc>
      </w:tr>
      <w:tr w:rsidR="001734D3" w:rsidRPr="00CD747B">
        <w:trPr>
          <w:trHeight w:val="272"/>
          <w:jc w:val="center"/>
        </w:trPr>
        <w:tc>
          <w:tcPr>
            <w:tcW w:w="7616" w:type="dxa"/>
            <w:vAlign w:val="center"/>
          </w:tcPr>
          <w:p w:rsidR="0035618D" w:rsidRPr="00CD747B" w:rsidRDefault="00E417BD" w:rsidP="001734D3">
            <w:pPr>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1734D3" w:rsidRPr="00CD747B">
        <w:trPr>
          <w:trHeight w:val="272"/>
          <w:jc w:val="center"/>
        </w:trPr>
        <w:tc>
          <w:tcPr>
            <w:tcW w:w="7616" w:type="dxa"/>
            <w:vAlign w:val="center"/>
          </w:tcPr>
          <w:p w:rsidR="0035618D" w:rsidRPr="00CD747B" w:rsidRDefault="0035618D" w:rsidP="001734D3">
            <w:pPr>
              <w:rPr>
                <w:rFonts w:ascii="Palatino Linotype" w:eastAsia="Palatino Linotype" w:hAnsi="Palatino Linotype" w:cs="Palatino Linotype"/>
                <w:i/>
                <w:color w:val="000000" w:themeColor="text1"/>
              </w:rPr>
            </w:pPr>
          </w:p>
        </w:tc>
      </w:tr>
      <w:tr w:rsidR="001734D3" w:rsidRPr="00CD747B">
        <w:trPr>
          <w:trHeight w:val="272"/>
          <w:jc w:val="center"/>
        </w:trPr>
        <w:tc>
          <w:tcPr>
            <w:tcW w:w="7616" w:type="dxa"/>
            <w:vAlign w:val="center"/>
          </w:tcPr>
          <w:p w:rsidR="0035618D" w:rsidRPr="00CD747B" w:rsidRDefault="00E417BD" w:rsidP="001734D3">
            <w:pPr>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ATENTAMENTE</w:t>
            </w:r>
          </w:p>
        </w:tc>
      </w:tr>
      <w:tr w:rsidR="001734D3" w:rsidRPr="00CD747B">
        <w:trPr>
          <w:trHeight w:val="408"/>
          <w:jc w:val="center"/>
        </w:trPr>
        <w:tc>
          <w:tcPr>
            <w:tcW w:w="7616" w:type="dxa"/>
            <w:vAlign w:val="center"/>
          </w:tcPr>
          <w:p w:rsidR="0035618D" w:rsidRPr="00CD747B" w:rsidRDefault="0035618D" w:rsidP="001734D3">
            <w:pPr>
              <w:rPr>
                <w:rFonts w:ascii="Palatino Linotype" w:eastAsia="Palatino Linotype" w:hAnsi="Palatino Linotype" w:cs="Palatino Linotype"/>
                <w:i/>
                <w:color w:val="000000" w:themeColor="text1"/>
              </w:rPr>
            </w:pPr>
          </w:p>
        </w:tc>
      </w:tr>
      <w:tr w:rsidR="001734D3" w:rsidRPr="00CD747B">
        <w:trPr>
          <w:trHeight w:val="272"/>
          <w:jc w:val="center"/>
        </w:trPr>
        <w:tc>
          <w:tcPr>
            <w:tcW w:w="7616" w:type="dxa"/>
            <w:vAlign w:val="center"/>
          </w:tcPr>
          <w:p w:rsidR="0035618D" w:rsidRPr="00CD747B" w:rsidRDefault="00E417BD" w:rsidP="001734D3">
            <w:pPr>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LIC. EN PLANEACION TERRITORIAL ABRAHAM ISRAEL BADIA VARGAS”</w:t>
            </w:r>
          </w:p>
        </w:tc>
      </w:tr>
    </w:tbl>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color w:val="000000" w:themeColor="text1"/>
        </w:rPr>
        <w:t xml:space="preserve">A la solicitud de aclaración se adjuntó el archivo electrónico denominado </w:t>
      </w:r>
      <w:hyperlink r:id="rId10">
        <w:r w:rsidRPr="00CD747B">
          <w:rPr>
            <w:rFonts w:ascii="Palatino Linotype" w:eastAsia="Palatino Linotype" w:hAnsi="Palatino Linotype" w:cs="Palatino Linotype"/>
            <w:b/>
            <w:color w:val="000000" w:themeColor="text1"/>
            <w:u w:val="single"/>
          </w:rPr>
          <w:t>ACLARACIÓN 0435.AD.2025.pdf</w:t>
        </w:r>
      </w:hyperlink>
      <w:r w:rsidRPr="00CD747B">
        <w:rPr>
          <w:rFonts w:ascii="Palatino Linotype" w:eastAsia="Palatino Linotype" w:hAnsi="Palatino Linotype" w:cs="Palatino Linotype"/>
          <w:color w:val="000000" w:themeColor="text1"/>
        </w:rPr>
        <w:t xml:space="preserve">, en el que se advierte un documento suscrito por la Jefa del Departamento de Acceso a la Información Institucional, en el que de forma medular, requirió que la solicitante acredite se personalidad como titular de los datos personales o su representación.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El </w:t>
      </w:r>
      <w:r w:rsidRPr="00CD747B">
        <w:rPr>
          <w:rFonts w:ascii="Palatino Linotype" w:eastAsia="Palatino Linotype" w:hAnsi="Palatino Linotype" w:cs="Palatino Linotype"/>
          <w:b/>
          <w:color w:val="000000" w:themeColor="text1"/>
        </w:rPr>
        <w:t>siete de mayo de dos mil veinticinco,</w:t>
      </w:r>
      <w:r w:rsidRPr="00CD747B">
        <w:rPr>
          <w:rFonts w:ascii="Palatino Linotype" w:eastAsia="Palatino Linotype" w:hAnsi="Palatino Linotype" w:cs="Palatino Linotype"/>
          <w:color w:val="000000" w:themeColor="text1"/>
        </w:rPr>
        <w:t xml:space="preserve"> el </w:t>
      </w:r>
      <w:r w:rsidRPr="00CD747B">
        <w:rPr>
          <w:rFonts w:ascii="Palatino Linotype" w:eastAsia="Palatino Linotype" w:hAnsi="Palatino Linotype" w:cs="Palatino Linotype"/>
          <w:b/>
          <w:color w:val="000000" w:themeColor="text1"/>
        </w:rPr>
        <w:t xml:space="preserve">SUJETO OBLIGADO </w:t>
      </w:r>
      <w:r w:rsidRPr="00CD747B">
        <w:rPr>
          <w:rFonts w:ascii="Palatino Linotype" w:eastAsia="Palatino Linotype" w:hAnsi="Palatino Linotype" w:cs="Palatino Linotype"/>
          <w:color w:val="000000" w:themeColor="text1"/>
        </w:rPr>
        <w:t xml:space="preserve">adjuntó la notificación de un archivo electrónico, mediante el cual señaló que no se presentó la aclaración.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b/>
          <w:i/>
          <w:color w:val="000000" w:themeColor="text1"/>
        </w:rPr>
        <w:lastRenderedPageBreak/>
        <w:t xml:space="preserve">NO PRESENTADA-AD.pdf: </w:t>
      </w:r>
      <w:r w:rsidRPr="00CD747B">
        <w:rPr>
          <w:rFonts w:ascii="Palatino Linotype" w:eastAsia="Palatino Linotype" w:hAnsi="Palatino Linotype" w:cs="Palatino Linotype"/>
          <w:color w:val="000000" w:themeColor="text1"/>
        </w:rPr>
        <w:t xml:space="preserve">documento mediante el cual la Unidad de Transparencia del </w:t>
      </w:r>
      <w:r w:rsidRPr="00CD747B">
        <w:rPr>
          <w:rFonts w:ascii="Palatino Linotype" w:eastAsia="Palatino Linotype" w:hAnsi="Palatino Linotype" w:cs="Palatino Linotype"/>
          <w:b/>
          <w:color w:val="000000" w:themeColor="text1"/>
        </w:rPr>
        <w:t xml:space="preserve">SUJETO OBLIGADO </w:t>
      </w:r>
      <w:r w:rsidRPr="00CD747B">
        <w:rPr>
          <w:rFonts w:ascii="Palatino Linotype" w:eastAsia="Palatino Linotype" w:hAnsi="Palatino Linotype" w:cs="Palatino Linotype"/>
          <w:color w:val="000000" w:themeColor="text1"/>
        </w:rPr>
        <w:t>hace del conocimiento del solicitante que se tiene por no presentada su solicitud por no atender el requerimiento realizado.</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El </w:t>
      </w:r>
      <w:r w:rsidRPr="00CD747B">
        <w:rPr>
          <w:rFonts w:ascii="Palatino Linotype" w:eastAsia="Palatino Linotype" w:hAnsi="Palatino Linotype" w:cs="Palatino Linotype"/>
          <w:b/>
          <w:color w:val="000000" w:themeColor="text1"/>
        </w:rPr>
        <w:t xml:space="preserve">doce de mayo de dos mil veinticinco, </w:t>
      </w:r>
      <w:r w:rsidRPr="00CD747B">
        <w:rPr>
          <w:rFonts w:ascii="Palatino Linotype" w:eastAsia="Palatino Linotype" w:hAnsi="Palatino Linotype" w:cs="Palatino Linotype"/>
          <w:color w:val="000000" w:themeColor="text1"/>
        </w:rPr>
        <w:t xml:space="preserve">la entonces </w:t>
      </w:r>
      <w:r w:rsidRPr="00CD747B">
        <w:rPr>
          <w:rFonts w:ascii="Palatino Linotype" w:eastAsia="Palatino Linotype" w:hAnsi="Palatino Linotype" w:cs="Palatino Linotype"/>
          <w:b/>
          <w:color w:val="000000" w:themeColor="text1"/>
        </w:rPr>
        <w:t xml:space="preserve">SOLICITANTE </w:t>
      </w:r>
      <w:r w:rsidRPr="00CD747B">
        <w:rPr>
          <w:rFonts w:ascii="Palatino Linotype" w:eastAsia="Palatino Linotype" w:hAnsi="Palatino Linotype" w:cs="Palatino Linotype"/>
          <w:color w:val="000000" w:themeColor="text1"/>
        </w:rPr>
        <w:t>interpuso el recurso de revisión bajo los siguientes términos:</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4034CF" w:rsidRDefault="00E417BD" w:rsidP="004034CF">
      <w:pPr>
        <w:pStyle w:val="Prrafodelista"/>
        <w:numPr>
          <w:ilvl w:val="0"/>
          <w:numId w:val="7"/>
        </w:numPr>
        <w:spacing w:line="360" w:lineRule="auto"/>
        <w:jc w:val="both"/>
        <w:rPr>
          <w:rFonts w:ascii="Palatino Linotype" w:eastAsia="Palatino Linotype" w:hAnsi="Palatino Linotype" w:cs="Palatino Linotype"/>
          <w:color w:val="000000" w:themeColor="text1"/>
        </w:rPr>
      </w:pPr>
      <w:bookmarkStart w:id="2" w:name="_heading=h.3znysh7" w:colFirst="0" w:colLast="0"/>
      <w:bookmarkEnd w:id="2"/>
      <w:r w:rsidRPr="004034CF">
        <w:rPr>
          <w:rFonts w:ascii="Palatino Linotype" w:eastAsia="Palatino Linotype" w:hAnsi="Palatino Linotype" w:cs="Palatino Linotype"/>
          <w:b/>
          <w:color w:val="000000" w:themeColor="text1"/>
        </w:rPr>
        <w:t>Acto impugnado</w:t>
      </w:r>
      <w:r w:rsidRPr="004034CF">
        <w:rPr>
          <w:rFonts w:ascii="Palatino Linotype" w:eastAsia="Palatino Linotype" w:hAnsi="Palatino Linotype" w:cs="Palatino Linotype"/>
          <w:color w:val="000000" w:themeColor="text1"/>
        </w:rPr>
        <w:t xml:space="preserve">: </w:t>
      </w:r>
    </w:p>
    <w:p w:rsidR="0035618D" w:rsidRPr="00CD747B" w:rsidRDefault="00E417BD" w:rsidP="004034CF">
      <w:pPr>
        <w:spacing w:line="276" w:lineRule="auto"/>
        <w:ind w:firstLine="360"/>
        <w:jc w:val="both"/>
        <w:rPr>
          <w:rFonts w:ascii="Palatino Linotype" w:eastAsia="Palatino Linotype" w:hAnsi="Palatino Linotype" w:cs="Palatino Linotype"/>
          <w:i/>
          <w:color w:val="000000" w:themeColor="text1"/>
        </w:rPr>
      </w:pPr>
      <w:bookmarkStart w:id="3" w:name="_heading=h.2et92p0" w:colFirst="0" w:colLast="0"/>
      <w:bookmarkEnd w:id="3"/>
      <w:r w:rsidRPr="00CD747B">
        <w:rPr>
          <w:rFonts w:ascii="Palatino Linotype" w:eastAsia="Palatino Linotype" w:hAnsi="Palatino Linotype" w:cs="Palatino Linotype"/>
          <w:i/>
          <w:color w:val="000000" w:themeColor="text1"/>
        </w:rPr>
        <w:t>“NO SE ME PROPORCINÓ LA INFORMACIÓN SOLICITADA.” (Sic)</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35618D" w:rsidRPr="004034CF" w:rsidRDefault="00E417BD" w:rsidP="004034CF">
      <w:pPr>
        <w:pStyle w:val="Prrafodelista"/>
        <w:numPr>
          <w:ilvl w:val="0"/>
          <w:numId w:val="7"/>
        </w:numPr>
        <w:spacing w:line="360" w:lineRule="auto"/>
        <w:jc w:val="both"/>
        <w:rPr>
          <w:rFonts w:ascii="Palatino Linotype" w:eastAsia="Palatino Linotype" w:hAnsi="Palatino Linotype" w:cs="Palatino Linotype"/>
          <w:b/>
          <w:color w:val="000000" w:themeColor="text1"/>
        </w:rPr>
      </w:pPr>
      <w:r w:rsidRPr="004034CF">
        <w:rPr>
          <w:rFonts w:ascii="Palatino Linotype" w:eastAsia="Palatino Linotype" w:hAnsi="Palatino Linotype" w:cs="Palatino Linotype"/>
          <w:b/>
          <w:color w:val="000000" w:themeColor="text1"/>
        </w:rPr>
        <w:t>Razones o Motivos de inconformidad</w:t>
      </w:r>
      <w:r w:rsidRPr="004034CF">
        <w:rPr>
          <w:rFonts w:ascii="Palatino Linotype" w:eastAsia="Palatino Linotype" w:hAnsi="Palatino Linotype" w:cs="Palatino Linotype"/>
          <w:color w:val="000000" w:themeColor="text1"/>
        </w:rPr>
        <w:t>:</w:t>
      </w:r>
      <w:r w:rsidRPr="004034CF">
        <w:rPr>
          <w:rFonts w:ascii="Palatino Linotype" w:eastAsia="Palatino Linotype" w:hAnsi="Palatino Linotype" w:cs="Palatino Linotype"/>
          <w:b/>
          <w:color w:val="000000" w:themeColor="text1"/>
        </w:rPr>
        <w:t xml:space="preserve"> </w:t>
      </w:r>
    </w:p>
    <w:p w:rsidR="0035618D" w:rsidRPr="00CD747B" w:rsidRDefault="00E417BD" w:rsidP="004034CF">
      <w:pPr>
        <w:spacing w:line="276" w:lineRule="auto"/>
        <w:ind w:firstLine="360"/>
        <w:jc w:val="both"/>
        <w:rPr>
          <w:rFonts w:ascii="Palatino Linotype" w:eastAsia="Palatino Linotype" w:hAnsi="Palatino Linotype" w:cs="Palatino Linotype"/>
          <w:b/>
          <w:i/>
          <w:color w:val="000000" w:themeColor="text1"/>
        </w:rPr>
      </w:pPr>
      <w:r w:rsidRPr="00CD747B">
        <w:rPr>
          <w:rFonts w:ascii="Palatino Linotype" w:eastAsia="Palatino Linotype" w:hAnsi="Palatino Linotype" w:cs="Palatino Linotype"/>
          <w:i/>
          <w:color w:val="000000" w:themeColor="text1"/>
        </w:rPr>
        <w:t xml:space="preserve">“INGRESÉ UNA SOLICITUD EN SARCOEM, EL DÍA 2 DE ABRIL DEL AÑO EN CURSO, PARA SOLICITAR COPIA CERTIFICADA DEL AVISO DE MOVIMIENTO DE BAJA, CON FECHA DE 16 DE MARZO DE 2021 DE MI HERMANO </w:t>
      </w:r>
      <w:r w:rsidR="00E75312">
        <w:rPr>
          <w:rFonts w:ascii="Palatino Linotype" w:eastAsia="Palatino Linotype" w:hAnsi="Palatino Linotype" w:cs="Palatino Linotype"/>
          <w:i/>
          <w:color w:val="000000" w:themeColor="text1"/>
        </w:rPr>
        <w:t>XXXX</w:t>
      </w:r>
      <w:r w:rsidRPr="00CD747B">
        <w:rPr>
          <w:rFonts w:ascii="Palatino Linotype" w:eastAsia="Palatino Linotype" w:hAnsi="Palatino Linotype" w:cs="Palatino Linotype"/>
          <w:i/>
          <w:color w:val="000000" w:themeColor="text1"/>
        </w:rPr>
        <w:t xml:space="preserve">.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w:t>
      </w:r>
      <w:r w:rsidRPr="00CD747B">
        <w:rPr>
          <w:rFonts w:ascii="Palatino Linotype" w:eastAsia="Palatino Linotype" w:hAnsi="Palatino Linotype" w:cs="Palatino Linotype"/>
          <w:i/>
          <w:color w:val="000000" w:themeColor="text1"/>
        </w:rPr>
        <w:lastRenderedPageBreak/>
        <w:t xml:space="preserve">FALLECIDAS, PODRÁ REALIZARLA LA PERSONA QUE ACREDITE TENER UN INTERÉS JURÍDICO O LEGÍTIMO”, POR LO TANTO, ACREDITO TENER UN INTERÉS LEGÍTIMO CON LOS DOCUMENTOS QUE ADJUNTO AL PRESENTE RECURSO DE REVISIÓN, CONSISTENTES EN: • OFICIO NO. INE 25JDE-MEX/VRFE/0300/2023, DE CONSTANCIA DE SITUACIÓN REGISTRAL, RELACIONADO CON MI FALLECIDO HERMANO </w:t>
      </w:r>
      <w:r w:rsidR="00E75312">
        <w:rPr>
          <w:rFonts w:ascii="Palatino Linotype" w:eastAsia="Palatino Linotype" w:hAnsi="Palatino Linotype" w:cs="Palatino Linotype"/>
          <w:i/>
          <w:color w:val="000000" w:themeColor="text1"/>
        </w:rPr>
        <w:t>XXXX</w:t>
      </w:r>
      <w:r w:rsidRPr="00CD747B">
        <w:rPr>
          <w:rFonts w:ascii="Palatino Linotype" w:eastAsia="Palatino Linotype" w:hAnsi="Palatino Linotype" w:cs="Palatino Linotype"/>
          <w:i/>
          <w:color w:val="000000" w:themeColor="text1"/>
        </w:rPr>
        <w:t xml:space="preserve">. • IDENTIFICACIÓN OFICIAL DE LA SUSCRITA </w:t>
      </w:r>
      <w:r w:rsidR="00E75312">
        <w:rPr>
          <w:rFonts w:ascii="Palatino Linotype" w:eastAsia="Palatino Linotype" w:hAnsi="Palatino Linotype" w:cs="Palatino Linotype"/>
          <w:i/>
          <w:color w:val="000000" w:themeColor="text1"/>
        </w:rPr>
        <w:t>XXXX</w:t>
      </w:r>
      <w:r w:rsidRPr="00CD747B">
        <w:rPr>
          <w:rFonts w:ascii="Palatino Linotype" w:eastAsia="Palatino Linotype" w:hAnsi="Palatino Linotype" w:cs="Palatino Linotype"/>
          <w:i/>
          <w:color w:val="000000" w:themeColor="text1"/>
        </w:rPr>
        <w:t xml:space="preserve">. • ACTA DE DEFUNCIÓN DE MI HERMANO </w:t>
      </w:r>
      <w:r w:rsidR="00E75312">
        <w:rPr>
          <w:rFonts w:ascii="Palatino Linotype" w:eastAsia="Palatino Linotype" w:hAnsi="Palatino Linotype" w:cs="Palatino Linotype"/>
          <w:i/>
          <w:color w:val="000000" w:themeColor="text1"/>
        </w:rPr>
        <w:t>XXXX</w:t>
      </w:r>
      <w:r w:rsidRPr="00CD747B">
        <w:rPr>
          <w:rFonts w:ascii="Palatino Linotype" w:eastAsia="Palatino Linotype" w:hAnsi="Palatino Linotype" w:cs="Palatino Linotype"/>
          <w:i/>
          <w:color w:val="000000" w:themeColor="text1"/>
        </w:rPr>
        <w:t xml:space="preserve">. • REQUISITO DE COBRO DE SEGURO POR FALLECIMIENTO. • HOJA DE CARTA TESTAMENTARIA, DONDE APAREZCO COMO BENEFICIARIA. POR LO ANTERIOR, SOLICITO AL ISSEMYM, QUE SE ME ENTREGUE: COPIA CERTIFICADA DEL AVISO DE MOVIMIENTO DE BAJA, CON FECHA DE 16 DE MARZO DE 2021 DE MI HERMANO </w:t>
      </w:r>
      <w:r w:rsidR="00E75312">
        <w:rPr>
          <w:rFonts w:ascii="Palatino Linotype" w:eastAsia="Palatino Linotype" w:hAnsi="Palatino Linotype" w:cs="Palatino Linotype"/>
          <w:i/>
          <w:color w:val="000000" w:themeColor="text1"/>
        </w:rPr>
        <w:t>XXXX</w:t>
      </w:r>
      <w:r w:rsidRPr="00CD747B">
        <w:rPr>
          <w:rFonts w:ascii="Palatino Linotype" w:eastAsia="Palatino Linotype" w:hAnsi="Palatino Linotype" w:cs="Palatino Linotype"/>
          <w:i/>
          <w:color w:val="000000" w:themeColor="text1"/>
        </w:rPr>
        <w:t>, TODA VEZ QUE REQUIERO DICHA INFORMACIÓN CON LA FINALIDAD DE SOLICITAR EL COBRO DEL SEGURO POR FALLECIMIENTO.” (Sic)</w:t>
      </w:r>
    </w:p>
    <w:p w:rsidR="0035618D" w:rsidRPr="00CD747B" w:rsidRDefault="00E417BD" w:rsidP="001734D3">
      <w:pPr>
        <w:spacing w:line="276" w:lineRule="auto"/>
        <w:jc w:val="both"/>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i/>
          <w:color w:val="000000" w:themeColor="text1"/>
        </w:rPr>
        <w:t xml:space="preserve"> </w:t>
      </w:r>
    </w:p>
    <w:p w:rsidR="0035618D" w:rsidRPr="00CD747B" w:rsidRDefault="00E417BD" w:rsidP="001734D3">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Al momento de interponer el recurso de revisión, la recurrente adjunta dos archivos digitales consistentes en: </w:t>
      </w:r>
    </w:p>
    <w:p w:rsidR="0035618D" w:rsidRPr="00CD747B" w:rsidRDefault="005677FB" w:rsidP="001734D3">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hyperlink r:id="rId11">
        <w:r w:rsidR="00E417BD" w:rsidRPr="00CD747B">
          <w:rPr>
            <w:rFonts w:ascii="Palatino Linotype" w:eastAsia="Palatino Linotype" w:hAnsi="Palatino Linotype" w:cs="Palatino Linotype"/>
            <w:b/>
            <w:color w:val="000000" w:themeColor="text1"/>
            <w:u w:val="single"/>
          </w:rPr>
          <w:t>Requisitos para el Seguro por Fallecimiento _ ISSEMYM.pdf</w:t>
        </w:r>
      </w:hyperlink>
      <w:r w:rsidR="00E417BD" w:rsidRPr="00CD747B">
        <w:rPr>
          <w:rFonts w:ascii="Palatino Linotype" w:eastAsia="Palatino Linotype" w:hAnsi="Palatino Linotype" w:cs="Palatino Linotype"/>
          <w:color w:val="000000" w:themeColor="text1"/>
        </w:rPr>
        <w:t xml:space="preserve">: imagen con los requisitos del seguro por fallecimiento. </w:t>
      </w:r>
    </w:p>
    <w:p w:rsidR="0035618D" w:rsidRPr="00CD747B" w:rsidRDefault="005677FB" w:rsidP="001734D3">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hyperlink r:id="rId12">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.pdf</w:t>
        </w:r>
      </w:hyperlink>
      <w:r w:rsidR="00E417BD" w:rsidRPr="00CD747B">
        <w:rPr>
          <w:rFonts w:ascii="Palatino Linotype" w:eastAsia="Palatino Linotype" w:hAnsi="Palatino Linotype" w:cs="Palatino Linotype"/>
          <w:color w:val="000000" w:themeColor="text1"/>
        </w:rPr>
        <w:t xml:space="preserve">: identificación oficial emitida por el Instituto Nacional Electoral de la Recurrente. </w:t>
      </w:r>
    </w:p>
    <w:p w:rsidR="0035618D" w:rsidRPr="00CD747B" w:rsidRDefault="005677FB" w:rsidP="001734D3">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hyperlink r:id="rId13">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 xml:space="preserve"> (1).pdf</w:t>
        </w:r>
      </w:hyperlink>
      <w:r w:rsidR="00E417BD" w:rsidRPr="00CD747B">
        <w:rPr>
          <w:rFonts w:ascii="Palatino Linotype" w:eastAsia="Palatino Linotype" w:hAnsi="Palatino Linotype" w:cs="Palatino Linotype"/>
          <w:color w:val="000000" w:themeColor="text1"/>
        </w:rPr>
        <w:t xml:space="preserve">: </w:t>
      </w:r>
    </w:p>
    <w:p w:rsidR="0035618D" w:rsidRPr="00CD747B" w:rsidRDefault="00E417BD" w:rsidP="001734D3">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Constancia de Situación Registral del INE.</w:t>
      </w:r>
    </w:p>
    <w:p w:rsidR="0035618D" w:rsidRPr="00CD747B" w:rsidRDefault="00E417BD" w:rsidP="001734D3">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CURPP de la persona fallecida.</w:t>
      </w:r>
    </w:p>
    <w:p w:rsidR="0035618D" w:rsidRPr="00CD747B" w:rsidRDefault="00E417BD" w:rsidP="001734D3">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Carta Testamentaria del ISSEMYM</w:t>
      </w:r>
    </w:p>
    <w:p w:rsidR="0035618D" w:rsidRPr="00CD747B" w:rsidRDefault="00E417BD" w:rsidP="001734D3">
      <w:pPr>
        <w:numPr>
          <w:ilvl w:val="1"/>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Acta de defunción.</w:t>
      </w:r>
    </w:p>
    <w:p w:rsidR="0035618D" w:rsidRPr="00CD747B" w:rsidRDefault="005677FB" w:rsidP="001734D3">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color w:val="000000" w:themeColor="text1"/>
        </w:rPr>
      </w:pPr>
      <w:hyperlink r:id="rId14">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 xml:space="preserve"> ACTA DE NACIMIENTO.pdf</w:t>
        </w:r>
      </w:hyperlink>
      <w:r w:rsidR="00E417BD" w:rsidRPr="00CD747B">
        <w:rPr>
          <w:rFonts w:ascii="Palatino Linotype" w:eastAsia="Palatino Linotype" w:hAnsi="Palatino Linotype" w:cs="Palatino Linotype"/>
          <w:color w:val="000000" w:themeColor="text1"/>
        </w:rPr>
        <w:t xml:space="preserve">: Acta de nacimiento de la persona fallecida. </w:t>
      </w:r>
    </w:p>
    <w:p w:rsidR="004034CF" w:rsidRDefault="005677FB" w:rsidP="004034CF">
      <w:pPr>
        <w:numPr>
          <w:ilvl w:val="0"/>
          <w:numId w:val="3"/>
        </w:numPr>
        <w:pBdr>
          <w:top w:val="nil"/>
          <w:left w:val="nil"/>
          <w:bottom w:val="nil"/>
          <w:right w:val="nil"/>
          <w:between w:val="nil"/>
        </w:pBdr>
        <w:spacing w:after="280" w:line="360" w:lineRule="auto"/>
        <w:ind w:left="0" w:firstLine="0"/>
        <w:rPr>
          <w:rFonts w:ascii="Palatino Linotype" w:eastAsia="Palatino Linotype" w:hAnsi="Palatino Linotype" w:cs="Palatino Linotype"/>
          <w:color w:val="000000" w:themeColor="text1"/>
        </w:rPr>
      </w:pPr>
      <w:hyperlink r:id="rId15">
        <w:r w:rsidR="00E75312">
          <w:rPr>
            <w:rFonts w:ascii="Palatino Linotype" w:eastAsia="Palatino Linotype" w:hAnsi="Palatino Linotype" w:cs="Palatino Linotype"/>
            <w:b/>
            <w:color w:val="000000" w:themeColor="text1"/>
            <w:u w:val="single"/>
          </w:rPr>
          <w:t>XXXX</w:t>
        </w:r>
        <w:r w:rsidR="00E417BD" w:rsidRPr="00CD747B">
          <w:rPr>
            <w:rFonts w:ascii="Palatino Linotype" w:eastAsia="Palatino Linotype" w:hAnsi="Palatino Linotype" w:cs="Palatino Linotype"/>
            <w:b/>
            <w:color w:val="000000" w:themeColor="text1"/>
            <w:u w:val="single"/>
          </w:rPr>
          <w:t>.pdf</w:t>
        </w:r>
      </w:hyperlink>
      <w:r w:rsidR="00E417BD" w:rsidRPr="00CD747B">
        <w:rPr>
          <w:rFonts w:ascii="Palatino Linotype" w:eastAsia="Palatino Linotype" w:hAnsi="Palatino Linotype" w:cs="Palatino Linotype"/>
          <w:color w:val="000000" w:themeColor="text1"/>
        </w:rPr>
        <w:t xml:space="preserve">: Acta de nacimiento de la Recurrente. </w:t>
      </w:r>
    </w:p>
    <w:p w:rsidR="004034CF" w:rsidRPr="004034CF" w:rsidRDefault="004034CF" w:rsidP="004034CF">
      <w:pPr>
        <w:pBdr>
          <w:top w:val="nil"/>
          <w:left w:val="nil"/>
          <w:bottom w:val="nil"/>
          <w:right w:val="nil"/>
          <w:between w:val="nil"/>
        </w:pBdr>
        <w:spacing w:after="280" w:line="360" w:lineRule="auto"/>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 xml:space="preserve">Se registró el recurso de revisión bajo el número de expediente al rubro indicado, asimismo con fundamento en lo dispuesto por los artículos 11 y 127, de la </w:t>
      </w:r>
      <w:r w:rsidRPr="00CD747B">
        <w:rPr>
          <w:rFonts w:ascii="Palatino Linotype" w:eastAsia="Palatino Linotype" w:hAnsi="Palatino Linotype" w:cs="Palatino Linotype"/>
          <w:b/>
          <w:color w:val="000000" w:themeColor="text1"/>
        </w:rPr>
        <w:t xml:space="preserve">Ley de Protección de Datos Personales en Posesión de Sujetos Obligados del Estado de México y Municipios, </w:t>
      </w:r>
      <w:r w:rsidRPr="00CD747B">
        <w:rPr>
          <w:rFonts w:ascii="Palatino Linotype" w:eastAsia="Palatino Linotype" w:hAnsi="Palatino Linotype" w:cs="Palatino Linotype"/>
          <w:color w:val="000000" w:themeColor="text1"/>
        </w:rPr>
        <w:t xml:space="preserve">en relación con el artículo 185, fracción I, de la </w:t>
      </w:r>
      <w:r w:rsidRPr="00CD747B">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CD747B">
        <w:rPr>
          <w:rFonts w:ascii="Palatino Linotype" w:eastAsia="Palatino Linotype" w:hAnsi="Palatino Linotype" w:cs="Palatino Linotype"/>
          <w:color w:val="000000" w:themeColor="text1"/>
        </w:rPr>
        <w:t xml:space="preserve">de aplicación supletoria, se turnó a la </w:t>
      </w:r>
      <w:r w:rsidRPr="00CD747B">
        <w:rPr>
          <w:rFonts w:ascii="Palatino Linotype" w:eastAsia="Palatino Linotype" w:hAnsi="Palatino Linotype" w:cs="Palatino Linotype"/>
          <w:b/>
          <w:color w:val="000000" w:themeColor="text1"/>
        </w:rPr>
        <w:t>Comisionada María del Rosario Mejía Ayala</w:t>
      </w:r>
      <w:r w:rsidR="004034CF">
        <w:rPr>
          <w:rFonts w:ascii="Palatino Linotype" w:eastAsia="Palatino Linotype" w:hAnsi="Palatino Linotype" w:cs="Palatino Linotype"/>
          <w:b/>
          <w:color w:val="000000" w:themeColor="text1"/>
        </w:rPr>
        <w:t>,</w:t>
      </w:r>
      <w:r w:rsidRPr="00CD747B">
        <w:rPr>
          <w:rFonts w:ascii="Palatino Linotype" w:eastAsia="Palatino Linotype" w:hAnsi="Palatino Linotype" w:cs="Palatino Linotype"/>
          <w:b/>
          <w:color w:val="000000" w:themeColor="text1"/>
        </w:rPr>
        <w:t xml:space="preserve"> </w:t>
      </w:r>
      <w:r w:rsidR="004034CF">
        <w:rPr>
          <w:rFonts w:ascii="Palatino Linotype" w:eastAsia="Palatino Linotype" w:hAnsi="Palatino Linotype" w:cs="Palatino Linotype"/>
          <w:color w:val="000000" w:themeColor="text1"/>
        </w:rPr>
        <w:t>para</w:t>
      </w:r>
      <w:r w:rsidRPr="00CD747B">
        <w:rPr>
          <w:rFonts w:ascii="Palatino Linotype" w:eastAsia="Palatino Linotype" w:hAnsi="Palatino Linotype" w:cs="Palatino Linotype"/>
          <w:color w:val="000000" w:themeColor="text1"/>
        </w:rPr>
        <w:t xml:space="preserve"> su análisis.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C</w:t>
      </w:r>
      <w:r w:rsidRPr="00CD747B">
        <w:rPr>
          <w:rFonts w:ascii="Palatino Linotype" w:eastAsia="Palatino Linotype" w:hAnsi="Palatino Linotype" w:cs="Palatino Linotype"/>
          <w:color w:val="000000" w:themeColor="text1"/>
        </w:rPr>
        <w:t xml:space="preserve">on fundamento en los artículos 11, 127 y 131, de la </w:t>
      </w:r>
      <w:r w:rsidRPr="00CD747B">
        <w:rPr>
          <w:rFonts w:ascii="Palatino Linotype" w:eastAsia="Palatino Linotype" w:hAnsi="Palatino Linotype" w:cs="Palatino Linotype"/>
          <w:b/>
          <w:color w:val="000000" w:themeColor="text1"/>
        </w:rPr>
        <w:t>Ley de Protección de Datos Personales en Posesión de Sujetos Obligados del Estado de México y Municipios</w:t>
      </w:r>
      <w:r w:rsidRPr="00CD747B">
        <w:rPr>
          <w:rFonts w:ascii="Palatino Linotype" w:eastAsia="Palatino Linotype" w:hAnsi="Palatino Linotype" w:cs="Palatino Linotype"/>
          <w:color w:val="000000" w:themeColor="text1"/>
        </w:rPr>
        <w:t xml:space="preserve"> y 185, fracciones I, II y IV, de la Ley de Transparencia y Acceso a la Información Pública del Estado de México y Municipios de aplicación supletoria,  a través del </w:t>
      </w:r>
      <w:r w:rsidRPr="00CD747B">
        <w:rPr>
          <w:rFonts w:ascii="Palatino Linotype" w:eastAsia="Palatino Linotype" w:hAnsi="Palatino Linotype" w:cs="Palatino Linotype"/>
          <w:b/>
          <w:color w:val="000000" w:themeColor="text1"/>
        </w:rPr>
        <w:t>acuerdo de admisión</w:t>
      </w:r>
      <w:r w:rsidRPr="00CD747B">
        <w:rPr>
          <w:rFonts w:ascii="Palatino Linotype" w:eastAsia="Palatino Linotype" w:hAnsi="Palatino Linotype" w:cs="Palatino Linotype"/>
          <w:color w:val="000000" w:themeColor="text1"/>
        </w:rPr>
        <w:t xml:space="preserve"> de fecha </w:t>
      </w:r>
      <w:r w:rsidRPr="00CD747B">
        <w:rPr>
          <w:rFonts w:ascii="Palatino Linotype" w:eastAsia="Palatino Linotype" w:hAnsi="Palatino Linotype" w:cs="Palatino Linotype"/>
          <w:b/>
          <w:color w:val="000000" w:themeColor="text1"/>
        </w:rPr>
        <w:t>dieciséis de mayo de dos mil veinticinco</w:t>
      </w:r>
      <w:r w:rsidRPr="00CD747B">
        <w:rPr>
          <w:rFonts w:ascii="Palatino Linotype" w:eastAsia="Palatino Linotype" w:hAnsi="Palatino Linotype" w:cs="Palatino Linotype"/>
          <w:color w:val="000000" w:themeColor="text1"/>
        </w:rPr>
        <w:t xml:space="preserve">, se puso a disposición de las partes el expediente electrónico vía SARCOEM a efecto de que en un plazo máximo de siete días manifestara lo que a su derecho conviniera, ofreciera pruebas y alegatos según corresponda al caso concreto, de esta forma para que el </w:t>
      </w:r>
      <w:r w:rsidRPr="00CD747B">
        <w:rPr>
          <w:rFonts w:ascii="Palatino Linotype" w:eastAsia="Palatino Linotype" w:hAnsi="Palatino Linotype" w:cs="Palatino Linotype"/>
          <w:b/>
          <w:color w:val="000000" w:themeColor="text1"/>
        </w:rPr>
        <w:t xml:space="preserve">SUJETO OBLIGADO </w:t>
      </w:r>
      <w:r w:rsidRPr="00CD747B">
        <w:rPr>
          <w:rFonts w:ascii="Palatino Linotype" w:eastAsia="Palatino Linotype" w:hAnsi="Palatino Linotype" w:cs="Palatino Linotype"/>
          <w:color w:val="000000" w:themeColor="text1"/>
        </w:rPr>
        <w:t>presentará el Informe Justificado procedente.</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El </w:t>
      </w:r>
      <w:r w:rsidRPr="00CD747B">
        <w:rPr>
          <w:rFonts w:ascii="Palatino Linotype" w:eastAsia="Palatino Linotype" w:hAnsi="Palatino Linotype" w:cs="Palatino Linotype"/>
          <w:b/>
          <w:color w:val="000000" w:themeColor="text1"/>
        </w:rPr>
        <w:t xml:space="preserve">dieciséis de mayo de dos mil veinticinco, </w:t>
      </w:r>
      <w:r w:rsidRPr="00CD747B">
        <w:rPr>
          <w:rFonts w:ascii="Palatino Linotype" w:eastAsia="Palatino Linotype" w:hAnsi="Palatino Linotype" w:cs="Palatino Linotype"/>
          <w:color w:val="000000" w:themeColor="text1"/>
        </w:rPr>
        <w:t xml:space="preserve">se apertura  la etapa de conciliación a fin de que las partes pudieran conciliar los motivos que dieron inicio al recurso de revisión.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De lo anterior, tal y como se muestra en el expediente electrónico, las partes aceptaron conciliar, situación por la cual el </w:t>
      </w:r>
      <w:r w:rsidRPr="00CD747B">
        <w:rPr>
          <w:rFonts w:ascii="Palatino Linotype" w:eastAsia="Palatino Linotype" w:hAnsi="Palatino Linotype" w:cs="Palatino Linotype"/>
          <w:b/>
          <w:color w:val="000000" w:themeColor="text1"/>
        </w:rPr>
        <w:t>viernes veintinueve de agosto de dos mil veinticinco a las 09:00 horas tuvo verificativo la audiencia de conciliación vía remota,</w:t>
      </w:r>
      <w:r w:rsidRPr="00CD747B">
        <w:rPr>
          <w:rFonts w:ascii="Palatino Linotype" w:eastAsia="Palatino Linotype" w:hAnsi="Palatino Linotype" w:cs="Palatino Linotype"/>
          <w:color w:val="000000" w:themeColor="text1"/>
        </w:rPr>
        <w:t xml:space="preserve"> a través de la cual, el Sujeto Obligado acordó la entrega de la información en el módulo de transparencia.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 xml:space="preserve">El </w:t>
      </w:r>
      <w:r w:rsidRPr="00CD747B">
        <w:rPr>
          <w:rFonts w:ascii="Palatino Linotype" w:eastAsia="Palatino Linotype" w:hAnsi="Palatino Linotype" w:cs="Palatino Linotype"/>
          <w:b/>
          <w:color w:val="000000" w:themeColor="text1"/>
        </w:rPr>
        <w:t xml:space="preserve">dos de septiembre de dos mil veinticinco, </w:t>
      </w:r>
      <w:r w:rsidRPr="00CD747B">
        <w:rPr>
          <w:rFonts w:ascii="Palatino Linotype" w:eastAsia="Palatino Linotype" w:hAnsi="Palatino Linotype" w:cs="Palatino Linotype"/>
          <w:color w:val="000000" w:themeColor="text1"/>
        </w:rPr>
        <w:t xml:space="preserve">se decretó el cierre de etapa de conciliación y se aperturó la etapa de manifestaciones, la parte Recurrente no realizó manifestaciones, alegatos ni presentó pruebas que a su derecho convinieran. Por su parte, el Sujeto Obligado rindió el Informe Justificado el </w:t>
      </w:r>
      <w:r w:rsidRPr="00CD747B">
        <w:rPr>
          <w:rFonts w:ascii="Palatino Linotype" w:eastAsia="Palatino Linotype" w:hAnsi="Palatino Linotype" w:cs="Palatino Linotype"/>
          <w:b/>
          <w:color w:val="000000" w:themeColor="text1"/>
        </w:rPr>
        <w:t>cuatro de septiembre de dos mil veinticinco</w:t>
      </w:r>
      <w:r w:rsidRPr="00CD747B">
        <w:rPr>
          <w:rFonts w:ascii="Palatino Linotype" w:eastAsia="Palatino Linotype" w:hAnsi="Palatino Linotype" w:cs="Palatino Linotype"/>
          <w:color w:val="000000" w:themeColor="text1"/>
        </w:rPr>
        <w:t xml:space="preserve">, puesto a la vista de Recurrente el </w:t>
      </w:r>
      <w:r w:rsidRPr="00CD747B">
        <w:rPr>
          <w:rFonts w:ascii="Palatino Linotype" w:eastAsia="Palatino Linotype" w:hAnsi="Palatino Linotype" w:cs="Palatino Linotype"/>
          <w:b/>
          <w:color w:val="000000" w:themeColor="text1"/>
        </w:rPr>
        <w:t>ocho de septiembre del mismo año</w:t>
      </w:r>
      <w:r w:rsidRPr="00CD747B">
        <w:rPr>
          <w:rFonts w:ascii="Palatino Linotype" w:eastAsia="Palatino Linotype" w:hAnsi="Palatino Linotype" w:cs="Palatino Linotype"/>
          <w:color w:val="000000" w:themeColor="text1"/>
        </w:rPr>
        <w:t>,  adjuntando el archivo electrónico que se describen a continuación</w:t>
      </w:r>
    </w:p>
    <w:p w:rsidR="0035618D" w:rsidRPr="00CD747B" w:rsidRDefault="00E417BD" w:rsidP="001734D3">
      <w:pPr>
        <w:pBdr>
          <w:top w:val="nil"/>
          <w:left w:val="nil"/>
          <w:bottom w:val="nil"/>
          <w:right w:val="nil"/>
          <w:between w:val="nil"/>
        </w:pBdr>
        <w:jc w:val="both"/>
        <w:rPr>
          <w:rFonts w:ascii="Palatino Linotype" w:eastAsia="Palatino Linotype" w:hAnsi="Palatino Linotype" w:cs="Palatino Linotype"/>
          <w:b/>
          <w:i/>
          <w:color w:val="000000" w:themeColor="text1"/>
        </w:rPr>
      </w:pPr>
      <w:r w:rsidRPr="00CD747B">
        <w:rPr>
          <w:rFonts w:ascii="Palatino Linotype" w:eastAsia="Palatino Linotype" w:hAnsi="Palatino Linotype" w:cs="Palatino Linotype"/>
          <w:b/>
          <w:i/>
          <w:color w:val="000000" w:themeColor="text1"/>
        </w:rPr>
        <w:t>ACUSE DE RECIBIDO RR 435.AD.pdf</w:t>
      </w:r>
    </w:p>
    <w:p w:rsidR="0035618D" w:rsidRPr="00CD747B" w:rsidRDefault="00E417BD" w:rsidP="001734D3">
      <w:pPr>
        <w:pBdr>
          <w:top w:val="nil"/>
          <w:left w:val="nil"/>
          <w:bottom w:val="nil"/>
          <w:right w:val="nil"/>
          <w:between w:val="nil"/>
        </w:pBdr>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Documento de fecha 02 de septiembre de dos mil veinticinco, firmado por la Recurrente, en el que refiere derivado de la audiencia de conciliación, en la que las partes llegaron a un acuerdo, una vez corroborada la personalidad e interés jurídico de la recurrente, se le da acceso a los datos personales solicitados, acusando de recibido a entera satisfacción. Asimismo, se adjuntó la identificación oficial de la Recurrente.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En fecha</w:t>
      </w:r>
      <w:r w:rsidRPr="00CD747B">
        <w:rPr>
          <w:rFonts w:ascii="Palatino Linotype" w:eastAsia="Palatino Linotype" w:hAnsi="Palatino Linotype" w:cs="Palatino Linotype"/>
          <w:b/>
          <w:color w:val="000000" w:themeColor="text1"/>
        </w:rPr>
        <w:t xml:space="preserve"> dos de septiembre de dos mil veinticinco</w:t>
      </w:r>
      <w:r w:rsidRPr="00CD747B">
        <w:rPr>
          <w:rFonts w:ascii="Palatino Linotype" w:eastAsia="Palatino Linotype" w:hAnsi="Palatino Linotype" w:cs="Palatino Linotype"/>
          <w:color w:val="000000" w:themeColor="text1"/>
        </w:rPr>
        <w:t xml:space="preserve">, se notificó el acuerdo a través del cual se aprobó la ampliación de plazo para emitir resolución.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En fecha </w:t>
      </w:r>
      <w:r w:rsidRPr="00CD747B">
        <w:rPr>
          <w:rFonts w:ascii="Palatino Linotype" w:eastAsia="Palatino Linotype" w:hAnsi="Palatino Linotype" w:cs="Palatino Linotype"/>
          <w:b/>
          <w:color w:val="000000" w:themeColor="text1"/>
        </w:rPr>
        <w:t>doce de septiembre de dos mil veinticinco</w:t>
      </w:r>
      <w:r w:rsidRPr="00CD747B">
        <w:rPr>
          <w:rFonts w:ascii="Palatino Linotype" w:eastAsia="Palatino Linotype" w:hAnsi="Palatino Linotype" w:cs="Palatino Linotype"/>
          <w:color w:val="000000" w:themeColor="text1"/>
        </w:rPr>
        <w:t xml:space="preserve">, se decretó el cierre de instrucción del recurso de revisión referido al rubro.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En razón de que fue debidamente sustanciado el expediente electrónico y no existe diligencia pendiente de desahogo, se emite la Resolución que conforme a Derecho proceda, de acuerdo con las siguientes:</w:t>
      </w:r>
      <w:r w:rsidR="00E75312">
        <w:rPr>
          <w:rFonts w:ascii="Palatino Linotype" w:eastAsia="Palatino Linotype" w:hAnsi="Palatino Linotype" w:cs="Palatino Linotype"/>
          <w:color w:val="000000" w:themeColor="text1"/>
        </w:rPr>
        <w:t xml:space="preserve"> ----------------------------------------------------------------------------------</w:t>
      </w:r>
    </w:p>
    <w:p w:rsidR="00E75312" w:rsidRDefault="00E75312" w:rsidP="00E75312">
      <w:pPr>
        <w:pStyle w:val="Prrafodelista"/>
        <w:rPr>
          <w:rFonts w:ascii="Palatino Linotype" w:eastAsia="Palatino Linotype" w:hAnsi="Palatino Linotype" w:cs="Palatino Linotype"/>
          <w:color w:val="000000" w:themeColor="text1"/>
        </w:rPr>
      </w:pPr>
    </w:p>
    <w:p w:rsidR="00E75312" w:rsidRDefault="00E75312" w:rsidP="00E753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5312" w:rsidRDefault="00E75312" w:rsidP="00E753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5312" w:rsidRPr="00CD747B" w:rsidRDefault="00E75312" w:rsidP="00E753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35618D" w:rsidP="001734D3">
      <w:pPr>
        <w:pBdr>
          <w:top w:val="nil"/>
          <w:left w:val="nil"/>
          <w:bottom w:val="nil"/>
          <w:right w:val="nil"/>
          <w:between w:val="nil"/>
        </w:pBdr>
        <w:rPr>
          <w:rFonts w:ascii="Palatino Linotype" w:eastAsia="Palatino Linotype" w:hAnsi="Palatino Linotype" w:cs="Palatino Linotype"/>
          <w:color w:val="000000" w:themeColor="text1"/>
        </w:rPr>
      </w:pPr>
    </w:p>
    <w:p w:rsidR="0035618D" w:rsidRPr="00CD747B" w:rsidRDefault="0035618D" w:rsidP="001734D3">
      <w:pPr>
        <w:pBdr>
          <w:top w:val="nil"/>
          <w:left w:val="nil"/>
          <w:bottom w:val="nil"/>
          <w:right w:val="nil"/>
          <w:between w:val="nil"/>
        </w:pBdr>
        <w:rPr>
          <w:rFonts w:ascii="Palatino Linotype" w:eastAsia="Palatino Linotype" w:hAnsi="Palatino Linotype" w:cs="Palatino Linotype"/>
          <w:color w:val="000000" w:themeColor="text1"/>
        </w:rPr>
      </w:pPr>
    </w:p>
    <w:p w:rsidR="0035618D" w:rsidRPr="00CD747B" w:rsidRDefault="00E417BD" w:rsidP="001734D3">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C O N S I D E R A C I O N E S</w:t>
      </w:r>
    </w:p>
    <w:p w:rsidR="00E75312" w:rsidRDefault="00E75312" w:rsidP="001734D3">
      <w:pPr>
        <w:pStyle w:val="Ttulo2"/>
        <w:spacing w:before="0" w:line="360" w:lineRule="auto"/>
        <w:rPr>
          <w:rFonts w:ascii="Palatino Linotype" w:eastAsia="Palatino Linotype" w:hAnsi="Palatino Linotype" w:cs="Palatino Linotype"/>
          <w:b/>
          <w:color w:val="000000" w:themeColor="text1"/>
          <w:sz w:val="24"/>
          <w:szCs w:val="24"/>
        </w:rPr>
      </w:pPr>
    </w:p>
    <w:p w:rsidR="0035618D" w:rsidRPr="00CD747B" w:rsidRDefault="00E417BD" w:rsidP="001734D3">
      <w:pPr>
        <w:pStyle w:val="Ttulo2"/>
        <w:spacing w:before="0" w:line="360" w:lineRule="auto"/>
        <w:rPr>
          <w:rFonts w:ascii="Palatino Linotype" w:eastAsia="Palatino Linotype" w:hAnsi="Palatino Linotype" w:cs="Palatino Linotype"/>
          <w:b/>
          <w:color w:val="000000" w:themeColor="text1"/>
          <w:sz w:val="24"/>
          <w:szCs w:val="24"/>
        </w:rPr>
      </w:pPr>
      <w:r w:rsidRPr="00CD747B">
        <w:rPr>
          <w:rFonts w:ascii="Palatino Linotype" w:eastAsia="Palatino Linotype" w:hAnsi="Palatino Linotype" w:cs="Palatino Linotype"/>
          <w:b/>
          <w:color w:val="000000" w:themeColor="text1"/>
          <w:sz w:val="24"/>
          <w:szCs w:val="24"/>
        </w:rPr>
        <w:t>PRIMERA. Competencia</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tercero, trigésimo cuarto y trigésimo quinto, fracción IV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9, fracciones I y XXIII y 11 del Reglamento Interior del Instituto de Transparencia, Acceso a la Información Pública y Protección de Datos Personales del Estado de México y Municipios.</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SEGUNDA. Procedencia y oportunidad.</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El Recurso de Revisión fue interpuesto dentro del plazo de quince días hábiles, hábiles contados a partir del día siguiente a la fecha de notificación de la respuesta impugnada, tal y </w:t>
      </w:r>
      <w:r w:rsidRPr="00CD747B">
        <w:rPr>
          <w:rFonts w:ascii="Palatino Linotype" w:eastAsia="Palatino Linotype" w:hAnsi="Palatino Linotype" w:cs="Palatino Linotype"/>
          <w:color w:val="000000" w:themeColor="text1"/>
        </w:rPr>
        <w:lastRenderedPageBreak/>
        <w:t xml:space="preserve">como lo prevé el artículo 128 de la Ley de Protección de Datos Personales en Posesión de Sujetos Obligados del Estado de México y Municipios, que establece: </w:t>
      </w:r>
    </w:p>
    <w:p w:rsidR="0035618D" w:rsidRPr="00CD747B" w:rsidRDefault="00E417BD" w:rsidP="001734D3">
      <w:pPr>
        <w:spacing w:line="276" w:lineRule="auto"/>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w:t>
      </w:r>
      <w:r w:rsidRPr="00CD747B">
        <w:rPr>
          <w:rFonts w:ascii="Palatino Linotype" w:eastAsia="Palatino Linotype" w:hAnsi="Palatino Linotype" w:cs="Palatino Linotype"/>
          <w:b/>
          <w:i/>
          <w:color w:val="000000" w:themeColor="text1"/>
        </w:rPr>
        <w:t>Artículo 128.</w:t>
      </w:r>
      <w:r w:rsidRPr="00CD747B">
        <w:rPr>
          <w:rFonts w:ascii="Palatino Linotype" w:eastAsia="Palatino Linotype" w:hAnsi="Palatino Linotype" w:cs="Palatino Linotype"/>
          <w:i/>
          <w:color w:val="000000" w:themeColor="text1"/>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35618D" w:rsidRPr="00CD747B" w:rsidRDefault="0035618D" w:rsidP="001734D3">
      <w:pPr>
        <w:spacing w:line="276" w:lineRule="auto"/>
        <w:jc w:val="both"/>
        <w:rPr>
          <w:rFonts w:ascii="Palatino Linotype" w:eastAsia="Palatino Linotype" w:hAnsi="Palatino Linotype" w:cs="Palatino Linotype"/>
          <w:i/>
          <w:color w:val="000000" w:themeColor="text1"/>
        </w:rPr>
      </w:pPr>
    </w:p>
    <w:p w:rsidR="0035618D" w:rsidRPr="00CD747B" w:rsidRDefault="00E417BD" w:rsidP="001734D3">
      <w:pPr>
        <w:spacing w:line="276" w:lineRule="auto"/>
        <w:jc w:val="both"/>
        <w:rPr>
          <w:rFonts w:ascii="Palatino Linotype" w:eastAsia="Palatino Linotype" w:hAnsi="Palatino Linotype" w:cs="Palatino Linotype"/>
          <w:i/>
          <w:color w:val="000000" w:themeColor="text1"/>
        </w:rPr>
      </w:pPr>
      <w:r w:rsidRPr="00CD747B">
        <w:rPr>
          <w:rFonts w:ascii="Palatino Linotype" w:eastAsia="Palatino Linotype" w:hAnsi="Palatino Linotype" w:cs="Palatino Linotype"/>
          <w:i/>
          <w:color w:val="000000" w:themeColor="text1"/>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En esa tesitura, atendiendo a que el </w:t>
      </w:r>
      <w:r w:rsidRPr="00CD747B">
        <w:rPr>
          <w:rFonts w:ascii="Palatino Linotype" w:eastAsia="Palatino Linotype" w:hAnsi="Palatino Linotype" w:cs="Palatino Linotype"/>
          <w:b/>
          <w:color w:val="000000" w:themeColor="text1"/>
        </w:rPr>
        <w:t>Sujeto Obligado</w:t>
      </w:r>
      <w:r w:rsidRPr="00CD747B">
        <w:rPr>
          <w:rFonts w:ascii="Palatino Linotype" w:eastAsia="Palatino Linotype" w:hAnsi="Palatino Linotype" w:cs="Palatino Linotype"/>
          <w:color w:val="000000" w:themeColor="text1"/>
        </w:rPr>
        <w:t xml:space="preserve"> notificó la solicitud de aclaración el </w:t>
      </w:r>
      <w:r w:rsidRPr="00CD747B">
        <w:rPr>
          <w:rFonts w:ascii="Palatino Linotype" w:eastAsia="Palatino Linotype" w:hAnsi="Palatino Linotype" w:cs="Palatino Linotype"/>
          <w:b/>
          <w:color w:val="000000" w:themeColor="text1"/>
        </w:rPr>
        <w:t>nueve de abril de dos mil veinticinco</w:t>
      </w:r>
      <w:r w:rsidRPr="00CD747B">
        <w:rPr>
          <w:rFonts w:ascii="Palatino Linotype" w:eastAsia="Palatino Linotype" w:hAnsi="Palatino Linotype" w:cs="Palatino Linotype"/>
          <w:color w:val="000000" w:themeColor="text1"/>
        </w:rPr>
        <w:t xml:space="preserve">, posteriormente notifico la falta de aclaración a la solicitud de información el </w:t>
      </w:r>
      <w:r w:rsidRPr="00CD747B">
        <w:rPr>
          <w:rFonts w:ascii="Palatino Linotype" w:eastAsia="Palatino Linotype" w:hAnsi="Palatino Linotype" w:cs="Palatino Linotype"/>
          <w:b/>
          <w:color w:val="000000" w:themeColor="text1"/>
        </w:rPr>
        <w:t>siete de mayo de dos mil veinticinco</w:t>
      </w:r>
      <w:r w:rsidRPr="00CD747B">
        <w:rPr>
          <w:rFonts w:ascii="Palatino Linotype" w:eastAsia="Palatino Linotype" w:hAnsi="Palatino Linotype" w:cs="Palatino Linotype"/>
          <w:color w:val="000000" w:themeColor="text1"/>
        </w:rPr>
        <w:t>, por lo que  el plazo de quince días hábiles que contempla el artículo 128, de la Ley de Protección de Datos Personales en Posesión de Sujetos Obligados del Estado de México y Municipios, transcurrió del</w:t>
      </w:r>
      <w:r w:rsidRPr="00CD747B">
        <w:rPr>
          <w:rFonts w:ascii="Palatino Linotype" w:eastAsia="Palatino Linotype" w:hAnsi="Palatino Linotype" w:cs="Palatino Linotype"/>
          <w:b/>
          <w:color w:val="000000" w:themeColor="text1"/>
        </w:rPr>
        <w:t xml:space="preserve"> ocho de mayo al veintiocho de mayo de dos mil veinticinco</w:t>
      </w:r>
      <w:r w:rsidRPr="00CD747B">
        <w:rPr>
          <w:rFonts w:ascii="Palatino Linotype" w:eastAsia="Palatino Linotype" w:hAnsi="Palatino Linotype" w:cs="Palatino Linotype"/>
          <w:color w:val="000000" w:themeColor="text1"/>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con base a esta cronología, si el Recurso de Revisión que nos ocupa se interpuso el </w:t>
      </w:r>
      <w:r w:rsidRPr="00CD747B">
        <w:rPr>
          <w:rFonts w:ascii="Palatino Linotype" w:eastAsia="Palatino Linotype" w:hAnsi="Palatino Linotype" w:cs="Palatino Linotype"/>
          <w:b/>
          <w:color w:val="000000" w:themeColor="text1"/>
        </w:rPr>
        <w:t>doce de mayo de dos mil veinticinco</w:t>
      </w:r>
      <w:r w:rsidRPr="00CD747B">
        <w:rPr>
          <w:rFonts w:ascii="Palatino Linotype" w:eastAsia="Palatino Linotype" w:hAnsi="Palatino Linotype" w:cs="Palatino Linotype"/>
          <w:color w:val="000000" w:themeColor="text1"/>
        </w:rPr>
        <w:t xml:space="preserve">, se encuentra dentro de los márgenes temporales previstos en el artículo 128, de la Ley de Protección de Datos Personales en Posesión de Sujetos Obligados del Estado de México y Municipios y, por tanto, su interposición se considera oportuna. </w:t>
      </w:r>
    </w:p>
    <w:p w:rsidR="0035618D"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5312" w:rsidRDefault="00E75312"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E75312" w:rsidRPr="00CD747B" w:rsidRDefault="00E75312"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lastRenderedPageBreak/>
        <w:t>TERCERA</w:t>
      </w:r>
      <w:r w:rsidRPr="00CD747B">
        <w:rPr>
          <w:rFonts w:ascii="Palatino Linotype" w:eastAsia="Palatino Linotype" w:hAnsi="Palatino Linotype" w:cs="Palatino Linotype"/>
          <w:color w:val="000000" w:themeColor="text1"/>
        </w:rPr>
        <w:t xml:space="preserve">. </w:t>
      </w:r>
      <w:r w:rsidRPr="00CD747B">
        <w:rPr>
          <w:rFonts w:ascii="Palatino Linotype" w:eastAsia="Palatino Linotype" w:hAnsi="Palatino Linotype" w:cs="Palatino Linotype"/>
          <w:b/>
          <w:color w:val="000000" w:themeColor="text1"/>
        </w:rPr>
        <w:t>Causales de improcedencia y sobreseimiento.</w:t>
      </w:r>
      <w:r w:rsidRPr="00CD747B">
        <w:rPr>
          <w:rFonts w:ascii="Palatino Linotype" w:eastAsia="Palatino Linotype" w:hAnsi="Palatino Linotype" w:cs="Palatino Linotype"/>
          <w:color w:val="000000" w:themeColor="text1"/>
        </w:rPr>
        <w:t xml:space="preserve"> </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6"/>
        </w:numPr>
        <w:spacing w:line="360" w:lineRule="auto"/>
        <w:ind w:left="0" w:firstLine="0"/>
        <w:jc w:val="both"/>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Causales de improcedencia.</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6"/>
        </w:numPr>
        <w:spacing w:line="276"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Causales de sobreseimiento</w:t>
      </w:r>
      <w:r w:rsidRPr="00CD747B">
        <w:rPr>
          <w:rFonts w:ascii="Palatino Linotype" w:eastAsia="Palatino Linotype" w:hAnsi="Palatino Linotype" w:cs="Palatino Linotype"/>
          <w:color w:val="000000" w:themeColor="text1"/>
        </w:rPr>
        <w:t>.</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I. El recurrente se desista expresamente. </w:t>
      </w: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 xml:space="preserve">II. El recurrente fallezca. </w:t>
      </w: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III. Admitido el recurso de revisión, se actualice alguna causal de improcedencia en los términos de la presente Ley. </w:t>
      </w:r>
    </w:p>
    <w:p w:rsidR="0035618D" w:rsidRPr="00CD747B" w:rsidRDefault="00E417BD" w:rsidP="001734D3">
      <w:pPr>
        <w:spacing w:line="360" w:lineRule="auto"/>
        <w:jc w:val="both"/>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 xml:space="preserve">IV. El responsable modifique o revoque su respuesta de tal manera que el recurso de revisión quede sin materia. </w:t>
      </w: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V. Quede sin materia el recurso de revisión. </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Es de señalar que toda vez que admitido el Recurso de Revisión, se actualiza una causal de sobreseimiento en términos de la Ley, es procedente analizar la causal IV del artículo en cita. </w:t>
      </w:r>
    </w:p>
    <w:p w:rsidR="0035618D" w:rsidRPr="00CD747B" w:rsidRDefault="0035618D" w:rsidP="001734D3">
      <w:pPr>
        <w:spacing w:line="360" w:lineRule="auto"/>
        <w:jc w:val="both"/>
        <w:rPr>
          <w:rFonts w:ascii="Palatino Linotype" w:eastAsia="Palatino Linotype" w:hAnsi="Palatino Linotype" w:cs="Palatino Linotype"/>
          <w:b/>
          <w:color w:val="000000" w:themeColor="text1"/>
        </w:rPr>
      </w:pPr>
    </w:p>
    <w:p w:rsidR="0035618D" w:rsidRPr="00CD747B" w:rsidRDefault="00E417BD" w:rsidP="001734D3">
      <w:pPr>
        <w:spacing w:line="360" w:lineRule="auto"/>
        <w:jc w:val="both"/>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CUARTA. Análisis de las causales de sobreseimiento.</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rsidR="0035618D" w:rsidRPr="00CD747B" w:rsidRDefault="00E417BD" w:rsidP="001734D3">
      <w:pPr>
        <w:tabs>
          <w:tab w:val="left" w:pos="4962"/>
        </w:tabs>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ab/>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En ese sentido, es importante recordar que la información solicitada por la </w:t>
      </w:r>
      <w:r w:rsidRPr="00CD747B">
        <w:rPr>
          <w:rFonts w:ascii="Palatino Linotype" w:eastAsia="Palatino Linotype" w:hAnsi="Palatino Linotype" w:cs="Palatino Linotype"/>
          <w:b/>
          <w:color w:val="000000" w:themeColor="text1"/>
        </w:rPr>
        <w:t xml:space="preserve">RECURRENTE </w:t>
      </w:r>
      <w:r w:rsidRPr="00CD747B">
        <w:rPr>
          <w:rFonts w:ascii="Palatino Linotype" w:eastAsia="Palatino Linotype" w:hAnsi="Palatino Linotype" w:cs="Palatino Linotype"/>
          <w:color w:val="000000" w:themeColor="text1"/>
        </w:rPr>
        <w:t xml:space="preserve">fue la siguiente. </w:t>
      </w:r>
    </w:p>
    <w:p w:rsidR="0035618D" w:rsidRPr="00CD747B" w:rsidRDefault="0035618D" w:rsidP="001734D3">
      <w:pPr>
        <w:pBdr>
          <w:top w:val="nil"/>
          <w:left w:val="nil"/>
          <w:bottom w:val="nil"/>
          <w:right w:val="nil"/>
          <w:between w:val="nil"/>
        </w:pBdr>
        <w:rPr>
          <w:rFonts w:ascii="Palatino Linotype" w:eastAsia="Palatino Linotype" w:hAnsi="Palatino Linotype" w:cs="Palatino Linotype"/>
          <w:color w:val="000000" w:themeColor="text1"/>
        </w:rPr>
      </w:pPr>
    </w:p>
    <w:p w:rsidR="0035618D" w:rsidRPr="00CD747B" w:rsidRDefault="00E417BD" w:rsidP="001734D3">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 xml:space="preserve">Copia certificada del aviso de movimiento de baja con fecha 16 de marzo de 2021, del hermano fallecido de la Recurrente. </w:t>
      </w:r>
    </w:p>
    <w:p w:rsidR="0035618D"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De lo anterior, se debe de indicar que dicha información </w:t>
      </w:r>
      <w:r w:rsidRPr="00CD747B">
        <w:rPr>
          <w:rFonts w:ascii="Palatino Linotype" w:eastAsia="Palatino Linotype" w:hAnsi="Palatino Linotype" w:cs="Palatino Linotype"/>
          <w:b/>
          <w:color w:val="000000" w:themeColor="text1"/>
        </w:rPr>
        <w:t>se solicitó en copia certificada</w:t>
      </w:r>
      <w:r w:rsidRPr="00CD747B">
        <w:rPr>
          <w:rFonts w:ascii="Palatino Linotype" w:eastAsia="Palatino Linotype" w:hAnsi="Palatino Linotype" w:cs="Palatino Linotype"/>
          <w:color w:val="000000" w:themeColor="text1"/>
        </w:rPr>
        <w:t xml:space="preserve"> y que al momento de solicitar la información se adjuntaron documentos que acreditan personalidad e interés jurídico, así como el vínculo filial entre la solicitante y el </w:t>
      </w:r>
      <w:r w:rsidRPr="00CD747B">
        <w:rPr>
          <w:rFonts w:ascii="Palatino Linotype" w:eastAsia="Palatino Linotype" w:hAnsi="Palatino Linotype" w:cs="Palatino Linotype"/>
          <w:color w:val="000000" w:themeColor="text1"/>
        </w:rPr>
        <w:lastRenderedPageBreak/>
        <w:t>servidor público finado, documentales que ya fueron descritas en el párrafo uno de la presente resolución.</w:t>
      </w:r>
    </w:p>
    <w:p w:rsidR="00E75312" w:rsidRPr="00CD747B" w:rsidRDefault="00E75312" w:rsidP="00E753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erivado de la solicitud, el </w:t>
      </w:r>
      <w:r w:rsidRPr="00CD747B">
        <w:rPr>
          <w:rFonts w:ascii="Palatino Linotype" w:eastAsia="Palatino Linotype" w:hAnsi="Palatino Linotype" w:cs="Palatino Linotype"/>
          <w:b/>
          <w:smallCaps/>
          <w:color w:val="000000" w:themeColor="text1"/>
        </w:rPr>
        <w:t>SUJETO OBLIGADO</w:t>
      </w:r>
      <w:r w:rsidRPr="00CD747B">
        <w:rPr>
          <w:rFonts w:ascii="Palatino Linotype" w:eastAsia="Palatino Linotype" w:hAnsi="Palatino Linotype" w:cs="Palatino Linotype"/>
          <w:color w:val="000000" w:themeColor="text1"/>
        </w:rPr>
        <w:t xml:space="preserve"> realizó una solicitud de aclaración a fin de que la </w:t>
      </w:r>
      <w:r w:rsidRPr="00CD747B">
        <w:rPr>
          <w:rFonts w:ascii="Palatino Linotype" w:eastAsia="Palatino Linotype" w:hAnsi="Palatino Linotype" w:cs="Palatino Linotype"/>
          <w:b/>
          <w:color w:val="000000" w:themeColor="text1"/>
        </w:rPr>
        <w:t xml:space="preserve">SOLICITANTE </w:t>
      </w:r>
      <w:r w:rsidRPr="00CD747B">
        <w:rPr>
          <w:rFonts w:ascii="Palatino Linotype" w:eastAsia="Palatino Linotype" w:hAnsi="Palatino Linotype" w:cs="Palatino Linotype"/>
          <w:color w:val="000000" w:themeColor="text1"/>
        </w:rPr>
        <w:t>entregara la documentación que acreditara la representación legal para acceder a los datos personales de la persona finada.</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Por su parte, la </w:t>
      </w:r>
      <w:r w:rsidRPr="00CD747B">
        <w:rPr>
          <w:rFonts w:ascii="Palatino Linotype" w:eastAsia="Palatino Linotype" w:hAnsi="Palatino Linotype" w:cs="Palatino Linotype"/>
          <w:b/>
          <w:color w:val="000000" w:themeColor="text1"/>
        </w:rPr>
        <w:t xml:space="preserve">SOLICITANTE </w:t>
      </w:r>
      <w:r w:rsidRPr="00CD747B">
        <w:rPr>
          <w:rFonts w:ascii="Palatino Linotype" w:eastAsia="Palatino Linotype" w:hAnsi="Palatino Linotype" w:cs="Palatino Linotype"/>
          <w:color w:val="000000" w:themeColor="text1"/>
        </w:rPr>
        <w:t>omitió desahogar la solicitud de aclaración y por ello, el Sujeto Obligado determinó no tenerla por presentada, por no atender el requerimiento realizado.</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De la respuesta emitida por el Sujeto Obligado, el Particular interpuso el presente Recurso de Revisión, en el que manifestó su inconformidad con la respuesta bajo el argumento de haber acreditado un interés legítimo para acceder a los datos personales de la persona finada con la que compartía un vínculo filial.</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Así posterior a la admisión del presente Recurso de Revisión, ambas partes manifestaron expresamente su voluntad para conciliar el presente asunto, por lo que, se realizó un análisis a la solicitud de acceso a datos personales y a los documentos entregados para acceder a ella y se determinaron elementos suficientes para citar a las partes a audiencia de conciliación.</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A la audiencia de conciliación asistieron ambas partes, quienes una vez reconocidas, manifestaron sus posturas y se llegó a una conciliación, en la que el Sujeto Obligado entregaría la información en su módulo de transparencia. </w:t>
      </w: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 xml:space="preserve">Así derivado de la audiencia celebrada con motivo del presente Recurso de Revisión, la Recurrente expresó estar de acuerdo con la misma, por lo que, con posterioridad a la celebración de la audiencia, firmó un documento en el que expresa haber recibido la información, el cual fue remitido posteriormente por el Sujeto Obligado a través del Sistema de Acceso, Rectificación, Cancelación y Oposición de Datos Personales en el Estado de México (SARCOEM), tal y como consta en el archivo electrónico. </w:t>
      </w:r>
    </w:p>
    <w:p w:rsidR="0035618D" w:rsidRPr="00CD747B" w:rsidRDefault="0035618D" w:rsidP="001734D3">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Por lo antes expuesto, se advierte que el Sujeto Obligado dejó sin materia el presente Recurso de Revisión, en virtud de que, durante la celebración de la audiencia de conciliación se acordó realizar la entrega del documento solicitado por la Recurrente en copias certificadas, por lo que el Sujeto Obligado modificó su respuesta inicial, otorgó el acceso a los datos personales del servidor público y dejó sin materia el motivo de inconformidad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u w:val="single"/>
        </w:rPr>
      </w:pPr>
      <w:r w:rsidRPr="00CD747B">
        <w:rPr>
          <w:rFonts w:ascii="Palatino Linotype" w:eastAsia="Palatino Linotype" w:hAnsi="Palatino Linotype" w:cs="Palatino Linotype"/>
          <w:color w:val="000000" w:themeColor="text1"/>
        </w:rPr>
        <w:t>Por consiguiente, este Pleno determina el SOBRESEIMIENTO del presente Recurso de Revisión, toda vez que el Sujeto Obligado, modificó su respuesta a través de la conciliación y entregó la información solicitada, dejándolo sin materia.</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u w:val="single"/>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 xml:space="preserve">Por lo anterior, se tiene por atendida la solicitud de acceso a datos personales y se da por terminado el Recurso de Revisión, pues el motivo de inconformidad ya fue subsanado con la entrega de la información. </w:t>
      </w:r>
    </w:p>
    <w:p w:rsidR="0035618D" w:rsidRPr="00CD747B" w:rsidRDefault="0035618D" w:rsidP="001734D3">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lastRenderedPageBreak/>
        <w:t>La labor del INFOEM, es apoyar a la población para acceder a la información pública y garantizar la protección de sus datos personales.</w:t>
      </w:r>
    </w:p>
    <w:p w:rsidR="00E75312" w:rsidRPr="00CD747B" w:rsidRDefault="00E75312" w:rsidP="00E7531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numPr>
          <w:ilvl w:val="0"/>
          <w:numId w:val="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color w:val="000000" w:themeColor="text1"/>
        </w:rPr>
        <w:t>P</w:t>
      </w:r>
      <w:r w:rsidR="004034CF">
        <w:rPr>
          <w:rFonts w:ascii="Palatino Linotype" w:eastAsia="Palatino Linotype" w:hAnsi="Palatino Linotype" w:cs="Palatino Linotype"/>
          <w:color w:val="000000" w:themeColor="text1"/>
        </w:rPr>
        <w:t>or lo expuesto y fundado, este p</w:t>
      </w:r>
      <w:r w:rsidRPr="00CD747B">
        <w:rPr>
          <w:rFonts w:ascii="Palatino Linotype" w:eastAsia="Palatino Linotype" w:hAnsi="Palatino Linotype" w:cs="Palatino Linotype"/>
          <w:color w:val="000000" w:themeColor="text1"/>
        </w:rPr>
        <w:t>leno:</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spacing w:line="360" w:lineRule="auto"/>
        <w:jc w:val="center"/>
        <w:rPr>
          <w:rFonts w:ascii="Palatino Linotype" w:eastAsia="Palatino Linotype" w:hAnsi="Palatino Linotype" w:cs="Palatino Linotype"/>
          <w:b/>
          <w:color w:val="000000" w:themeColor="text1"/>
        </w:rPr>
      </w:pPr>
      <w:r w:rsidRPr="00CD747B">
        <w:rPr>
          <w:rFonts w:ascii="Palatino Linotype" w:eastAsia="Palatino Linotype" w:hAnsi="Palatino Linotype" w:cs="Palatino Linotype"/>
          <w:b/>
          <w:color w:val="000000" w:themeColor="text1"/>
        </w:rPr>
        <w:t>R E S U E L V E</w:t>
      </w:r>
    </w:p>
    <w:p w:rsidR="0035618D" w:rsidRPr="00CD747B" w:rsidRDefault="0035618D" w:rsidP="001734D3">
      <w:pPr>
        <w:spacing w:line="360" w:lineRule="auto"/>
        <w:jc w:val="center"/>
        <w:rPr>
          <w:rFonts w:ascii="Palatino Linotype" w:eastAsia="Palatino Linotype" w:hAnsi="Palatino Linotype" w:cs="Palatino Linotype"/>
          <w:b/>
          <w:color w:val="000000" w:themeColor="text1"/>
        </w:rPr>
      </w:pPr>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 xml:space="preserve">PRIMERO. </w:t>
      </w:r>
      <w:r w:rsidRPr="00CD747B">
        <w:rPr>
          <w:rFonts w:ascii="Palatino Linotype" w:eastAsia="Palatino Linotype" w:hAnsi="Palatino Linotype" w:cs="Palatino Linotype"/>
          <w:color w:val="000000" w:themeColor="text1"/>
        </w:rPr>
        <w:t xml:space="preserve">Se </w:t>
      </w:r>
      <w:r w:rsidRPr="00CD747B">
        <w:rPr>
          <w:rFonts w:ascii="Palatino Linotype" w:eastAsia="Palatino Linotype" w:hAnsi="Palatino Linotype" w:cs="Palatino Linotype"/>
          <w:b/>
          <w:color w:val="000000" w:themeColor="text1"/>
        </w:rPr>
        <w:t>SOBRESEE</w:t>
      </w:r>
      <w:r w:rsidRPr="00CD747B">
        <w:rPr>
          <w:rFonts w:ascii="Palatino Linotype" w:eastAsia="Palatino Linotype" w:hAnsi="Palatino Linotype" w:cs="Palatino Linotype"/>
          <w:color w:val="000000" w:themeColor="text1"/>
        </w:rPr>
        <w:t xml:space="preserve"> el Recurso de Revisión </w:t>
      </w:r>
      <w:r w:rsidRPr="00CD747B">
        <w:rPr>
          <w:rFonts w:ascii="Palatino Linotype" w:eastAsia="Palatino Linotype" w:hAnsi="Palatino Linotype" w:cs="Palatino Linotype"/>
          <w:b/>
          <w:color w:val="000000" w:themeColor="text1"/>
        </w:rPr>
        <w:t>05358/INFOEM/AD/RR/2025</w:t>
      </w:r>
      <w:r w:rsidRPr="00CD747B">
        <w:rPr>
          <w:rFonts w:ascii="Palatino Linotype" w:eastAsia="Palatino Linotype" w:hAnsi="Palatino Linotype" w:cs="Palatino Linotype"/>
          <w:color w:val="000000" w:themeColor="text1"/>
        </w:rPr>
        <w:t xml:space="preserve">, por que el Sujeto Obligado entregó la información solicitada y dejó sin materia el presente Recurso de Revisión, en términos de los artículos 137, fracción I y 139, fracción IV, de la Ley de Protección de Datos Personales en Posesión de Sujetos Obligados del Estado de México y Municipios, de conformidad con el Considerando </w:t>
      </w:r>
      <w:r w:rsidRPr="00CD747B">
        <w:rPr>
          <w:rFonts w:ascii="Palatino Linotype" w:eastAsia="Palatino Linotype" w:hAnsi="Palatino Linotype" w:cs="Palatino Linotype"/>
          <w:b/>
          <w:color w:val="000000" w:themeColor="text1"/>
        </w:rPr>
        <w:t>CUARTO</w:t>
      </w:r>
      <w:r w:rsidRPr="00CD747B">
        <w:rPr>
          <w:rFonts w:ascii="Palatino Linotype" w:eastAsia="Palatino Linotype" w:hAnsi="Palatino Linotype" w:cs="Palatino Linotype"/>
          <w:color w:val="000000" w:themeColor="text1"/>
        </w:rPr>
        <w:t xml:space="preserve"> de la presente Resolución.</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p>
    <w:p w:rsidR="0035618D" w:rsidRPr="00CD747B" w:rsidRDefault="00E417BD" w:rsidP="001734D3">
      <w:pPr>
        <w:shd w:val="clear" w:color="auto" w:fill="FFFFFF"/>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SEGUNDO.</w:t>
      </w:r>
      <w:r w:rsidRPr="00CD747B">
        <w:rPr>
          <w:rFonts w:ascii="Palatino Linotype" w:eastAsia="Palatino Linotype" w:hAnsi="Palatino Linotype" w:cs="Palatino Linotype"/>
          <w:color w:val="000000" w:themeColor="text1"/>
        </w:rPr>
        <w:t xml:space="preserve"> </w:t>
      </w:r>
      <w:r w:rsidRPr="00CD747B">
        <w:rPr>
          <w:rFonts w:ascii="Palatino Linotype" w:eastAsia="Palatino Linotype" w:hAnsi="Palatino Linotype" w:cs="Palatino Linotype"/>
          <w:b/>
          <w:color w:val="000000" w:themeColor="text1"/>
        </w:rPr>
        <w:t xml:space="preserve">Notifíquese </w:t>
      </w:r>
      <w:r w:rsidRPr="00CD747B">
        <w:rPr>
          <w:rFonts w:ascii="Palatino Linotype" w:eastAsia="Palatino Linotype" w:hAnsi="Palatino Linotype" w:cs="Palatino Linotype"/>
          <w:color w:val="000000" w:themeColor="text1"/>
        </w:rPr>
        <w:t>la presente resolución</w:t>
      </w:r>
      <w:r w:rsidRPr="00CD747B">
        <w:rPr>
          <w:rFonts w:ascii="Palatino Linotype" w:eastAsia="Palatino Linotype" w:hAnsi="Palatino Linotype" w:cs="Palatino Linotype"/>
          <w:b/>
          <w:color w:val="000000" w:themeColor="text1"/>
        </w:rPr>
        <w:t xml:space="preserve"> </w:t>
      </w:r>
      <w:r w:rsidRPr="00CD747B">
        <w:rPr>
          <w:rFonts w:ascii="Palatino Linotype" w:eastAsia="Palatino Linotype" w:hAnsi="Palatino Linotype" w:cs="Palatino Linotype"/>
          <w:color w:val="000000" w:themeColor="text1"/>
        </w:rPr>
        <w:t>al Titular de la Unidad de Transparencia del Sujeto Obligado, vía SARCOEM, para su conocimiento.</w:t>
      </w:r>
    </w:p>
    <w:p w:rsidR="0035618D" w:rsidRPr="00CD747B" w:rsidRDefault="0035618D" w:rsidP="001734D3">
      <w:pPr>
        <w:spacing w:line="360" w:lineRule="auto"/>
        <w:jc w:val="both"/>
        <w:rPr>
          <w:rFonts w:ascii="Palatino Linotype" w:eastAsia="Palatino Linotype" w:hAnsi="Palatino Linotype" w:cs="Palatino Linotype"/>
          <w:color w:val="000000" w:themeColor="text1"/>
        </w:rPr>
      </w:pPr>
      <w:bookmarkStart w:id="4" w:name="_heading=h.qiox3p3brjz3" w:colFirst="0" w:colLast="0"/>
      <w:bookmarkEnd w:id="4"/>
    </w:p>
    <w:p w:rsidR="0035618D" w:rsidRPr="00CD747B" w:rsidRDefault="00E417BD" w:rsidP="001734D3">
      <w:pPr>
        <w:spacing w:line="360" w:lineRule="auto"/>
        <w:jc w:val="both"/>
        <w:rPr>
          <w:rFonts w:ascii="Palatino Linotype" w:eastAsia="Palatino Linotype" w:hAnsi="Palatino Linotype" w:cs="Palatino Linotype"/>
          <w:color w:val="000000" w:themeColor="text1"/>
        </w:rPr>
      </w:pPr>
      <w:r w:rsidRPr="00CD747B">
        <w:rPr>
          <w:rFonts w:ascii="Palatino Linotype" w:eastAsia="Palatino Linotype" w:hAnsi="Palatino Linotype" w:cs="Palatino Linotype"/>
          <w:b/>
          <w:color w:val="000000" w:themeColor="text1"/>
        </w:rPr>
        <w:t>TERCERO.</w:t>
      </w:r>
      <w:r w:rsidRPr="00CD747B">
        <w:rPr>
          <w:rFonts w:ascii="Palatino Linotype" w:eastAsia="Palatino Linotype" w:hAnsi="Palatino Linotype" w:cs="Palatino Linotype"/>
          <w:color w:val="000000" w:themeColor="text1"/>
        </w:rPr>
        <w:t xml:space="preserve"> </w:t>
      </w:r>
      <w:r w:rsidRPr="00CD747B">
        <w:rPr>
          <w:rFonts w:ascii="Palatino Linotype" w:eastAsia="Palatino Linotype" w:hAnsi="Palatino Linotype" w:cs="Palatino Linotype"/>
          <w:b/>
          <w:color w:val="000000" w:themeColor="text1"/>
        </w:rPr>
        <w:t xml:space="preserve">Notifíquese </w:t>
      </w:r>
      <w:r w:rsidRPr="00CD747B">
        <w:rPr>
          <w:rFonts w:ascii="Palatino Linotype" w:eastAsia="Palatino Linotype" w:hAnsi="Palatino Linotype" w:cs="Palatino Linotype"/>
          <w:color w:val="000000" w:themeColor="text1"/>
        </w:rPr>
        <w:t>la presente resolución</w:t>
      </w:r>
      <w:r w:rsidRPr="00CD747B">
        <w:rPr>
          <w:rFonts w:ascii="Palatino Linotype" w:eastAsia="Palatino Linotype" w:hAnsi="Palatino Linotype" w:cs="Palatino Linotype"/>
          <w:b/>
          <w:color w:val="000000" w:themeColor="text1"/>
        </w:rPr>
        <w:t xml:space="preserve"> </w:t>
      </w:r>
      <w:r w:rsidRPr="00CD747B">
        <w:rPr>
          <w:rFonts w:ascii="Palatino Linotype" w:eastAsia="Palatino Linotype" w:hAnsi="Palatino Linotype" w:cs="Palatino Linotype"/>
          <w:color w:val="000000" w:themeColor="text1"/>
        </w:rPr>
        <w:t>al Recurrente, a través de SARCOEM,</w:t>
      </w:r>
      <w:r w:rsidRPr="00CD747B">
        <w:rPr>
          <w:rFonts w:ascii="Palatino Linotype" w:eastAsia="Palatino Linotype" w:hAnsi="Palatino Linotype" w:cs="Palatino Linotype"/>
          <w:b/>
          <w:color w:val="000000" w:themeColor="text1"/>
        </w:rPr>
        <w:t xml:space="preserve"> </w:t>
      </w:r>
      <w:r w:rsidR="00907410" w:rsidRPr="00CD747B">
        <w:rPr>
          <w:rFonts w:ascii="Palatino Linotype" w:eastAsia="Palatino Linotype" w:hAnsi="Palatino Linotype" w:cs="Palatino Linotype"/>
          <w:color w:val="000000" w:themeColor="text1"/>
        </w:rPr>
        <w:t>asimismo</w:t>
      </w:r>
      <w:r w:rsidRPr="00CD747B">
        <w:rPr>
          <w:rFonts w:ascii="Palatino Linotype" w:eastAsia="Palatino Linotype" w:hAnsi="Palatino Linotype" w:cs="Palatino Linotype"/>
          <w:color w:val="000000" w:themeColor="text1"/>
        </w:rPr>
        <w:t>.</w:t>
      </w:r>
    </w:p>
    <w:p w:rsidR="00907410" w:rsidRPr="00CD747B" w:rsidRDefault="00907410" w:rsidP="001734D3">
      <w:pPr>
        <w:spacing w:line="360" w:lineRule="auto"/>
        <w:jc w:val="both"/>
        <w:rPr>
          <w:rFonts w:ascii="Palatino Linotype" w:eastAsia="Palatino Linotype" w:hAnsi="Palatino Linotype" w:cs="Palatino Linotype"/>
          <w:color w:val="000000" w:themeColor="text1"/>
        </w:rPr>
      </w:pPr>
    </w:p>
    <w:p w:rsidR="00907410" w:rsidRPr="00CD747B" w:rsidRDefault="00907410" w:rsidP="00907410">
      <w:pPr>
        <w:spacing w:line="360" w:lineRule="auto"/>
        <w:jc w:val="both"/>
        <w:rPr>
          <w:rFonts w:ascii="Palatino Linotype" w:eastAsia="Palatino Linotype" w:hAnsi="Palatino Linotype" w:cs="Palatino Linotype"/>
          <w:color w:val="000000" w:themeColor="text1"/>
        </w:rPr>
      </w:pPr>
      <w:r w:rsidRPr="00CD747B">
        <w:rPr>
          <w:rFonts w:ascii="Palatino Linotype" w:hAnsi="Palatino Linotype"/>
          <w:b/>
          <w:color w:val="000000" w:themeColor="text1"/>
          <w:lang w:eastAsia="en-US"/>
        </w:rPr>
        <w:t xml:space="preserve">CUARTO. </w:t>
      </w:r>
      <w:r w:rsidRPr="00CD747B">
        <w:rPr>
          <w:rFonts w:ascii="Palatino Linotype" w:hAnsi="Palatino Linotype"/>
          <w:color w:val="000000" w:themeColor="text1"/>
          <w:lang w:eastAsia="en-US"/>
        </w:rPr>
        <w:t>Se hace del conocimiento de la</w:t>
      </w:r>
      <w:r w:rsidRPr="00CD747B">
        <w:rPr>
          <w:rFonts w:ascii="Palatino Linotype" w:hAnsi="Palatino Linotype"/>
          <w:b/>
          <w:color w:val="000000" w:themeColor="text1"/>
          <w:lang w:eastAsia="en-US"/>
        </w:rPr>
        <w:t xml:space="preserve"> RECURRENTE </w:t>
      </w:r>
      <w:r w:rsidRPr="00CD747B">
        <w:rPr>
          <w:rFonts w:ascii="Palatino Linotype" w:hAnsi="Palatino Linotype"/>
          <w:color w:val="000000" w:themeColor="text1"/>
          <w:lang w:eastAsia="en-US"/>
        </w:rPr>
        <w:t xml:space="preserve">que, </w:t>
      </w:r>
      <w:r w:rsidRPr="00CD747B">
        <w:rPr>
          <w:rFonts w:ascii="Palatino Linotype" w:eastAsia="Palatino Linotype" w:hAnsi="Palatino Linotype" w:cs="Palatino Linotype"/>
          <w:color w:val="000000" w:themeColor="text1"/>
        </w:rPr>
        <w:t>en caso de que considere que le causa algún perjuicio la presente, podrá promover el Juicio de Amparo en los términos de las leyes aplicables, de acuerdo a lo estipulado por el artículo 142, de la Ley de Protección de Datos Personales en Posesión de Sujetos Obligados del Estado de México y Municipios.</w:t>
      </w:r>
    </w:p>
    <w:p w:rsidR="00907410" w:rsidRPr="00CD747B" w:rsidRDefault="00907410" w:rsidP="001734D3">
      <w:pPr>
        <w:spacing w:line="360" w:lineRule="auto"/>
        <w:jc w:val="both"/>
        <w:rPr>
          <w:rFonts w:ascii="Palatino Linotype" w:eastAsia="Palatino Linotype" w:hAnsi="Palatino Linotype" w:cs="Palatino Linotype"/>
          <w:color w:val="000000" w:themeColor="text1"/>
        </w:rPr>
      </w:pPr>
    </w:p>
    <w:p w:rsidR="00907410" w:rsidRPr="00444783" w:rsidRDefault="00CD747B" w:rsidP="00907410">
      <w:pPr>
        <w:tabs>
          <w:tab w:val="left" w:pos="5387"/>
        </w:tabs>
        <w:spacing w:line="360" w:lineRule="auto"/>
        <w:ind w:right="49"/>
        <w:jc w:val="both"/>
        <w:rPr>
          <w:rFonts w:ascii="Palatino Linotype" w:eastAsia="Palatino Linotype" w:hAnsi="Palatino Linotype" w:cs="Palatino Linotype"/>
        </w:rPr>
      </w:pPr>
      <w:bookmarkStart w:id="5" w:name="_heading=h.tyjcwt" w:colFirst="0" w:colLast="0"/>
      <w:bookmarkEnd w:id="5"/>
      <w:r w:rsidRPr="00CD747B">
        <w:rPr>
          <w:rFonts w:ascii="Palatino Linotype" w:eastAsia="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w:t>
      </w:r>
      <w:r w:rsidRPr="00CD747B">
        <w:rPr>
          <w:rFonts w:ascii="Palatino Linotype" w:eastAsia="Palatino Linotype" w:hAnsi="Palatino Linotype" w:cs="Palatino Linotype"/>
          <w:color w:val="000000" w:themeColor="text1"/>
        </w:rPr>
        <w:t>CON AUSENCIA JUSTIFICADA</w:t>
      </w:r>
      <w:r w:rsidRPr="00CD747B">
        <w:rPr>
          <w:rFonts w:ascii="Palatino Linotype" w:eastAsia="Palatino Linotype" w:hAnsi="Palatino Linotype" w:cs="Palatino Linotype"/>
        </w:rPr>
        <w:t>, LUIS GUSTAVO PARRA NORIEGA Y GUADALUPE RAMÍREZ PEÑA; EN LA TRIGÉSIMA TERCERA SESIÓN ORDINARIA, CELEBRADA EL DIECIOCHO (18) DE SEPTIEMBRE DE DOS MIL VEINTICINCO, ANTE EL SECRETARIO TÉCNICO DEL PLENO ALEXIS TAPIA RAMÍREZ</w:t>
      </w:r>
      <w:r w:rsidR="00907410" w:rsidRPr="00CD747B">
        <w:rPr>
          <w:rFonts w:ascii="Palatino Linotype" w:eastAsia="Palatino Linotype" w:hAnsi="Palatino Linotype" w:cs="Palatino Linotype"/>
        </w:rPr>
        <w:t>.</w:t>
      </w:r>
    </w:p>
    <w:p w:rsidR="0035618D" w:rsidRPr="001734D3" w:rsidRDefault="0035618D" w:rsidP="001734D3">
      <w:pPr>
        <w:spacing w:line="360" w:lineRule="auto"/>
        <w:jc w:val="both"/>
        <w:rPr>
          <w:rFonts w:ascii="Palatino Linotype" w:eastAsia="Palatino Linotype" w:hAnsi="Palatino Linotype" w:cs="Palatino Linotype"/>
          <w:color w:val="000000" w:themeColor="text1"/>
        </w:rPr>
      </w:pPr>
    </w:p>
    <w:p w:rsidR="0035618D" w:rsidRPr="001734D3" w:rsidRDefault="0035618D" w:rsidP="001734D3">
      <w:pPr>
        <w:spacing w:line="360" w:lineRule="auto"/>
        <w:rPr>
          <w:rFonts w:ascii="Palatino Linotype" w:eastAsia="Palatino Linotype" w:hAnsi="Palatino Linotype" w:cs="Palatino Linotype"/>
          <w:color w:val="000000" w:themeColor="text1"/>
        </w:rPr>
      </w:pPr>
      <w:bookmarkStart w:id="6" w:name="_heading=h.gjdgxs" w:colFirst="0" w:colLast="0"/>
      <w:bookmarkEnd w:id="6"/>
    </w:p>
    <w:p w:rsidR="0035618D" w:rsidRPr="001734D3" w:rsidRDefault="0035618D" w:rsidP="001734D3">
      <w:pPr>
        <w:spacing w:line="360" w:lineRule="auto"/>
        <w:rPr>
          <w:rFonts w:ascii="Palatino Linotype" w:eastAsia="Palatino Linotype" w:hAnsi="Palatino Linotype" w:cs="Palatino Linotype"/>
          <w:color w:val="000000" w:themeColor="text1"/>
        </w:rPr>
      </w:pPr>
    </w:p>
    <w:p w:rsidR="0035618D" w:rsidRPr="001734D3" w:rsidRDefault="0035618D" w:rsidP="001734D3">
      <w:pPr>
        <w:spacing w:line="360" w:lineRule="auto"/>
        <w:rPr>
          <w:rFonts w:ascii="Palatino Linotype" w:eastAsia="Palatino Linotype" w:hAnsi="Palatino Linotype" w:cs="Palatino Linotype"/>
          <w:color w:val="000000" w:themeColor="text1"/>
        </w:rPr>
      </w:pPr>
    </w:p>
    <w:p w:rsidR="0035618D" w:rsidRPr="001734D3" w:rsidRDefault="0035618D" w:rsidP="001734D3">
      <w:pPr>
        <w:spacing w:line="360" w:lineRule="auto"/>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rPr>
          <w:rFonts w:ascii="Palatino Linotype" w:eastAsia="Palatino Linotype" w:hAnsi="Palatino Linotype" w:cs="Palatino Linotype"/>
          <w:color w:val="000000" w:themeColor="text1"/>
        </w:rPr>
      </w:pPr>
    </w:p>
    <w:p w:rsidR="0035618D" w:rsidRPr="001734D3" w:rsidRDefault="0035618D" w:rsidP="001734D3">
      <w:pPr>
        <w:tabs>
          <w:tab w:val="left" w:pos="1842"/>
        </w:tabs>
        <w:rPr>
          <w:rFonts w:ascii="Palatino Linotype" w:eastAsia="Palatino Linotype" w:hAnsi="Palatino Linotype" w:cs="Palatino Linotype"/>
          <w:color w:val="000000" w:themeColor="text1"/>
        </w:rPr>
      </w:pPr>
    </w:p>
    <w:sectPr w:rsidR="0035618D" w:rsidRPr="001734D3" w:rsidSect="004034CF">
      <w:headerReference w:type="default" r:id="rId16"/>
      <w:footerReference w:type="default" r:id="rId17"/>
      <w:headerReference w:type="first" r:id="rId18"/>
      <w:footerReference w:type="first" r:id="rId19"/>
      <w:pgSz w:w="12240" w:h="15840"/>
      <w:pgMar w:top="1418" w:right="758"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FB" w:rsidRDefault="005677FB">
      <w:r>
        <w:separator/>
      </w:r>
    </w:p>
  </w:endnote>
  <w:endnote w:type="continuationSeparator" w:id="0">
    <w:p w:rsidR="005677FB" w:rsidRDefault="00567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8D" w:rsidRDefault="00E417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5312">
      <w:rPr>
        <w:rFonts w:ascii="Palatino Linotype" w:eastAsia="Palatino Linotype" w:hAnsi="Palatino Linotype" w:cs="Palatino Linotype"/>
        <w:b/>
        <w:noProof/>
        <w:color w:val="000000"/>
        <w:sz w:val="20"/>
        <w:szCs w:val="20"/>
      </w:rPr>
      <w:t>2</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5312">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35618D" w:rsidRDefault="0035618D">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8D" w:rsidRDefault="00E417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7531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75312">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p>
  <w:p w:rsidR="0035618D" w:rsidRDefault="0035618D">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FB" w:rsidRDefault="005677FB">
      <w:r>
        <w:separator/>
      </w:r>
    </w:p>
  </w:footnote>
  <w:footnote w:type="continuationSeparator" w:id="0">
    <w:p w:rsidR="005677FB" w:rsidRDefault="00567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8079" w:type="dxa"/>
      <w:tblInd w:w="2127" w:type="dxa"/>
      <w:tblLayout w:type="fixed"/>
      <w:tblLook w:val="0400" w:firstRow="0" w:lastRow="0" w:firstColumn="0" w:lastColumn="0" w:noHBand="0" w:noVBand="1"/>
    </w:tblPr>
    <w:tblGrid>
      <w:gridCol w:w="3260"/>
      <w:gridCol w:w="4819"/>
    </w:tblGrid>
    <w:tr w:rsidR="0035618D" w:rsidTr="004034CF">
      <w:tc>
        <w:tcPr>
          <w:tcW w:w="3260" w:type="dxa"/>
          <w:shd w:val="clear" w:color="auto" w:fill="auto"/>
          <w:vAlign w:val="center"/>
        </w:tcPr>
        <w:p w:rsidR="0035618D" w:rsidRPr="00907410" w:rsidRDefault="004034CF" w:rsidP="00907410">
          <w:pPr>
            <w:jc w:val="right"/>
            <w:rPr>
              <w:rFonts w:ascii="Palatino Linotype" w:eastAsia="Palatino Linotype" w:hAnsi="Palatino Linotype" w:cs="Palatino Linotype"/>
              <w:b/>
              <w:color w:val="000000" w:themeColor="text1"/>
            </w:rPr>
          </w:pPr>
          <w:r>
            <w:rPr>
              <w:rFonts w:ascii="Calibri" w:eastAsia="Calibri" w:hAnsi="Calibri" w:cs="Calibri"/>
              <w:color w:val="000000"/>
            </w:rPr>
            <w:t xml:space="preserve">       </w:t>
          </w:r>
          <w:r w:rsidR="00E417BD" w:rsidRPr="00907410">
            <w:rPr>
              <w:rFonts w:ascii="Palatino Linotype" w:eastAsia="Palatino Linotype" w:hAnsi="Palatino Linotype" w:cs="Palatino Linotype"/>
              <w:b/>
              <w:color w:val="000000" w:themeColor="text1"/>
            </w:rPr>
            <w:t>Recurso de Revisión:</w:t>
          </w:r>
        </w:p>
      </w:tc>
      <w:tc>
        <w:tcPr>
          <w:tcW w:w="4819" w:type="dxa"/>
          <w:shd w:val="clear" w:color="auto" w:fill="auto"/>
          <w:vAlign w:val="center"/>
        </w:tcPr>
        <w:p w:rsidR="0035618D" w:rsidRPr="00907410" w:rsidRDefault="00CD747B" w:rsidP="004034CF">
          <w:pPr>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0</w:t>
          </w:r>
          <w:r w:rsidR="00E417BD" w:rsidRPr="00907410">
            <w:rPr>
              <w:rFonts w:ascii="Palatino Linotype" w:eastAsia="Palatino Linotype" w:hAnsi="Palatino Linotype" w:cs="Palatino Linotype"/>
              <w:color w:val="000000" w:themeColor="text1"/>
            </w:rPr>
            <w:t>53</w:t>
          </w:r>
          <w:r>
            <w:rPr>
              <w:rFonts w:ascii="Palatino Linotype" w:eastAsia="Palatino Linotype" w:hAnsi="Palatino Linotype" w:cs="Palatino Linotype"/>
              <w:color w:val="000000" w:themeColor="text1"/>
            </w:rPr>
            <w:t>58</w:t>
          </w:r>
          <w:r w:rsidR="00E417BD" w:rsidRPr="00907410">
            <w:rPr>
              <w:rFonts w:ascii="Palatino Linotype" w:eastAsia="Palatino Linotype" w:hAnsi="Palatino Linotype" w:cs="Palatino Linotype"/>
              <w:color w:val="000000" w:themeColor="text1"/>
            </w:rPr>
            <w:t>/INFOEM/AD/RR/2024</w:t>
          </w:r>
        </w:p>
      </w:tc>
    </w:tr>
    <w:tr w:rsidR="0035618D" w:rsidTr="004034CF">
      <w:trPr>
        <w:trHeight w:val="228"/>
      </w:trPr>
      <w:tc>
        <w:tcPr>
          <w:tcW w:w="3260" w:type="dxa"/>
          <w:shd w:val="clear" w:color="auto" w:fill="auto"/>
          <w:vAlign w:val="center"/>
        </w:tcPr>
        <w:p w:rsidR="0035618D" w:rsidRDefault="00E417BD" w:rsidP="00907410">
          <w:pPr>
            <w:jc w:val="right"/>
            <w:rPr>
              <w:rFonts w:ascii="Palatino Linotype" w:eastAsia="Palatino Linotype" w:hAnsi="Palatino Linotype" w:cs="Palatino Linotype"/>
              <w:b/>
              <w:color w:val="000000" w:themeColor="text1"/>
            </w:rPr>
          </w:pPr>
          <w:r w:rsidRPr="00907410">
            <w:rPr>
              <w:rFonts w:ascii="Palatino Linotype" w:eastAsia="Palatino Linotype" w:hAnsi="Palatino Linotype" w:cs="Palatino Linotype"/>
              <w:b/>
              <w:color w:val="000000" w:themeColor="text1"/>
            </w:rPr>
            <w:t>Sujeto obligado:</w:t>
          </w:r>
        </w:p>
        <w:p w:rsidR="00907410" w:rsidRPr="00907410" w:rsidRDefault="00907410" w:rsidP="00907410">
          <w:pPr>
            <w:jc w:val="right"/>
            <w:rPr>
              <w:rFonts w:ascii="Palatino Linotype" w:eastAsia="Palatino Linotype" w:hAnsi="Palatino Linotype" w:cs="Palatino Linotype"/>
              <w:b/>
              <w:color w:val="000000" w:themeColor="text1"/>
            </w:rPr>
          </w:pPr>
        </w:p>
      </w:tc>
      <w:tc>
        <w:tcPr>
          <w:tcW w:w="4819" w:type="dxa"/>
          <w:shd w:val="clear" w:color="auto" w:fill="auto"/>
          <w:vAlign w:val="center"/>
        </w:tcPr>
        <w:p w:rsidR="0035618D" w:rsidRPr="00907410" w:rsidRDefault="00E417BD" w:rsidP="004034CF">
          <w:pPr>
            <w:rPr>
              <w:rFonts w:ascii="Palatino Linotype" w:eastAsia="Palatino Linotype" w:hAnsi="Palatino Linotype" w:cs="Palatino Linotype"/>
              <w:color w:val="000000" w:themeColor="text1"/>
            </w:rPr>
          </w:pPr>
          <w:r w:rsidRPr="00907410">
            <w:rPr>
              <w:rFonts w:ascii="Palatino Linotype" w:eastAsia="Palatino Linotype" w:hAnsi="Palatino Linotype" w:cs="Palatino Linotype"/>
              <w:color w:val="000000" w:themeColor="text1"/>
            </w:rPr>
            <w:t>Instituto de Seguridad Social del Estado de México y Municipios</w:t>
          </w:r>
        </w:p>
      </w:tc>
    </w:tr>
    <w:tr w:rsidR="0035618D" w:rsidTr="004034CF">
      <w:tc>
        <w:tcPr>
          <w:tcW w:w="3260" w:type="dxa"/>
          <w:shd w:val="clear" w:color="auto" w:fill="auto"/>
          <w:vAlign w:val="center"/>
        </w:tcPr>
        <w:p w:rsidR="0035618D" w:rsidRPr="00907410" w:rsidRDefault="00E417BD" w:rsidP="00907410">
          <w:pPr>
            <w:jc w:val="right"/>
            <w:rPr>
              <w:rFonts w:ascii="Palatino Linotype" w:eastAsia="Palatino Linotype" w:hAnsi="Palatino Linotype" w:cs="Palatino Linotype"/>
              <w:b/>
              <w:color w:val="000000" w:themeColor="text1"/>
            </w:rPr>
          </w:pPr>
          <w:r w:rsidRPr="00907410">
            <w:rPr>
              <w:rFonts w:ascii="Palatino Linotype" w:eastAsia="Palatino Linotype" w:hAnsi="Palatino Linotype" w:cs="Palatino Linotype"/>
              <w:b/>
              <w:color w:val="000000" w:themeColor="text1"/>
            </w:rPr>
            <w:t>Comisionada Ponente:</w:t>
          </w:r>
        </w:p>
      </w:tc>
      <w:tc>
        <w:tcPr>
          <w:tcW w:w="4819" w:type="dxa"/>
          <w:shd w:val="clear" w:color="auto" w:fill="auto"/>
          <w:vAlign w:val="center"/>
        </w:tcPr>
        <w:p w:rsidR="0035618D" w:rsidRPr="00907410" w:rsidRDefault="00E417BD" w:rsidP="004034CF">
          <w:pPr>
            <w:ind w:right="-533"/>
            <w:rPr>
              <w:rFonts w:ascii="Palatino Linotype" w:eastAsia="Palatino Linotype" w:hAnsi="Palatino Linotype" w:cs="Palatino Linotype"/>
              <w:color w:val="000000" w:themeColor="text1"/>
            </w:rPr>
          </w:pPr>
          <w:r w:rsidRPr="00907410">
            <w:rPr>
              <w:rFonts w:ascii="Palatino Linotype" w:eastAsia="Palatino Linotype" w:hAnsi="Palatino Linotype" w:cs="Palatino Linotype"/>
              <w:color w:val="000000" w:themeColor="text1"/>
            </w:rPr>
            <w:t>María del Rosario Mejía Ayala</w:t>
          </w:r>
        </w:p>
      </w:tc>
    </w:tr>
  </w:tbl>
  <w:p w:rsidR="0035618D" w:rsidRDefault="004034CF">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noProof/>
        <w:color w:val="000000"/>
      </w:rPr>
      <w:drawing>
        <wp:anchor distT="0" distB="0" distL="0" distR="0" simplePos="0" relativeHeight="251657216" behindDoc="1" locked="0" layoutInCell="1" hidden="0" allowOverlap="1">
          <wp:simplePos x="0" y="0"/>
          <wp:positionH relativeFrom="margin">
            <wp:posOffset>-700573</wp:posOffset>
          </wp:positionH>
          <wp:positionV relativeFrom="page">
            <wp:posOffset>198407</wp:posOffset>
          </wp:positionV>
          <wp:extent cx="7323827" cy="8919713"/>
          <wp:effectExtent l="0" t="0" r="0" b="0"/>
          <wp:wrapNone/>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334906" cy="8933206"/>
                  </a:xfrm>
                  <a:prstGeom prst="rect">
                    <a:avLst/>
                  </a:prstGeom>
                  <a:ln/>
                </pic:spPr>
              </pic:pic>
            </a:graphicData>
          </a:graphic>
          <wp14:sizeRelH relativeFrom="margin">
            <wp14:pctWidth>0</wp14:pctWidth>
          </wp14:sizeRelH>
          <wp14:sizeRelV relativeFrom="margin">
            <wp14:pctHeight>0</wp14:pctHeight>
          </wp14:sizeRelV>
        </wp:anchor>
      </w:drawing>
    </w:r>
    <w:r w:rsidR="00E417BD">
      <w:rPr>
        <w:rFonts w:ascii="Calibri" w:eastAsia="Calibri" w:hAnsi="Calibri" w:cs="Calibri"/>
        <w:color w:val="000000"/>
      </w:rPr>
      <w:t xml:space="preserve">                                                 </w:t>
    </w:r>
    <w:r w:rsidR="00E417BD">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938" w:type="dxa"/>
      <w:tblInd w:w="2410" w:type="dxa"/>
      <w:tblLayout w:type="fixed"/>
      <w:tblLook w:val="0400" w:firstRow="0" w:lastRow="0" w:firstColumn="0" w:lastColumn="0" w:noHBand="0" w:noVBand="1"/>
    </w:tblPr>
    <w:tblGrid>
      <w:gridCol w:w="2835"/>
      <w:gridCol w:w="5103"/>
    </w:tblGrid>
    <w:tr w:rsidR="0035618D" w:rsidTr="004034CF">
      <w:tc>
        <w:tcPr>
          <w:tcW w:w="2835" w:type="dxa"/>
          <w:shd w:val="clear" w:color="auto" w:fill="auto"/>
          <w:vAlign w:val="center"/>
        </w:tcPr>
        <w:p w:rsidR="0035618D" w:rsidRPr="004034CF" w:rsidRDefault="00E417BD" w:rsidP="004034CF">
          <w:pPr>
            <w:jc w:val="right"/>
            <w:rPr>
              <w:rFonts w:ascii="Palatino Linotype" w:eastAsia="Palatino Linotype" w:hAnsi="Palatino Linotype" w:cs="Palatino Linotype"/>
              <w:b/>
              <w:szCs w:val="22"/>
            </w:rPr>
          </w:pPr>
          <w:r w:rsidRPr="004034CF">
            <w:rPr>
              <w:rFonts w:ascii="Palatino Linotype" w:eastAsia="Palatino Linotype" w:hAnsi="Palatino Linotype" w:cs="Palatino Linotype"/>
              <w:b/>
              <w:szCs w:val="22"/>
            </w:rPr>
            <w:t>Recurso de Revisión:</w:t>
          </w:r>
        </w:p>
      </w:tc>
      <w:tc>
        <w:tcPr>
          <w:tcW w:w="5103" w:type="dxa"/>
          <w:shd w:val="clear" w:color="auto" w:fill="auto"/>
          <w:vAlign w:val="center"/>
        </w:tcPr>
        <w:p w:rsidR="0035618D" w:rsidRPr="004034CF" w:rsidRDefault="00CD747B" w:rsidP="004034CF">
          <w:pPr>
            <w:rPr>
              <w:rFonts w:ascii="Palatino Linotype" w:eastAsia="Palatino Linotype" w:hAnsi="Palatino Linotype" w:cs="Palatino Linotype"/>
              <w:szCs w:val="22"/>
            </w:rPr>
          </w:pPr>
          <w:r w:rsidRPr="004034CF">
            <w:rPr>
              <w:rFonts w:ascii="Palatino Linotype" w:eastAsia="Palatino Linotype" w:hAnsi="Palatino Linotype" w:cs="Palatino Linotype"/>
              <w:szCs w:val="22"/>
            </w:rPr>
            <w:t>05358</w:t>
          </w:r>
          <w:r w:rsidR="00E417BD" w:rsidRPr="004034CF">
            <w:rPr>
              <w:rFonts w:ascii="Palatino Linotype" w:eastAsia="Palatino Linotype" w:hAnsi="Palatino Linotype" w:cs="Palatino Linotype"/>
              <w:szCs w:val="22"/>
            </w:rPr>
            <w:t>/INFOEM/AD/RR/2024</w:t>
          </w:r>
        </w:p>
      </w:tc>
    </w:tr>
    <w:tr w:rsidR="0035618D" w:rsidTr="004034CF">
      <w:tc>
        <w:tcPr>
          <w:tcW w:w="2835" w:type="dxa"/>
          <w:shd w:val="clear" w:color="auto" w:fill="auto"/>
          <w:vAlign w:val="center"/>
        </w:tcPr>
        <w:p w:rsidR="0035618D" w:rsidRPr="004034CF" w:rsidRDefault="00E417BD" w:rsidP="004034CF">
          <w:pPr>
            <w:jc w:val="right"/>
            <w:rPr>
              <w:rFonts w:ascii="Palatino Linotype" w:eastAsia="Palatino Linotype" w:hAnsi="Palatino Linotype" w:cs="Palatino Linotype"/>
              <w:b/>
              <w:szCs w:val="22"/>
            </w:rPr>
          </w:pPr>
          <w:r w:rsidRPr="004034CF">
            <w:rPr>
              <w:rFonts w:ascii="Palatino Linotype" w:eastAsia="Palatino Linotype" w:hAnsi="Palatino Linotype" w:cs="Palatino Linotype"/>
              <w:b/>
              <w:szCs w:val="22"/>
            </w:rPr>
            <w:t>Recurrente:</w:t>
          </w:r>
        </w:p>
      </w:tc>
      <w:tc>
        <w:tcPr>
          <w:tcW w:w="5103" w:type="dxa"/>
          <w:shd w:val="clear" w:color="auto" w:fill="auto"/>
          <w:vAlign w:val="center"/>
        </w:tcPr>
        <w:p w:rsidR="0035618D" w:rsidRPr="004034CF" w:rsidRDefault="00E75312" w:rsidP="004034CF">
          <w:pPr>
            <w:rPr>
              <w:rFonts w:ascii="Palatino Linotype" w:eastAsia="Palatino Linotype" w:hAnsi="Palatino Linotype" w:cs="Palatino Linotype"/>
              <w:szCs w:val="22"/>
            </w:rPr>
          </w:pPr>
          <w:r>
            <w:rPr>
              <w:rFonts w:ascii="Palatino Linotype" w:eastAsia="Palatino Linotype" w:hAnsi="Palatino Linotype" w:cs="Palatino Linotype"/>
              <w:b/>
              <w:color w:val="000000" w:themeColor="text1"/>
            </w:rPr>
            <w:t>XXXX</w:t>
          </w:r>
        </w:p>
      </w:tc>
    </w:tr>
    <w:tr w:rsidR="0035618D" w:rsidTr="004034CF">
      <w:trPr>
        <w:trHeight w:val="228"/>
      </w:trPr>
      <w:tc>
        <w:tcPr>
          <w:tcW w:w="2835" w:type="dxa"/>
          <w:shd w:val="clear" w:color="auto" w:fill="auto"/>
          <w:vAlign w:val="center"/>
        </w:tcPr>
        <w:p w:rsidR="0035618D" w:rsidRPr="004034CF" w:rsidRDefault="00E417BD" w:rsidP="004034CF">
          <w:pPr>
            <w:jc w:val="right"/>
            <w:rPr>
              <w:rFonts w:ascii="Palatino Linotype" w:eastAsia="Palatino Linotype" w:hAnsi="Palatino Linotype" w:cs="Palatino Linotype"/>
              <w:b/>
              <w:szCs w:val="22"/>
            </w:rPr>
          </w:pPr>
          <w:r w:rsidRPr="004034CF">
            <w:rPr>
              <w:rFonts w:ascii="Palatino Linotype" w:eastAsia="Palatino Linotype" w:hAnsi="Palatino Linotype" w:cs="Palatino Linotype"/>
              <w:b/>
              <w:szCs w:val="22"/>
            </w:rPr>
            <w:t>Sujeto Obligado:</w:t>
          </w:r>
        </w:p>
      </w:tc>
      <w:tc>
        <w:tcPr>
          <w:tcW w:w="5103" w:type="dxa"/>
          <w:shd w:val="clear" w:color="auto" w:fill="auto"/>
          <w:vAlign w:val="center"/>
        </w:tcPr>
        <w:p w:rsidR="0035618D" w:rsidRPr="004034CF" w:rsidRDefault="00E417BD" w:rsidP="004034CF">
          <w:pPr>
            <w:ind w:right="26"/>
            <w:rPr>
              <w:rFonts w:ascii="Palatino Linotype" w:eastAsia="Palatino Linotype" w:hAnsi="Palatino Linotype" w:cs="Palatino Linotype"/>
              <w:szCs w:val="22"/>
            </w:rPr>
          </w:pPr>
          <w:r w:rsidRPr="004034CF">
            <w:rPr>
              <w:rFonts w:ascii="Palatino Linotype" w:eastAsia="Palatino Linotype" w:hAnsi="Palatino Linotype" w:cs="Palatino Linotype"/>
              <w:szCs w:val="22"/>
            </w:rPr>
            <w:t>Instituto de Seguridad Social del Estado de México y Municipios</w:t>
          </w:r>
        </w:p>
      </w:tc>
    </w:tr>
    <w:tr w:rsidR="0035618D" w:rsidTr="004034CF">
      <w:tc>
        <w:tcPr>
          <w:tcW w:w="2835" w:type="dxa"/>
          <w:shd w:val="clear" w:color="auto" w:fill="auto"/>
          <w:vAlign w:val="center"/>
        </w:tcPr>
        <w:p w:rsidR="0035618D" w:rsidRPr="004034CF" w:rsidRDefault="00E417BD" w:rsidP="004034CF">
          <w:pPr>
            <w:jc w:val="right"/>
            <w:rPr>
              <w:rFonts w:ascii="Palatino Linotype" w:eastAsia="Palatino Linotype" w:hAnsi="Palatino Linotype" w:cs="Palatino Linotype"/>
              <w:b/>
              <w:szCs w:val="22"/>
            </w:rPr>
          </w:pPr>
          <w:r w:rsidRPr="004034CF">
            <w:rPr>
              <w:rFonts w:ascii="Palatino Linotype" w:eastAsia="Palatino Linotype" w:hAnsi="Palatino Linotype" w:cs="Palatino Linotype"/>
              <w:b/>
              <w:szCs w:val="22"/>
            </w:rPr>
            <w:t>Comisionada Ponente:</w:t>
          </w:r>
        </w:p>
      </w:tc>
      <w:tc>
        <w:tcPr>
          <w:tcW w:w="5103" w:type="dxa"/>
          <w:shd w:val="clear" w:color="auto" w:fill="auto"/>
          <w:vAlign w:val="center"/>
        </w:tcPr>
        <w:p w:rsidR="0035618D" w:rsidRPr="004034CF" w:rsidRDefault="00E417BD">
          <w:pPr>
            <w:ind w:right="-533"/>
            <w:rPr>
              <w:rFonts w:ascii="Palatino Linotype" w:eastAsia="Palatino Linotype" w:hAnsi="Palatino Linotype" w:cs="Palatino Linotype"/>
              <w:szCs w:val="22"/>
            </w:rPr>
          </w:pPr>
          <w:r w:rsidRPr="004034CF">
            <w:rPr>
              <w:rFonts w:ascii="Palatino Linotype" w:eastAsia="Palatino Linotype" w:hAnsi="Palatino Linotype" w:cs="Palatino Linotype"/>
              <w:szCs w:val="22"/>
            </w:rPr>
            <w:t>María del Rosario Mejía Ayala</w:t>
          </w:r>
        </w:p>
      </w:tc>
    </w:tr>
  </w:tbl>
  <w:p w:rsidR="0035618D" w:rsidRDefault="005677FB">
    <w:pPr>
      <w:pBdr>
        <w:top w:val="nil"/>
        <w:left w:val="nil"/>
        <w:bottom w:val="nil"/>
        <w:right w:val="nil"/>
        <w:between w:val="nil"/>
      </w:pBdr>
      <w:tabs>
        <w:tab w:val="center" w:pos="4252"/>
        <w:tab w:val="right" w:pos="8504"/>
      </w:tabs>
      <w:rPr>
        <w:rFonts w:ascii="Calibri" w:eastAsia="Calibri" w:hAnsi="Calibri" w:cs="Calibri"/>
        <w:color w:val="000000"/>
      </w:rPr>
    </w:pPr>
    <w:r>
      <w:rPr>
        <w:rFonts w:ascii="Palatino Linotype" w:eastAsia="Palatino Linotype" w:hAnsi="Palatino Linotype" w:cs="Palatino Linotype"/>
        <w:b/>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75.9pt;margin-top:-139.15pt;width:663.5pt;height:12in;z-index:-251658240;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F2AA1"/>
    <w:multiLevelType w:val="multilevel"/>
    <w:tmpl w:val="1EB2E544"/>
    <w:lvl w:ilvl="0">
      <w:start w:val="1"/>
      <w:numFmt w:val="bullet"/>
      <w:lvlText w:val="●"/>
      <w:lvlJc w:val="left"/>
      <w:pPr>
        <w:ind w:left="720" w:hanging="360"/>
      </w:pPr>
      <w:rPr>
        <w:rFonts w:ascii="Noto Sans Symbols" w:eastAsia="Noto Sans Symbols" w:hAnsi="Noto Sans Symbols" w:cs="Noto Sans Symbols"/>
        <w:sz w:val="20"/>
        <w:szCs w:val="20"/>
      </w:rPr>
    </w:lvl>
    <w:lvl w:ilvl="1">
      <w:start w:val="7"/>
      <w:numFmt w:val="bullet"/>
      <w:lvlText w:val="-"/>
      <w:lvlJc w:val="left"/>
      <w:pPr>
        <w:ind w:left="1440" w:hanging="360"/>
      </w:pPr>
      <w:rPr>
        <w:rFonts w:ascii="Palatino Linotype" w:eastAsia="Palatino Linotype" w:hAnsi="Palatino Linotype" w:cs="Palatino Linotype"/>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E614DFC"/>
    <w:multiLevelType w:val="hybridMultilevel"/>
    <w:tmpl w:val="4176B47A"/>
    <w:lvl w:ilvl="0" w:tplc="6570D884">
      <w:numFmt w:val="bullet"/>
      <w:lvlText w:val=""/>
      <w:lvlJc w:val="left"/>
      <w:pPr>
        <w:ind w:left="72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FC17A6"/>
    <w:multiLevelType w:val="multilevel"/>
    <w:tmpl w:val="F13C1E22"/>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60B0C71"/>
    <w:multiLevelType w:val="multilevel"/>
    <w:tmpl w:val="0812F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1C020B"/>
    <w:multiLevelType w:val="multilevel"/>
    <w:tmpl w:val="0A4C7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6E273B"/>
    <w:multiLevelType w:val="multilevel"/>
    <w:tmpl w:val="7B2A9E68"/>
    <w:lvl w:ilvl="0">
      <w:start w:val="1"/>
      <w:numFmt w:val="decimal"/>
      <w:lvlText w:val="%1."/>
      <w:lvlJc w:val="left"/>
      <w:pPr>
        <w:ind w:left="2912"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B1960B0"/>
    <w:multiLevelType w:val="multilevel"/>
    <w:tmpl w:val="2062CB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6"/>
  </w:num>
  <w:num w:numId="2">
    <w:abstractNumId w:val="0"/>
  </w:num>
  <w:num w:numId="3">
    <w:abstractNumId w:val="2"/>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8D"/>
    <w:rsid w:val="001734D3"/>
    <w:rsid w:val="0035618D"/>
    <w:rsid w:val="004034CF"/>
    <w:rsid w:val="005677FB"/>
    <w:rsid w:val="00885155"/>
    <w:rsid w:val="008F0931"/>
    <w:rsid w:val="00907410"/>
    <w:rsid w:val="00CD747B"/>
    <w:rsid w:val="00E00E8F"/>
    <w:rsid w:val="00E417BD"/>
    <w:rsid w:val="00E75312"/>
    <w:rsid w:val="00F83E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C5BAE2A-8435-4BE8-ADB8-C1A62B5C6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uiPriority w:val="9"/>
    <w:rsid w:val="001053B7"/>
    <w:rPr>
      <w:rFonts w:asciiTheme="majorHAnsi" w:eastAsiaTheme="majorEastAsia" w:hAnsiTheme="majorHAnsi" w:cstheme="majorBidi"/>
      <w:color w:val="2E74B5" w:themeColor="accent1" w:themeShade="BF"/>
      <w:sz w:val="26"/>
      <w:szCs w:val="2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53B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53B7"/>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1053B7"/>
    <w:pPr>
      <w:tabs>
        <w:tab w:val="center" w:pos="4419"/>
        <w:tab w:val="right" w:pos="8838"/>
      </w:tabs>
    </w:pPr>
  </w:style>
  <w:style w:type="character" w:customStyle="1" w:styleId="EncabezadoCar">
    <w:name w:val="Encabezado Car"/>
    <w:basedOn w:val="Fuentedeprrafopredeter"/>
    <w:link w:val="Encabezado"/>
    <w:uiPriority w:val="99"/>
    <w:rsid w:val="001053B7"/>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1053B7"/>
    <w:pPr>
      <w:tabs>
        <w:tab w:val="center" w:pos="4419"/>
        <w:tab w:val="right" w:pos="8838"/>
      </w:tabs>
    </w:pPr>
  </w:style>
  <w:style w:type="character" w:customStyle="1" w:styleId="PiedepginaCar">
    <w:name w:val="Pie de página Car"/>
    <w:basedOn w:val="Fuentedeprrafopredeter"/>
    <w:link w:val="Piedepgina"/>
    <w:uiPriority w:val="99"/>
    <w:rsid w:val="001053B7"/>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A91BEE"/>
    <w:rPr>
      <w:color w:val="0563C1" w:themeColor="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rcoem.org.mx/sarcoem/solicitud/descarga/2401135/004352025014114932003/666598.page" TargetMode="External"/><Relationship Id="rId13" Type="http://schemas.openxmlformats.org/officeDocument/2006/relationships/hyperlink" Target="https://sarcoem.org.mx/sarcoem/solicitud/descarga/2435877/004352025014114932003/666598.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arcoem.org.mx/sarcoem/solicitud/descarga/2435876/004352025014114932003/666598.p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rcoem.org.mx/sarcoem/solicitud/descarga/2435875/004352025014114932003/666598.page" TargetMode="External"/><Relationship Id="rId5" Type="http://schemas.openxmlformats.org/officeDocument/2006/relationships/webSettings" Target="webSettings.xml"/><Relationship Id="rId15" Type="http://schemas.openxmlformats.org/officeDocument/2006/relationships/hyperlink" Target="https://sarcoem.org.mx/sarcoem/solicitud/descarga/2435879/004352025014114932003/666598.page" TargetMode="External"/><Relationship Id="rId10" Type="http://schemas.openxmlformats.org/officeDocument/2006/relationships/hyperlink" Target="https://sarcoem.org.mx/sarcoem/solicitud/downloadAttach/2409933.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rcoem.org.mx/sarcoem/solicitud/descarga/2401136/004352025014114932003/666598.page" TargetMode="External"/><Relationship Id="rId14" Type="http://schemas.openxmlformats.org/officeDocument/2006/relationships/hyperlink" Target="https://sarcoem.org.mx/sarcoem/solicitud/descarga/2435878/004352025014114932003/666598.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uyCSc4dwIlZYlk0uzUmBLUJLw==">CgMxLjAyCWguMXQzaDVzZjIJaC4zem55c2g3MgloLjJldDkycDAyCGgudHlqY3d0Mg5oLnFpb3gzcDNicmp6MzIIaC50eWpjd3QyCGguZ2pkZ3hzOAByITE2bFYtZk9FYkpvNkIxS25Xa3N4aEFrZXhIOURyNlBVRw==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3541</Words>
  <Characters>19476</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2025-09-19T16:02:00Z</cp:lastPrinted>
  <dcterms:created xsi:type="dcterms:W3CDTF">2025-09-09T17:14:00Z</dcterms:created>
  <dcterms:modified xsi:type="dcterms:W3CDTF">2025-10-07T23:11:00Z</dcterms:modified>
</cp:coreProperties>
</file>