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9F3" w:rsidRPr="006422A2" w:rsidRDefault="00F229F3" w:rsidP="006422A2">
      <w:pPr>
        <w:spacing w:before="240" w:after="240" w:line="360" w:lineRule="auto"/>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w:t>
      </w:r>
      <w:r w:rsidR="00210F32">
        <w:rPr>
          <w:rFonts w:ascii="Palatino Linotype" w:eastAsia="Palatino Linotype" w:hAnsi="Palatino Linotype" w:cs="Palatino Linotype"/>
          <w:color w:val="000000" w:themeColor="text1"/>
        </w:rPr>
        <w:t xml:space="preserve">en Metepec, Estado de México, de fecha </w:t>
      </w:r>
      <w:r w:rsidRPr="006422A2">
        <w:rPr>
          <w:rFonts w:ascii="Palatino Linotype" w:eastAsia="Palatino Linotype" w:hAnsi="Palatino Linotype" w:cs="Palatino Linotype"/>
          <w:b/>
          <w:color w:val="000000" w:themeColor="text1"/>
        </w:rPr>
        <w:t>veintidós (22) de octubre de dos mil veinticinco</w:t>
      </w:r>
      <w:r w:rsidRPr="006422A2">
        <w:rPr>
          <w:rFonts w:ascii="Palatino Linotype" w:eastAsia="Palatino Linotype" w:hAnsi="Palatino Linotype" w:cs="Palatino Linotype"/>
          <w:color w:val="000000" w:themeColor="text1"/>
        </w:rPr>
        <w:t xml:space="preserve">. </w:t>
      </w:r>
    </w:p>
    <w:p w:rsidR="00F229F3" w:rsidRDefault="00F229F3" w:rsidP="006422A2">
      <w:pPr>
        <w:spacing w:line="360" w:lineRule="auto"/>
        <w:jc w:val="both"/>
        <w:rPr>
          <w:rFonts w:ascii="Palatino Linotype" w:eastAsia="Palatino Linotype" w:hAnsi="Palatino Linotype" w:cs="Palatino Linotype"/>
          <w:color w:val="000000" w:themeColor="text1"/>
        </w:rPr>
      </w:pPr>
      <w:bookmarkStart w:id="0" w:name="_heading=h.1t3h5sf" w:colFirst="0" w:colLast="0"/>
      <w:bookmarkEnd w:id="0"/>
      <w:r w:rsidRPr="006422A2">
        <w:rPr>
          <w:rFonts w:ascii="Palatino Linotype" w:eastAsia="Palatino Linotype" w:hAnsi="Palatino Linotype" w:cs="Palatino Linotype"/>
          <w:b/>
          <w:color w:val="000000" w:themeColor="text1"/>
        </w:rPr>
        <w:t>VISTO</w:t>
      </w:r>
      <w:r w:rsidRPr="006422A2">
        <w:rPr>
          <w:rFonts w:ascii="Palatino Linotype" w:eastAsia="Palatino Linotype" w:hAnsi="Palatino Linotype" w:cs="Palatino Linotype"/>
          <w:color w:val="000000" w:themeColor="text1"/>
        </w:rPr>
        <w:t xml:space="preserve"> el expediente formado con motivo del recurso de revisión </w:t>
      </w:r>
      <w:r w:rsidR="00BB4709" w:rsidRPr="006422A2">
        <w:rPr>
          <w:rFonts w:ascii="Palatino Linotype" w:hAnsi="Palatino Linotype"/>
          <w:b/>
          <w:color w:val="000000" w:themeColor="text1"/>
          <w:lang w:val="es-ES"/>
        </w:rPr>
        <w:t>11058/INFOEM/AD/RR/2025</w:t>
      </w:r>
      <w:r w:rsidRPr="006422A2">
        <w:rPr>
          <w:rFonts w:ascii="Palatino Linotype" w:eastAsia="Palatino Linotype" w:hAnsi="Palatino Linotype" w:cs="Palatino Linotype"/>
          <w:color w:val="000000" w:themeColor="text1"/>
        </w:rPr>
        <w:t xml:space="preserve">, promovido por </w:t>
      </w:r>
      <w:r w:rsidR="00EC3096">
        <w:rPr>
          <w:rFonts w:ascii="Palatino Linotype" w:eastAsia="Palatino Linotype" w:hAnsi="Palatino Linotype" w:cs="Palatino Linotype"/>
          <w:b/>
          <w:bCs/>
          <w:color w:val="000000" w:themeColor="text1"/>
          <w:lang w:val="es-ES"/>
        </w:rPr>
        <w:t>XXXX</w:t>
      </w:r>
      <w:r w:rsidRPr="006422A2">
        <w:rPr>
          <w:rFonts w:ascii="Palatino Linotype" w:eastAsia="Palatino Linotype" w:hAnsi="Palatino Linotype" w:cs="Palatino Linotype"/>
          <w:b/>
          <w:color w:val="000000" w:themeColor="text1"/>
        </w:rPr>
        <w:t xml:space="preserve">, </w:t>
      </w:r>
      <w:r w:rsidRPr="006422A2">
        <w:rPr>
          <w:rFonts w:ascii="Palatino Linotype" w:eastAsia="Palatino Linotype" w:hAnsi="Palatino Linotype" w:cs="Palatino Linotype"/>
          <w:color w:val="000000" w:themeColor="text1"/>
        </w:rPr>
        <w:t>en lo sucesivo l</w:t>
      </w:r>
      <w:r w:rsidR="00207832">
        <w:rPr>
          <w:rFonts w:ascii="Palatino Linotype" w:eastAsia="Palatino Linotype" w:hAnsi="Palatino Linotype" w:cs="Palatino Linotype"/>
          <w:color w:val="000000" w:themeColor="text1"/>
        </w:rPr>
        <w:t>a</w:t>
      </w:r>
      <w:r w:rsidRPr="006422A2">
        <w:rPr>
          <w:rFonts w:ascii="Palatino Linotype" w:eastAsia="Palatino Linotype" w:hAnsi="Palatino Linotype" w:cs="Palatino Linotype"/>
          <w:b/>
          <w:color w:val="000000" w:themeColor="text1"/>
        </w:rPr>
        <w:t xml:space="preserve"> </w:t>
      </w:r>
      <w:r w:rsidR="00210F32" w:rsidRPr="006422A2">
        <w:rPr>
          <w:rFonts w:ascii="Palatino Linotype" w:eastAsia="Palatino Linotype" w:hAnsi="Palatino Linotype" w:cs="Palatino Linotype"/>
          <w:b/>
          <w:color w:val="000000" w:themeColor="text1"/>
        </w:rPr>
        <w:t>RECURRENTE</w:t>
      </w:r>
      <w:r w:rsidRPr="006422A2">
        <w:rPr>
          <w:rFonts w:ascii="Palatino Linotype" w:eastAsia="Palatino Linotype" w:hAnsi="Palatino Linotype" w:cs="Palatino Linotype"/>
          <w:color w:val="000000" w:themeColor="text1"/>
        </w:rPr>
        <w:t xml:space="preserve"> en contra de la respuesta del </w:t>
      </w:r>
      <w:r w:rsidRPr="006422A2">
        <w:rPr>
          <w:rFonts w:ascii="Palatino Linotype" w:eastAsia="Palatino Linotype" w:hAnsi="Palatino Linotype" w:cs="Palatino Linotype"/>
          <w:b/>
          <w:color w:val="000000" w:themeColor="text1"/>
        </w:rPr>
        <w:t xml:space="preserve">Instituto de Seguridad Social del Estado de México y Municipios, </w:t>
      </w:r>
      <w:r w:rsidRPr="006422A2">
        <w:rPr>
          <w:rFonts w:ascii="Palatino Linotype" w:eastAsia="Palatino Linotype" w:hAnsi="Palatino Linotype" w:cs="Palatino Linotype"/>
          <w:color w:val="000000" w:themeColor="text1"/>
        </w:rPr>
        <w:t xml:space="preserve">en </w:t>
      </w:r>
      <w:r w:rsidR="00210F32">
        <w:rPr>
          <w:rFonts w:ascii="Palatino Linotype" w:eastAsia="Palatino Linotype" w:hAnsi="Palatino Linotype" w:cs="Palatino Linotype"/>
          <w:color w:val="000000" w:themeColor="text1"/>
        </w:rPr>
        <w:t>adelante</w:t>
      </w:r>
      <w:r w:rsidRPr="006422A2">
        <w:rPr>
          <w:rFonts w:ascii="Palatino Linotype" w:eastAsia="Palatino Linotype" w:hAnsi="Palatino Linotype" w:cs="Palatino Linotype"/>
          <w:color w:val="000000" w:themeColor="text1"/>
        </w:rPr>
        <w:t xml:space="preserve"> el</w:t>
      </w:r>
      <w:r w:rsidRPr="006422A2">
        <w:rPr>
          <w:rFonts w:ascii="Palatino Linotype" w:eastAsia="Palatino Linotype" w:hAnsi="Palatino Linotype" w:cs="Palatino Linotype"/>
          <w:b/>
          <w:color w:val="000000" w:themeColor="text1"/>
        </w:rPr>
        <w:t xml:space="preserve"> </w:t>
      </w:r>
      <w:r w:rsidR="00210F32" w:rsidRPr="006422A2">
        <w:rPr>
          <w:rFonts w:ascii="Palatino Linotype" w:eastAsia="Palatino Linotype" w:hAnsi="Palatino Linotype" w:cs="Palatino Linotype"/>
          <w:b/>
          <w:color w:val="000000" w:themeColor="text1"/>
        </w:rPr>
        <w:t>SUJETO OBLIGADO</w:t>
      </w:r>
      <w:r w:rsidRPr="006422A2">
        <w:rPr>
          <w:rFonts w:ascii="Palatino Linotype" w:eastAsia="Palatino Linotype" w:hAnsi="Palatino Linotype" w:cs="Palatino Linotype"/>
          <w:color w:val="000000" w:themeColor="text1"/>
        </w:rPr>
        <w:t xml:space="preserve">, se procede a dictar la presente Resolución con base en los siguientes: </w:t>
      </w:r>
    </w:p>
    <w:p w:rsidR="00210F32" w:rsidRPr="006422A2" w:rsidRDefault="00210F32" w:rsidP="006422A2">
      <w:pP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spacing w:before="240" w:after="240" w:line="360" w:lineRule="auto"/>
        <w:jc w:val="center"/>
        <w:rPr>
          <w:rFonts w:ascii="Palatino Linotype" w:eastAsia="Palatino Linotype" w:hAnsi="Palatino Linotype" w:cs="Palatino Linotype"/>
          <w:b/>
          <w:color w:val="000000" w:themeColor="text1"/>
        </w:rPr>
      </w:pPr>
      <w:r w:rsidRPr="006422A2">
        <w:rPr>
          <w:rFonts w:ascii="Palatino Linotype" w:eastAsia="Palatino Linotype" w:hAnsi="Palatino Linotype" w:cs="Palatino Linotype"/>
          <w:b/>
          <w:color w:val="000000" w:themeColor="text1"/>
        </w:rPr>
        <w:t>A N T E C E D E N T E S</w:t>
      </w:r>
    </w:p>
    <w:p w:rsidR="00BB4709"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422A2">
        <w:rPr>
          <w:rFonts w:ascii="Palatino Linotype" w:eastAsia="Palatino Linotype" w:hAnsi="Palatino Linotype" w:cs="Palatino Linotype"/>
          <w:b/>
          <w:color w:val="000000" w:themeColor="text1"/>
        </w:rPr>
        <w:t xml:space="preserve">Solicitud de Acceso a Datos. </w:t>
      </w:r>
      <w:r w:rsidRPr="006422A2">
        <w:rPr>
          <w:rFonts w:ascii="Palatino Linotype" w:eastAsia="Palatino Linotype" w:hAnsi="Palatino Linotype" w:cs="Palatino Linotype"/>
          <w:color w:val="000000" w:themeColor="text1"/>
        </w:rPr>
        <w:t xml:space="preserve">En fecha </w:t>
      </w:r>
      <w:r w:rsidR="00BB4709" w:rsidRPr="006422A2">
        <w:rPr>
          <w:rFonts w:ascii="Palatino Linotype" w:hAnsi="Palatino Linotype"/>
          <w:b/>
          <w:color w:val="000000" w:themeColor="text1"/>
        </w:rPr>
        <w:t>veintidós de agosto de dos mil veinticinco</w:t>
      </w:r>
      <w:r w:rsidR="00BB4709" w:rsidRPr="006422A2">
        <w:rPr>
          <w:rFonts w:ascii="Palatino Linotype" w:hAnsi="Palatino Linotype"/>
          <w:color w:val="000000" w:themeColor="text1"/>
        </w:rPr>
        <w:t xml:space="preserve">, se tuvo por presentada ante el Instituto de Transparencia, Acceso a la información Pública y Protección de Datos Personales del Estado de México y Municipios, a través del </w:t>
      </w:r>
      <w:r w:rsidR="00BB4709" w:rsidRPr="006422A2">
        <w:rPr>
          <w:rFonts w:ascii="Palatino Linotype" w:hAnsi="Palatino Linotype"/>
          <w:bCs/>
          <w:color w:val="000000" w:themeColor="text1"/>
        </w:rPr>
        <w:t>Sistema de Acceso, Rectificación, Cancelación y Oposición de Datos Personales del Estado de México (SARCOEM)</w:t>
      </w:r>
      <w:r w:rsidR="00BB4709" w:rsidRPr="006422A2">
        <w:rPr>
          <w:rFonts w:ascii="Palatino Linotype" w:hAnsi="Palatino Linotype"/>
          <w:color w:val="000000" w:themeColor="text1"/>
        </w:rPr>
        <w:t xml:space="preserve">, la solicitud de información pública número </w:t>
      </w:r>
      <w:r w:rsidR="00BB4709" w:rsidRPr="006422A2">
        <w:rPr>
          <w:rFonts w:ascii="Palatino Linotype" w:hAnsi="Palatino Linotype"/>
          <w:b/>
          <w:bCs/>
          <w:color w:val="000000" w:themeColor="text1"/>
        </w:rPr>
        <w:t>01089/ISSEMYM/AD/2025</w:t>
      </w:r>
      <w:r w:rsidR="00BB4709" w:rsidRPr="006422A2">
        <w:rPr>
          <w:rFonts w:ascii="Palatino Linotype" w:hAnsi="Palatino Linotype"/>
          <w:color w:val="000000" w:themeColor="text1"/>
        </w:rPr>
        <w:t xml:space="preserve">, dirigida al </w:t>
      </w:r>
      <w:r w:rsidR="00BB4709" w:rsidRPr="006422A2">
        <w:rPr>
          <w:rFonts w:ascii="Palatino Linotype" w:hAnsi="Palatino Linotype"/>
          <w:b/>
          <w:bCs/>
          <w:color w:val="000000" w:themeColor="text1"/>
        </w:rPr>
        <w:t>Instituto de Seguridad Social del Estado de México y Municipios</w:t>
      </w:r>
      <w:r w:rsidR="00BB4709" w:rsidRPr="006422A2">
        <w:rPr>
          <w:rFonts w:ascii="Palatino Linotype" w:hAnsi="Palatino Linotype"/>
          <w:color w:val="000000" w:themeColor="text1"/>
        </w:rPr>
        <w:t xml:space="preserve">, por </w:t>
      </w:r>
      <w:r w:rsidR="00EC3096">
        <w:rPr>
          <w:rFonts w:ascii="Palatino Linotype" w:hAnsi="Palatino Linotype"/>
          <w:b/>
          <w:bCs/>
          <w:color w:val="000000" w:themeColor="text1"/>
        </w:rPr>
        <w:t>XXXX</w:t>
      </w:r>
      <w:r w:rsidR="00BB4709" w:rsidRPr="006422A2">
        <w:rPr>
          <w:rFonts w:ascii="Palatino Linotype" w:hAnsi="Palatino Linotype"/>
          <w:b/>
          <w:bCs/>
          <w:color w:val="000000" w:themeColor="text1"/>
        </w:rPr>
        <w:t xml:space="preserve">, </w:t>
      </w:r>
      <w:r w:rsidR="00BB4709" w:rsidRPr="006422A2">
        <w:rPr>
          <w:rFonts w:ascii="Palatino Linotype" w:hAnsi="Palatino Linotype"/>
          <w:color w:val="000000" w:themeColor="text1"/>
        </w:rPr>
        <w:t>quien solicitó tener acceso a la siguiente información:</w:t>
      </w:r>
    </w:p>
    <w:p w:rsidR="00BB4709" w:rsidRPr="006422A2" w:rsidRDefault="00BB4709" w:rsidP="006422A2">
      <w:pPr>
        <w:jc w:val="both"/>
        <w:rPr>
          <w:rFonts w:ascii="Palatino Linotype" w:hAnsi="Palatino Linotype"/>
          <w:color w:val="000000" w:themeColor="text1"/>
        </w:rPr>
      </w:pPr>
    </w:p>
    <w:p w:rsidR="00BB4709" w:rsidRPr="006422A2" w:rsidRDefault="00BB4709" w:rsidP="006422A2">
      <w:pPr>
        <w:jc w:val="both"/>
        <w:rPr>
          <w:rFonts w:ascii="Palatino Linotype" w:hAnsi="Palatino Linotype"/>
          <w:i/>
          <w:color w:val="000000" w:themeColor="text1"/>
        </w:rPr>
      </w:pPr>
      <w:r w:rsidRPr="006422A2">
        <w:rPr>
          <w:rFonts w:ascii="Palatino Linotype" w:hAnsi="Palatino Linotype"/>
          <w:i/>
          <w:color w:val="000000" w:themeColor="text1"/>
        </w:rPr>
        <w:t xml:space="preserve">“Solicito copia certificada del Dictamen de Riesgo de Trabajo del </w:t>
      </w:r>
      <w:r w:rsidR="00EC3096">
        <w:rPr>
          <w:rFonts w:ascii="Palatino Linotype" w:hAnsi="Palatino Linotype"/>
          <w:i/>
          <w:color w:val="000000" w:themeColor="text1"/>
        </w:rPr>
        <w:t>XXXX</w:t>
      </w:r>
      <w:r w:rsidRPr="006422A2">
        <w:rPr>
          <w:rFonts w:ascii="Palatino Linotype" w:hAnsi="Palatino Linotype"/>
          <w:i/>
          <w:color w:val="000000" w:themeColor="text1"/>
        </w:rPr>
        <w:t>, quien laboraba para la Dirección de Seguridad Pública y Tránsito Municipal de Amecameca y quien falleció el día 21 de agosto de 2024, con la finalidad de ingresar dicho documento al Expediente Número: SAE/483/2024, del Tribunal Estatal de Conciliación y Arbitraje del Estado de México, Sala Auxiliar de Ecatepec, para la designación de beneficiarios y reclamación de las prestaciones a que tengo derecho como esposa del finado, lo cual acredito con los documentos anexos..” (Sic)</w:t>
      </w:r>
    </w:p>
    <w:p w:rsidR="00BB4709" w:rsidRPr="006422A2" w:rsidRDefault="00BB4709" w:rsidP="006422A2">
      <w:pPr>
        <w:jc w:val="both"/>
        <w:rPr>
          <w:rFonts w:ascii="Palatino Linotype" w:hAnsi="Palatino Linotype"/>
          <w:color w:val="000000" w:themeColor="text1"/>
        </w:rPr>
      </w:pPr>
      <w:r w:rsidRPr="006422A2">
        <w:rPr>
          <w:rFonts w:ascii="Palatino Linotype" w:hAnsi="Palatino Linotype"/>
          <w:color w:val="000000" w:themeColor="text1"/>
        </w:rPr>
        <w:lastRenderedPageBreak/>
        <w:t>Se anexaron los siguientes archivos digitales:</w:t>
      </w:r>
    </w:p>
    <w:p w:rsidR="00BB4709" w:rsidRPr="006422A2" w:rsidRDefault="00BB4709" w:rsidP="006422A2">
      <w:pPr>
        <w:jc w:val="both"/>
        <w:rPr>
          <w:rFonts w:ascii="Palatino Linotype" w:hAnsi="Palatino Linotype"/>
          <w:b/>
          <w:i/>
          <w:color w:val="000000" w:themeColor="text1"/>
        </w:rPr>
      </w:pPr>
      <w:r w:rsidRPr="006422A2">
        <w:rPr>
          <w:rFonts w:ascii="Palatino Linotype" w:hAnsi="Palatino Linotype"/>
          <w:b/>
          <w:i/>
          <w:color w:val="000000" w:themeColor="text1"/>
        </w:rPr>
        <w:t>ACTA DE MATRIMONIO.pdf</w:t>
      </w:r>
    </w:p>
    <w:p w:rsidR="00BB4709" w:rsidRPr="006422A2" w:rsidRDefault="00BB4709" w:rsidP="006422A2">
      <w:pPr>
        <w:jc w:val="both"/>
        <w:rPr>
          <w:rFonts w:ascii="Palatino Linotype" w:hAnsi="Palatino Linotype"/>
          <w:color w:val="000000" w:themeColor="text1"/>
        </w:rPr>
      </w:pPr>
      <w:r w:rsidRPr="006422A2">
        <w:rPr>
          <w:rFonts w:ascii="Palatino Linotype" w:hAnsi="Palatino Linotype"/>
          <w:color w:val="000000" w:themeColor="text1"/>
        </w:rPr>
        <w:t xml:space="preserve">Acta de matrimonio de los contrayentes </w:t>
      </w:r>
      <w:r w:rsidR="00EC3096">
        <w:rPr>
          <w:rFonts w:ascii="Palatino Linotype" w:hAnsi="Palatino Linotype"/>
          <w:color w:val="000000" w:themeColor="text1"/>
        </w:rPr>
        <w:t>XXXX</w:t>
      </w:r>
      <w:r w:rsidRPr="006422A2">
        <w:rPr>
          <w:rFonts w:ascii="Palatino Linotype" w:hAnsi="Palatino Linotype"/>
          <w:color w:val="000000" w:themeColor="text1"/>
        </w:rPr>
        <w:t xml:space="preserve"> y </w:t>
      </w:r>
      <w:r w:rsidR="00EC3096">
        <w:rPr>
          <w:rFonts w:ascii="Palatino Linotype" w:hAnsi="Palatino Linotype"/>
          <w:color w:val="000000" w:themeColor="text1"/>
        </w:rPr>
        <w:t>XXXX</w:t>
      </w:r>
      <w:r w:rsidRPr="006422A2">
        <w:rPr>
          <w:rFonts w:ascii="Palatino Linotype" w:hAnsi="Palatino Linotype"/>
          <w:color w:val="000000" w:themeColor="text1"/>
        </w:rPr>
        <w:t>.</w:t>
      </w:r>
    </w:p>
    <w:p w:rsidR="00BB4709" w:rsidRPr="006422A2" w:rsidRDefault="00BB4709" w:rsidP="006422A2">
      <w:pPr>
        <w:jc w:val="both"/>
        <w:rPr>
          <w:rFonts w:ascii="Palatino Linotype" w:hAnsi="Palatino Linotype"/>
          <w:color w:val="000000" w:themeColor="text1"/>
        </w:rPr>
      </w:pPr>
    </w:p>
    <w:p w:rsidR="00BB4709" w:rsidRPr="006422A2" w:rsidRDefault="00BB4709" w:rsidP="006422A2">
      <w:pPr>
        <w:jc w:val="both"/>
        <w:rPr>
          <w:rFonts w:ascii="Palatino Linotype" w:hAnsi="Palatino Linotype"/>
          <w:b/>
          <w:i/>
          <w:color w:val="000000" w:themeColor="text1"/>
        </w:rPr>
      </w:pPr>
      <w:r w:rsidRPr="006422A2">
        <w:rPr>
          <w:rFonts w:ascii="Palatino Linotype" w:hAnsi="Palatino Linotype"/>
          <w:b/>
          <w:i/>
          <w:color w:val="000000" w:themeColor="text1"/>
        </w:rPr>
        <w:t xml:space="preserve">INE </w:t>
      </w:r>
      <w:r w:rsidR="00EC3096">
        <w:rPr>
          <w:rFonts w:ascii="Palatino Linotype" w:hAnsi="Palatino Linotype"/>
          <w:b/>
          <w:i/>
          <w:color w:val="000000" w:themeColor="text1"/>
        </w:rPr>
        <w:t>XXXX</w:t>
      </w:r>
      <w:r w:rsidRPr="006422A2">
        <w:rPr>
          <w:rFonts w:ascii="Palatino Linotype" w:hAnsi="Palatino Linotype"/>
          <w:b/>
          <w:i/>
          <w:color w:val="000000" w:themeColor="text1"/>
        </w:rPr>
        <w:t>.pdf</w:t>
      </w:r>
    </w:p>
    <w:p w:rsidR="00BB4709" w:rsidRPr="006422A2" w:rsidRDefault="00BB4709" w:rsidP="006422A2">
      <w:pPr>
        <w:jc w:val="both"/>
        <w:rPr>
          <w:rFonts w:ascii="Palatino Linotype" w:hAnsi="Palatino Linotype"/>
          <w:color w:val="000000" w:themeColor="text1"/>
        </w:rPr>
      </w:pPr>
      <w:r w:rsidRPr="006422A2">
        <w:rPr>
          <w:rFonts w:ascii="Palatino Linotype" w:hAnsi="Palatino Linotype"/>
          <w:color w:val="000000" w:themeColor="text1"/>
        </w:rPr>
        <w:t xml:space="preserve">- Credencial para votar expedida por el Instituto Nacional Electoral a nombre de </w:t>
      </w:r>
      <w:r w:rsidR="00EC3096">
        <w:rPr>
          <w:rFonts w:ascii="Palatino Linotype" w:hAnsi="Palatino Linotype"/>
          <w:color w:val="000000" w:themeColor="text1"/>
        </w:rPr>
        <w:t>XXXX</w:t>
      </w:r>
      <w:r w:rsidRPr="006422A2">
        <w:rPr>
          <w:rFonts w:ascii="Palatino Linotype" w:hAnsi="Palatino Linotype"/>
          <w:color w:val="000000" w:themeColor="text1"/>
        </w:rPr>
        <w:t>.</w:t>
      </w:r>
    </w:p>
    <w:p w:rsidR="00BB4709" w:rsidRPr="006422A2" w:rsidRDefault="00BB4709" w:rsidP="006422A2">
      <w:pPr>
        <w:jc w:val="both"/>
        <w:rPr>
          <w:rFonts w:ascii="Palatino Linotype" w:hAnsi="Palatino Linotype"/>
          <w:color w:val="000000" w:themeColor="text1"/>
        </w:rPr>
      </w:pPr>
      <w:r w:rsidRPr="006422A2">
        <w:rPr>
          <w:rFonts w:ascii="Palatino Linotype" w:hAnsi="Palatino Linotype"/>
          <w:color w:val="000000" w:themeColor="text1"/>
        </w:rPr>
        <w:t xml:space="preserve">- Credencial del ISSEMYM a nombre de </w:t>
      </w:r>
      <w:r w:rsidR="00EC3096">
        <w:rPr>
          <w:rFonts w:ascii="Palatino Linotype" w:hAnsi="Palatino Linotype"/>
          <w:color w:val="000000" w:themeColor="text1"/>
        </w:rPr>
        <w:t>XXXX</w:t>
      </w:r>
    </w:p>
    <w:p w:rsidR="00BB4709" w:rsidRPr="006422A2" w:rsidRDefault="00BB4709" w:rsidP="006422A2">
      <w:pPr>
        <w:jc w:val="both"/>
        <w:rPr>
          <w:rFonts w:ascii="Palatino Linotype" w:hAnsi="Palatino Linotype"/>
          <w:color w:val="000000" w:themeColor="text1"/>
        </w:rPr>
      </w:pPr>
    </w:p>
    <w:p w:rsidR="00BB4709" w:rsidRPr="006422A2" w:rsidRDefault="00EC3096" w:rsidP="006422A2">
      <w:pPr>
        <w:jc w:val="both"/>
        <w:rPr>
          <w:rFonts w:ascii="Palatino Linotype" w:hAnsi="Palatino Linotype"/>
          <w:b/>
          <w:i/>
          <w:color w:val="000000" w:themeColor="text1"/>
        </w:rPr>
      </w:pPr>
      <w:r>
        <w:rPr>
          <w:rFonts w:ascii="Palatino Linotype" w:hAnsi="Palatino Linotype"/>
          <w:b/>
          <w:i/>
          <w:color w:val="000000" w:themeColor="text1"/>
        </w:rPr>
        <w:t>CREDENCIAL DEL TRABAJO XXXX</w:t>
      </w:r>
      <w:r w:rsidR="00BB4709" w:rsidRPr="006422A2">
        <w:rPr>
          <w:rFonts w:ascii="Palatino Linotype" w:hAnsi="Palatino Linotype"/>
          <w:b/>
          <w:i/>
          <w:color w:val="000000" w:themeColor="text1"/>
        </w:rPr>
        <w:t>.pdf</w:t>
      </w:r>
    </w:p>
    <w:p w:rsidR="00BB4709" w:rsidRPr="006422A2" w:rsidRDefault="00BB4709" w:rsidP="006422A2">
      <w:pPr>
        <w:jc w:val="both"/>
        <w:rPr>
          <w:rFonts w:ascii="Palatino Linotype" w:hAnsi="Palatino Linotype"/>
          <w:color w:val="000000" w:themeColor="text1"/>
        </w:rPr>
      </w:pPr>
      <w:r w:rsidRPr="006422A2">
        <w:rPr>
          <w:rFonts w:ascii="Palatino Linotype" w:hAnsi="Palatino Linotype"/>
          <w:color w:val="000000" w:themeColor="text1"/>
        </w:rPr>
        <w:t xml:space="preserve">Credencial expedida por el Ayuntamiento de Amecameca 2022-2024 a nombre de </w:t>
      </w:r>
      <w:r w:rsidR="00EC3096">
        <w:rPr>
          <w:rFonts w:ascii="Palatino Linotype" w:hAnsi="Palatino Linotype"/>
          <w:color w:val="000000" w:themeColor="text1"/>
        </w:rPr>
        <w:t>XXXX</w:t>
      </w:r>
      <w:r w:rsidRPr="006422A2">
        <w:rPr>
          <w:rFonts w:ascii="Palatino Linotype" w:hAnsi="Palatino Linotype"/>
          <w:color w:val="000000" w:themeColor="text1"/>
        </w:rPr>
        <w:t>.</w:t>
      </w:r>
    </w:p>
    <w:p w:rsidR="00BB4709" w:rsidRPr="006422A2" w:rsidRDefault="00BB4709" w:rsidP="006422A2">
      <w:pPr>
        <w:jc w:val="both"/>
        <w:rPr>
          <w:rFonts w:ascii="Palatino Linotype" w:hAnsi="Palatino Linotype"/>
          <w:color w:val="000000" w:themeColor="text1"/>
        </w:rPr>
      </w:pPr>
    </w:p>
    <w:p w:rsidR="00BB4709" w:rsidRPr="006422A2" w:rsidRDefault="00BB4709" w:rsidP="006422A2">
      <w:pPr>
        <w:jc w:val="both"/>
        <w:rPr>
          <w:rFonts w:ascii="Palatino Linotype" w:hAnsi="Palatino Linotype"/>
          <w:b/>
          <w:i/>
          <w:color w:val="000000" w:themeColor="text1"/>
        </w:rPr>
      </w:pPr>
      <w:r w:rsidRPr="006422A2">
        <w:rPr>
          <w:rFonts w:ascii="Palatino Linotype" w:hAnsi="Palatino Linotype"/>
          <w:b/>
          <w:i/>
          <w:color w:val="000000" w:themeColor="text1"/>
        </w:rPr>
        <w:t>ACTA DE DEFUNCIÓN.pdf</w:t>
      </w:r>
    </w:p>
    <w:p w:rsidR="00BB4709" w:rsidRPr="006422A2" w:rsidRDefault="00BB4709" w:rsidP="006422A2">
      <w:pPr>
        <w:jc w:val="both"/>
        <w:rPr>
          <w:rFonts w:ascii="Palatino Linotype" w:hAnsi="Palatino Linotype"/>
          <w:color w:val="000000" w:themeColor="text1"/>
        </w:rPr>
      </w:pPr>
      <w:r w:rsidRPr="006422A2">
        <w:rPr>
          <w:rFonts w:ascii="Palatino Linotype" w:hAnsi="Palatino Linotype"/>
          <w:color w:val="000000" w:themeColor="text1"/>
        </w:rPr>
        <w:t xml:space="preserve">Acta de defunción a nombre de </w:t>
      </w:r>
      <w:r w:rsidR="00EC3096">
        <w:rPr>
          <w:rFonts w:ascii="Palatino Linotype" w:hAnsi="Palatino Linotype"/>
          <w:color w:val="000000" w:themeColor="text1"/>
        </w:rPr>
        <w:t>XXXX</w:t>
      </w:r>
      <w:r w:rsidRPr="006422A2">
        <w:rPr>
          <w:rFonts w:ascii="Palatino Linotype" w:hAnsi="Palatino Linotype"/>
          <w:color w:val="000000" w:themeColor="text1"/>
        </w:rPr>
        <w:t>,</w:t>
      </w:r>
    </w:p>
    <w:p w:rsidR="00BB4709" w:rsidRPr="006422A2" w:rsidRDefault="00BB4709" w:rsidP="006422A2">
      <w:pPr>
        <w:jc w:val="both"/>
        <w:rPr>
          <w:rFonts w:ascii="Palatino Linotype" w:hAnsi="Palatino Linotype"/>
          <w:color w:val="000000" w:themeColor="text1"/>
        </w:rPr>
      </w:pPr>
    </w:p>
    <w:p w:rsidR="00F229F3" w:rsidRPr="006422A2" w:rsidRDefault="00BB4709" w:rsidP="006422A2">
      <w:pPr>
        <w:spacing w:line="360" w:lineRule="auto"/>
        <w:jc w:val="both"/>
        <w:rPr>
          <w:rFonts w:ascii="Palatino Linotype" w:hAnsi="Palatino Linotype"/>
          <w:b/>
          <w:color w:val="000000" w:themeColor="text1"/>
        </w:rPr>
      </w:pPr>
      <w:r w:rsidRPr="006422A2">
        <w:rPr>
          <w:rFonts w:ascii="Palatino Linotype" w:hAnsi="Palatino Linotype"/>
          <w:color w:val="000000" w:themeColor="text1"/>
        </w:rPr>
        <w:t xml:space="preserve">Señalando como </w:t>
      </w:r>
      <w:r w:rsidRPr="006422A2">
        <w:rPr>
          <w:rFonts w:ascii="Palatino Linotype" w:hAnsi="Palatino Linotype"/>
          <w:b/>
          <w:color w:val="000000" w:themeColor="text1"/>
        </w:rPr>
        <w:t>modalidad</w:t>
      </w:r>
      <w:r w:rsidRPr="006422A2">
        <w:rPr>
          <w:rFonts w:ascii="Palatino Linotype" w:hAnsi="Palatino Linotype"/>
          <w:color w:val="000000" w:themeColor="text1"/>
        </w:rPr>
        <w:t xml:space="preserve"> de acceso a través del </w:t>
      </w:r>
      <w:r w:rsidRPr="006422A2">
        <w:rPr>
          <w:rFonts w:ascii="Palatino Linotype" w:hAnsi="Palatino Linotype"/>
          <w:b/>
          <w:color w:val="000000" w:themeColor="text1"/>
        </w:rPr>
        <w:t xml:space="preserve">copias certificadas. </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BB4709"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422A2">
        <w:rPr>
          <w:rFonts w:ascii="Palatino Linotype" w:eastAsia="Palatino Linotype" w:hAnsi="Palatino Linotype" w:cs="Palatino Linotype"/>
          <w:color w:val="000000" w:themeColor="text1"/>
        </w:rPr>
        <w:t xml:space="preserve">En fecha </w:t>
      </w:r>
      <w:r w:rsidR="00BB4709" w:rsidRPr="006422A2">
        <w:rPr>
          <w:rFonts w:ascii="Palatino Linotype" w:hAnsi="Palatino Linotype"/>
          <w:b/>
          <w:color w:val="000000" w:themeColor="text1"/>
        </w:rPr>
        <w:t>cuatro de septiembre de dos mil veinticinco</w:t>
      </w:r>
      <w:r w:rsidR="00BB4709" w:rsidRPr="006422A2">
        <w:rPr>
          <w:rFonts w:ascii="Palatino Linotype" w:hAnsi="Palatino Linotype"/>
          <w:color w:val="000000" w:themeColor="text1"/>
        </w:rPr>
        <w:t xml:space="preserve">, el Sujeto Obligado notificó </w:t>
      </w:r>
      <w:r w:rsidR="00BB4709" w:rsidRPr="006422A2">
        <w:rPr>
          <w:rFonts w:ascii="Palatino Linotype" w:hAnsi="Palatino Linotype"/>
          <w:b/>
          <w:bCs/>
          <w:color w:val="000000" w:themeColor="text1"/>
        </w:rPr>
        <w:t>requerimiento</w:t>
      </w:r>
      <w:r w:rsidR="00BB4709" w:rsidRPr="006422A2">
        <w:rPr>
          <w:rFonts w:ascii="Palatino Linotype" w:hAnsi="Palatino Linotype"/>
          <w:bCs/>
          <w:color w:val="000000" w:themeColor="text1"/>
        </w:rPr>
        <w:t xml:space="preserve"> de aclaración, complementación o corrección de datos de la solicitud</w:t>
      </w:r>
      <w:r w:rsidR="00BB4709" w:rsidRPr="006422A2">
        <w:rPr>
          <w:rFonts w:ascii="Palatino Linotype" w:hAnsi="Palatino Linotype"/>
          <w:b/>
          <w:bCs/>
          <w:color w:val="000000" w:themeColor="text1"/>
        </w:rPr>
        <w:t> </w:t>
      </w:r>
      <w:r w:rsidR="00BB4709" w:rsidRPr="006422A2">
        <w:rPr>
          <w:rFonts w:ascii="Palatino Linotype" w:hAnsi="Palatino Linotype"/>
          <w:color w:val="000000" w:themeColor="text1"/>
        </w:rPr>
        <w:t xml:space="preserve"> en los siguientes términos:</w:t>
      </w:r>
    </w:p>
    <w:p w:rsidR="00BB4709" w:rsidRPr="006422A2" w:rsidRDefault="00BB4709" w:rsidP="006422A2">
      <w:pPr>
        <w:jc w:val="both"/>
        <w:rPr>
          <w:rFonts w:ascii="Palatino Linotype" w:hAnsi="Palatino Linotype"/>
          <w:i/>
          <w:color w:val="000000" w:themeColor="text1"/>
        </w:rPr>
      </w:pPr>
      <w:r w:rsidRPr="006422A2">
        <w:rPr>
          <w:rFonts w:ascii="Palatino Linotype" w:hAnsi="Palatino Linotype"/>
          <w:b/>
          <w:i/>
          <w:color w:val="000000" w:themeColor="text1"/>
        </w:rPr>
        <w:t>“</w:t>
      </w:r>
      <w:r w:rsidRPr="006422A2">
        <w:rPr>
          <w:rFonts w:ascii="Palatino Linotype" w:hAnsi="Palatino Linotype"/>
          <w:i/>
          <w:color w:val="000000" w:themeColor="text1"/>
        </w:rPr>
        <w:t xml:space="preserve">Se requiere a la particular el documento a través del cual </w:t>
      </w:r>
      <w:r w:rsidRPr="006422A2">
        <w:rPr>
          <w:rFonts w:ascii="Palatino Linotype" w:hAnsi="Palatino Linotype"/>
          <w:b/>
          <w:i/>
          <w:color w:val="000000" w:themeColor="text1"/>
        </w:rPr>
        <w:t>acredite la representación</w:t>
      </w:r>
      <w:r w:rsidRPr="006422A2">
        <w:rPr>
          <w:rFonts w:ascii="Palatino Linotype" w:hAnsi="Palatino Linotype"/>
          <w:i/>
          <w:color w:val="000000" w:themeColor="text1"/>
        </w:rPr>
        <w:t xml:space="preserve"> del </w:t>
      </w:r>
      <w:r w:rsidR="00EC3096">
        <w:rPr>
          <w:rFonts w:ascii="Palatino Linotype" w:hAnsi="Palatino Linotype"/>
          <w:b/>
          <w:i/>
          <w:color w:val="000000" w:themeColor="text1"/>
        </w:rPr>
        <w:t>XXXX</w:t>
      </w:r>
      <w:r w:rsidRPr="006422A2">
        <w:rPr>
          <w:rFonts w:ascii="Palatino Linotype" w:hAnsi="Palatino Linotype"/>
          <w:i/>
          <w:color w:val="000000" w:themeColor="text1"/>
        </w:rPr>
        <w:t>,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w:t>
      </w:r>
    </w:p>
    <w:p w:rsidR="00BB4709" w:rsidRPr="006422A2" w:rsidRDefault="00BB4709" w:rsidP="006422A2">
      <w:pPr>
        <w:jc w:val="both"/>
        <w:rPr>
          <w:rFonts w:ascii="Palatino Linotype" w:hAnsi="Palatino Linotype"/>
          <w:i/>
          <w:color w:val="000000" w:themeColor="text1"/>
        </w:rPr>
      </w:pPr>
    </w:p>
    <w:p w:rsidR="00BB4709" w:rsidRPr="006422A2" w:rsidRDefault="00BB4709" w:rsidP="006422A2">
      <w:pPr>
        <w:jc w:val="both"/>
        <w:rPr>
          <w:rFonts w:ascii="Palatino Linotype" w:hAnsi="Palatino Linotype"/>
          <w:i/>
          <w:color w:val="000000" w:themeColor="text1"/>
        </w:rPr>
      </w:pPr>
      <w:r w:rsidRPr="006422A2">
        <w:rPr>
          <w:rFonts w:ascii="Palatino Linotype" w:hAnsi="Palatino Linotype"/>
          <w:i/>
          <w:color w:val="000000" w:themeColor="text1"/>
        </w:rPr>
        <w:t>Señalando al solicitante de que cuenta con un término de diez días hábiles, contados a partir del día hábil siguiente al que surta sus efectos la notificación respectiva, para desahogar la prevención.</w:t>
      </w:r>
    </w:p>
    <w:p w:rsidR="00BB4709" w:rsidRPr="006422A2" w:rsidRDefault="00BB4709" w:rsidP="006422A2">
      <w:pPr>
        <w:jc w:val="both"/>
        <w:rPr>
          <w:rFonts w:ascii="Palatino Linotype" w:hAnsi="Palatino Linotype"/>
          <w:i/>
          <w:color w:val="000000" w:themeColor="text1"/>
        </w:rPr>
      </w:pPr>
    </w:p>
    <w:p w:rsidR="00BB4709" w:rsidRPr="006422A2" w:rsidRDefault="00BB4709" w:rsidP="006422A2">
      <w:pPr>
        <w:jc w:val="both"/>
        <w:rPr>
          <w:rFonts w:ascii="Palatino Linotype" w:hAnsi="Palatino Linotype"/>
          <w:i/>
          <w:color w:val="000000" w:themeColor="text1"/>
        </w:rPr>
      </w:pPr>
      <w:r w:rsidRPr="006422A2">
        <w:rPr>
          <w:rFonts w:ascii="Palatino Linotype" w:hAnsi="Palatino Linotype"/>
          <w:i/>
          <w:color w:val="000000" w:themeColor="text1"/>
        </w:rPr>
        <w:t>Apercibido que, para el caso de no desahogar la prevención, se tendrá por no presentada la solicitud, quedando a salvo los derechos del titular o su representante para presentar nuevamente su solicitud.”</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422A2">
        <w:rPr>
          <w:rFonts w:ascii="Palatino Linotype" w:eastAsia="Palatino Linotype" w:hAnsi="Palatino Linotype" w:cs="Palatino Linotype"/>
          <w:color w:val="000000" w:themeColor="text1"/>
        </w:rPr>
        <w:lastRenderedPageBreak/>
        <w:t xml:space="preserve">El </w:t>
      </w:r>
      <w:r w:rsidR="00B837B9" w:rsidRPr="006422A2">
        <w:rPr>
          <w:rFonts w:ascii="Palatino Linotype" w:hAnsi="Palatino Linotype"/>
          <w:b/>
          <w:color w:val="000000" w:themeColor="text1"/>
        </w:rPr>
        <w:t>veintidós de septiembre de dos mil veinticinco</w:t>
      </w:r>
      <w:r w:rsidRPr="006422A2">
        <w:rPr>
          <w:rFonts w:ascii="Palatino Linotype" w:hAnsi="Palatino Linotype"/>
          <w:color w:val="000000" w:themeColor="text1"/>
        </w:rPr>
        <w:t xml:space="preserve">, el </w:t>
      </w:r>
      <w:r w:rsidRPr="006422A2">
        <w:rPr>
          <w:rFonts w:ascii="Palatino Linotype" w:hAnsi="Palatino Linotype"/>
          <w:b/>
          <w:color w:val="000000" w:themeColor="text1"/>
        </w:rPr>
        <w:t>Sujeto Obligado</w:t>
      </w:r>
      <w:r w:rsidRPr="006422A2">
        <w:rPr>
          <w:rFonts w:ascii="Palatino Linotype" w:hAnsi="Palatino Linotype"/>
          <w:color w:val="000000" w:themeColor="text1"/>
        </w:rPr>
        <w:t xml:space="preserve"> notificó al particular el documento a través del cual hace del conocimiento al solicitante que </w:t>
      </w:r>
      <w:r w:rsidRPr="006422A2">
        <w:rPr>
          <w:rFonts w:ascii="Palatino Linotype" w:hAnsi="Palatino Linotype"/>
          <w:b/>
          <w:color w:val="000000" w:themeColor="text1"/>
        </w:rPr>
        <w:t>se tiene por no presentada la solicitud de aclaración</w:t>
      </w:r>
      <w:r w:rsidRPr="006422A2">
        <w:rPr>
          <w:rFonts w:ascii="Palatino Linotype" w:hAnsi="Palatino Linotype"/>
          <w:color w:val="000000" w:themeColor="text1"/>
        </w:rPr>
        <w:t>, en consecuencia archivando la solicitud como concluida.</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837B9"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El</w:t>
      </w:r>
      <w:r w:rsidRPr="006422A2">
        <w:rPr>
          <w:rFonts w:ascii="Palatino Linotype" w:hAnsi="Palatino Linotype"/>
          <w:b/>
          <w:color w:val="000000" w:themeColor="text1"/>
        </w:rPr>
        <w:t xml:space="preserve"> </w:t>
      </w:r>
      <w:r w:rsidR="00B837B9" w:rsidRPr="006422A2">
        <w:rPr>
          <w:rFonts w:ascii="Palatino Linotype" w:hAnsi="Palatino Linotype"/>
          <w:b/>
          <w:color w:val="000000" w:themeColor="text1"/>
        </w:rPr>
        <w:t>veinticinco de septiembre de dos mil veinticinco,</w:t>
      </w:r>
      <w:r w:rsidR="00B837B9" w:rsidRPr="006422A2">
        <w:rPr>
          <w:rFonts w:ascii="Palatino Linotype" w:hAnsi="Palatino Linotype"/>
          <w:color w:val="000000" w:themeColor="text1"/>
        </w:rPr>
        <w:t xml:space="preserve"> la particular interpuso el </w:t>
      </w:r>
      <w:r w:rsidR="00B837B9" w:rsidRPr="006422A2">
        <w:rPr>
          <w:rFonts w:ascii="Palatino Linotype" w:hAnsi="Palatino Linotype"/>
          <w:b/>
          <w:color w:val="000000" w:themeColor="text1"/>
        </w:rPr>
        <w:t xml:space="preserve">recurso de revisión </w:t>
      </w:r>
      <w:r w:rsidR="00B837B9" w:rsidRPr="006422A2">
        <w:rPr>
          <w:rFonts w:ascii="Palatino Linotype" w:hAnsi="Palatino Linotype"/>
          <w:color w:val="000000" w:themeColor="text1"/>
        </w:rPr>
        <w:t>respectivo, refiriendo sus razones o motivos de inconformidad que se describen a continuación en su sentido toral:</w:t>
      </w:r>
    </w:p>
    <w:p w:rsidR="00B837B9" w:rsidRPr="006422A2" w:rsidRDefault="00B837B9" w:rsidP="006422A2">
      <w:pPr>
        <w:jc w:val="both"/>
        <w:rPr>
          <w:rFonts w:ascii="Palatino Linotype" w:hAnsi="Palatino Linotype"/>
          <w:color w:val="000000" w:themeColor="text1"/>
        </w:rPr>
      </w:pPr>
    </w:p>
    <w:p w:rsidR="00B837B9" w:rsidRPr="00210F32" w:rsidRDefault="00B837B9" w:rsidP="00210F32">
      <w:pPr>
        <w:pStyle w:val="Prrafodelista"/>
        <w:numPr>
          <w:ilvl w:val="0"/>
          <w:numId w:val="17"/>
        </w:numPr>
        <w:jc w:val="both"/>
        <w:rPr>
          <w:rFonts w:ascii="Palatino Linotype" w:hAnsi="Palatino Linotype"/>
          <w:b/>
          <w:bCs/>
          <w:color w:val="000000" w:themeColor="text1"/>
        </w:rPr>
      </w:pPr>
      <w:r w:rsidRPr="00210F32">
        <w:rPr>
          <w:rFonts w:ascii="Palatino Linotype" w:hAnsi="Palatino Linotype"/>
          <w:b/>
          <w:bCs/>
          <w:color w:val="000000" w:themeColor="text1"/>
        </w:rPr>
        <w:t>Acto impugnado:</w:t>
      </w:r>
    </w:p>
    <w:p w:rsidR="00B837B9" w:rsidRPr="006422A2" w:rsidRDefault="00B837B9" w:rsidP="00210F32">
      <w:pPr>
        <w:ind w:firstLine="360"/>
        <w:jc w:val="both"/>
        <w:rPr>
          <w:rFonts w:ascii="Palatino Linotype" w:hAnsi="Palatino Linotype"/>
          <w:bCs/>
          <w:i/>
          <w:color w:val="000000" w:themeColor="text1"/>
        </w:rPr>
      </w:pPr>
      <w:r w:rsidRPr="006422A2">
        <w:rPr>
          <w:rFonts w:ascii="Palatino Linotype" w:hAnsi="Palatino Linotype"/>
          <w:bCs/>
          <w:i/>
          <w:color w:val="000000" w:themeColor="text1"/>
        </w:rPr>
        <w:t>“NO ME ENTREGARON LA INFORMACIÓN SOLICITADA” (Sic)</w:t>
      </w:r>
    </w:p>
    <w:p w:rsidR="00B837B9" w:rsidRPr="006422A2" w:rsidRDefault="00B837B9" w:rsidP="006422A2">
      <w:pPr>
        <w:jc w:val="both"/>
        <w:rPr>
          <w:rFonts w:ascii="Palatino Linotype" w:hAnsi="Palatino Linotype"/>
          <w:bCs/>
          <w:color w:val="000000" w:themeColor="text1"/>
        </w:rPr>
      </w:pPr>
    </w:p>
    <w:p w:rsidR="00B837B9" w:rsidRPr="00210F32" w:rsidRDefault="00B837B9" w:rsidP="00210F32">
      <w:pPr>
        <w:pStyle w:val="Prrafodelista"/>
        <w:numPr>
          <w:ilvl w:val="0"/>
          <w:numId w:val="17"/>
        </w:numPr>
        <w:jc w:val="both"/>
        <w:rPr>
          <w:rFonts w:ascii="Palatino Linotype" w:hAnsi="Palatino Linotype"/>
          <w:b/>
          <w:bCs/>
          <w:color w:val="000000" w:themeColor="text1"/>
        </w:rPr>
      </w:pPr>
      <w:r w:rsidRPr="00210F32">
        <w:rPr>
          <w:rFonts w:ascii="Palatino Linotype" w:hAnsi="Palatino Linotype"/>
          <w:b/>
          <w:bCs/>
          <w:color w:val="000000" w:themeColor="text1"/>
        </w:rPr>
        <w:t>Razones o motivos de la inconformidad:</w:t>
      </w:r>
    </w:p>
    <w:p w:rsidR="00B837B9" w:rsidRPr="006422A2" w:rsidRDefault="00B837B9" w:rsidP="00210F32">
      <w:pPr>
        <w:ind w:left="360"/>
        <w:jc w:val="both"/>
        <w:rPr>
          <w:rFonts w:ascii="Palatino Linotype" w:hAnsi="Palatino Linotype"/>
          <w:i/>
          <w:color w:val="000000" w:themeColor="text1"/>
        </w:rPr>
      </w:pPr>
      <w:r w:rsidRPr="006422A2">
        <w:rPr>
          <w:rFonts w:ascii="Palatino Linotype" w:hAnsi="Palatino Linotype"/>
          <w:i/>
          <w:color w:val="000000" w:themeColor="text1"/>
        </w:rPr>
        <w:t xml:space="preserve">“Ingrese una solicitud en el SARCOEM, el día 22 de agosto del año en curso, para solicitar copia certificada del Dictamen de Riesgo de Trabajo del </w:t>
      </w:r>
      <w:r w:rsidR="00EC3096">
        <w:rPr>
          <w:rFonts w:ascii="Palatino Linotype" w:hAnsi="Palatino Linotype"/>
          <w:i/>
          <w:color w:val="000000" w:themeColor="text1"/>
        </w:rPr>
        <w:t>XXXX</w:t>
      </w:r>
      <w:r w:rsidRPr="006422A2">
        <w:rPr>
          <w:rFonts w:ascii="Palatino Linotype" w:hAnsi="Palatino Linotype"/>
          <w:i/>
          <w:color w:val="000000" w:themeColor="text1"/>
        </w:rPr>
        <w:t xml:space="preserve">, quien laboraba para la Dirección de Seguridad Pública y Tránsito Municipal de Amecameca y quien falleció el día 21 de agosto de 2024, con la finalidad de ingresar dicho documento al Expediente Número: SAE/483/2024, del Tribunal Estatal de Conciliación y Arbitraje del Estado de México, Sala Auxiliar de Ecatepec, dicho dictamen se elaboro en el Hospital Regional Nezahualcóyotl, en el año 2025.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con los documentos que adjunte a la solicitud, siendo los siguientes: acta de defunción, acta de matrimonio e identificaciones oficiales. Por lo </w:t>
      </w:r>
      <w:r w:rsidRPr="006422A2">
        <w:rPr>
          <w:rFonts w:ascii="Palatino Linotype" w:hAnsi="Palatino Linotype"/>
          <w:i/>
          <w:color w:val="000000" w:themeColor="text1"/>
        </w:rPr>
        <w:lastRenderedPageBreak/>
        <w:t xml:space="preserve">anterior, solicito al ISSEMYM, que se me entregue copia certificada del Dictamen de Riesgo de Trabajo del </w:t>
      </w:r>
      <w:r w:rsidR="00EC3096">
        <w:rPr>
          <w:rFonts w:ascii="Palatino Linotype" w:hAnsi="Palatino Linotype"/>
          <w:i/>
          <w:color w:val="000000" w:themeColor="text1"/>
        </w:rPr>
        <w:t>XXXX</w:t>
      </w:r>
      <w:r w:rsidRPr="006422A2">
        <w:rPr>
          <w:rFonts w:ascii="Palatino Linotype" w:hAnsi="Palatino Linotype"/>
          <w:i/>
          <w:color w:val="000000" w:themeColor="text1"/>
        </w:rPr>
        <w:t xml:space="preserve">, clave ISSEMYM </w:t>
      </w:r>
      <w:r w:rsidR="00EC3096">
        <w:rPr>
          <w:rFonts w:ascii="Palatino Linotype" w:hAnsi="Palatino Linotype"/>
          <w:i/>
          <w:color w:val="000000" w:themeColor="text1"/>
        </w:rPr>
        <w:t>XXXX</w:t>
      </w:r>
      <w:r w:rsidRPr="006422A2">
        <w:rPr>
          <w:rFonts w:ascii="Palatino Linotype" w:hAnsi="Palatino Linotype"/>
          <w:i/>
          <w:color w:val="000000" w:themeColor="text1"/>
        </w:rPr>
        <w:t>, elaborado en el Hospital Regional Nezahualcóyotl en el año 2025, el cual me requiere el Tribunal Estatal de Conciliación y Arbitraje del Estado de México, Sala Auxiliar de Ecatepec, para ingresarlo al Expediente Número: SAE/483/2024.” (Sic)</w:t>
      </w:r>
    </w:p>
    <w:p w:rsidR="00F229F3" w:rsidRPr="006422A2" w:rsidRDefault="00F229F3" w:rsidP="006422A2">
      <w:pP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b/>
          <w:color w:val="000000" w:themeColor="text1"/>
        </w:rPr>
        <w:t>C</w:t>
      </w:r>
      <w:r w:rsidRPr="006422A2">
        <w:rPr>
          <w:rFonts w:ascii="Palatino Linotype" w:eastAsia="Palatino Linotype" w:hAnsi="Palatino Linotype" w:cs="Palatino Linotype"/>
          <w:color w:val="000000" w:themeColor="text1"/>
        </w:rPr>
        <w:t xml:space="preserve">on fundamento en los artículos 11, 127 y 131, de la </w:t>
      </w:r>
      <w:r w:rsidRPr="006422A2">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6422A2">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en fecha </w:t>
      </w:r>
      <w:r w:rsidR="0059452D" w:rsidRPr="006422A2">
        <w:rPr>
          <w:rFonts w:ascii="Palatino Linotype" w:eastAsia="Palatino Linotype" w:hAnsi="Palatino Linotype" w:cs="Palatino Linotype"/>
          <w:b/>
          <w:color w:val="000000" w:themeColor="text1"/>
        </w:rPr>
        <w:t>veintinueve</w:t>
      </w:r>
      <w:r w:rsidRPr="006422A2">
        <w:rPr>
          <w:rFonts w:ascii="Palatino Linotype" w:eastAsia="Palatino Linotype" w:hAnsi="Palatino Linotype" w:cs="Palatino Linotype"/>
          <w:b/>
          <w:color w:val="000000" w:themeColor="text1"/>
        </w:rPr>
        <w:t xml:space="preserve"> de septiembre de dos mil veinticinco</w:t>
      </w:r>
      <w:r w:rsidRPr="006422A2">
        <w:rPr>
          <w:rFonts w:ascii="Palatino Linotype" w:eastAsia="Palatino Linotype" w:hAnsi="Palatino Linotype" w:cs="Palatino Linotype"/>
          <w:color w:val="000000" w:themeColor="text1"/>
        </w:rPr>
        <w:t xml:space="preserve">, </w:t>
      </w:r>
      <w:r w:rsidRPr="006422A2">
        <w:rPr>
          <w:rFonts w:ascii="Palatino Linotype" w:eastAsia="Palatino Linotype" w:hAnsi="Palatino Linotype" w:cs="Palatino Linotype"/>
          <w:b/>
          <w:color w:val="000000" w:themeColor="text1"/>
          <w:lang w:val="es-ES"/>
        </w:rPr>
        <w:t>se admite</w:t>
      </w:r>
      <w:r w:rsidRPr="006422A2">
        <w:rPr>
          <w:rFonts w:ascii="Palatino Linotype" w:eastAsia="Palatino Linotype" w:hAnsi="Palatino Linotype" w:cs="Palatino Linotype"/>
          <w:color w:val="000000" w:themeColor="text1"/>
          <w:lang w:val="es-ES"/>
        </w:rPr>
        <w:t xml:space="preserve"> a trámite el recurso de revisión </w:t>
      </w:r>
      <w:r w:rsidR="009E6013" w:rsidRPr="006422A2">
        <w:rPr>
          <w:rFonts w:ascii="Palatino Linotype" w:eastAsia="Palatino Linotype" w:hAnsi="Palatino Linotype" w:cs="Palatino Linotype"/>
          <w:b/>
          <w:color w:val="000000" w:themeColor="text1"/>
          <w:lang w:val="es-ES"/>
        </w:rPr>
        <w:t>11058</w:t>
      </w:r>
      <w:r w:rsidRPr="006422A2">
        <w:rPr>
          <w:rFonts w:ascii="Palatino Linotype" w:eastAsia="Palatino Linotype" w:hAnsi="Palatino Linotype" w:cs="Palatino Linotype"/>
          <w:b/>
          <w:color w:val="000000" w:themeColor="text1"/>
          <w:lang w:val="es-ES"/>
        </w:rPr>
        <w:t>/INFOEM/AD/RR/2025</w:t>
      </w:r>
      <w:r w:rsidRPr="006422A2">
        <w:rPr>
          <w:rFonts w:ascii="Palatino Linotype" w:eastAsia="Palatino Linotype" w:hAnsi="Palatino Linotype" w:cs="Palatino Linotype"/>
          <w:color w:val="000000" w:themeColor="text1"/>
          <w:lang w:val="es-ES"/>
        </w:rPr>
        <w:t>; para lo cual, intégrese el expediente respectivo y quédese a disposición de las partes el mismo para su consulta.</w:t>
      </w:r>
    </w:p>
    <w:p w:rsidR="00F229F3" w:rsidRPr="006422A2" w:rsidRDefault="00F229F3" w:rsidP="006422A2">
      <w:pP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En la misma fecha, </w:t>
      </w:r>
      <w:r w:rsidRPr="006422A2">
        <w:rPr>
          <w:rFonts w:ascii="Palatino Linotype" w:hAnsi="Palatino Linotype"/>
          <w:color w:val="000000" w:themeColor="text1"/>
        </w:rPr>
        <w:t xml:space="preserve">con fundamento en lo dispuesto en el artículo 132, fracción I, de la Ley de Protección de Datos Personales en Posesión de Sujetos Obligados del Estado de México y Municipios </w:t>
      </w:r>
      <w:r w:rsidRPr="006422A2">
        <w:rPr>
          <w:rFonts w:ascii="Palatino Linotype" w:hAnsi="Palatino Linotype"/>
          <w:b/>
          <w:color w:val="000000" w:themeColor="text1"/>
        </w:rPr>
        <w:t>se requiere a las partes para</w:t>
      </w:r>
      <w:r w:rsidRPr="006422A2">
        <w:rPr>
          <w:rFonts w:ascii="Palatino Linotype" w:hAnsi="Palatino Linotype"/>
          <w:color w:val="000000" w:themeColor="text1"/>
        </w:rPr>
        <w:t xml:space="preserve"> </w:t>
      </w:r>
      <w:r w:rsidRPr="006422A2">
        <w:rPr>
          <w:rFonts w:ascii="Palatino Linotype" w:hAnsi="Palatino Linotype"/>
          <w:b/>
          <w:color w:val="000000" w:themeColor="text1"/>
        </w:rPr>
        <w:t>manifestar</w:t>
      </w:r>
      <w:r w:rsidRPr="006422A2">
        <w:rPr>
          <w:rFonts w:ascii="Palatino Linotype" w:hAnsi="Palatino Linotype"/>
          <w:color w:val="000000" w:themeColor="text1"/>
        </w:rPr>
        <w:t xml:space="preserve"> si es </w:t>
      </w:r>
      <w:r w:rsidRPr="006422A2">
        <w:rPr>
          <w:rFonts w:ascii="Palatino Linotype" w:hAnsi="Palatino Linotype"/>
          <w:b/>
          <w:color w:val="000000" w:themeColor="text1"/>
        </w:rPr>
        <w:t>su voluntad conciliar en el presente asunto</w:t>
      </w:r>
      <w:r w:rsidRPr="006422A2">
        <w:rPr>
          <w:rFonts w:ascii="Palatino Linotype" w:hAnsi="Palatino Linotype"/>
          <w:color w:val="000000" w:themeColor="text1"/>
        </w:rPr>
        <w:t>. Asimismo, con fundamento en el artículo 134 de la Ley de Protección de Datos Personales en Posesión de Sujetos Obligados del Estado de México y Municipios, dentro del plazo señalado, las partes se encuentran en oportunidad de aportar argumentos y de presentar las constancias que consideren idóneas a fin de fundar y motivar sus pretensiones</w:t>
      </w:r>
      <w:r w:rsidRPr="006422A2">
        <w:rPr>
          <w:rFonts w:ascii="Palatino Linotype" w:eastAsia="Palatino Linotype" w:hAnsi="Palatino Linotype" w:cs="Palatino Linotype"/>
          <w:color w:val="000000" w:themeColor="text1"/>
        </w:rPr>
        <w:t>.</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De lo anterior, tal y como se muestra en el expediente electrónico, las partes aceptaron conciliar, situación por la cual </w:t>
      </w:r>
      <w:r w:rsidRPr="006422A2">
        <w:rPr>
          <w:rFonts w:ascii="Palatino Linotype" w:eastAsia="Palatino Linotype" w:hAnsi="Palatino Linotype" w:cs="Palatino Linotype"/>
          <w:color w:val="000000" w:themeColor="text1"/>
          <w:lang w:val="es-ES"/>
        </w:rPr>
        <w:t xml:space="preserve">se señalan las </w:t>
      </w:r>
      <w:r w:rsidR="00F21522" w:rsidRPr="006422A2">
        <w:rPr>
          <w:rFonts w:ascii="Palatino Linotype" w:eastAsia="Palatino Linotype" w:hAnsi="Palatino Linotype" w:cs="Palatino Linotype"/>
          <w:color w:val="000000" w:themeColor="text1"/>
          <w:lang w:val="es-ES"/>
        </w:rPr>
        <w:t xml:space="preserve">10:00 horas del viernes 10 de octubre de 2025, para que se lleve a cabo la </w:t>
      </w:r>
      <w:r w:rsidR="00F21522" w:rsidRPr="006422A2">
        <w:rPr>
          <w:rFonts w:ascii="Palatino Linotype" w:eastAsia="Palatino Linotype" w:hAnsi="Palatino Linotype" w:cs="Palatino Linotype"/>
          <w:b/>
          <w:color w:val="000000" w:themeColor="text1"/>
          <w:lang w:val="es-ES"/>
        </w:rPr>
        <w:t>AUDIENCIA DE CONCILIACIÓN</w:t>
      </w:r>
      <w:r w:rsidR="001C146F" w:rsidRPr="006422A2">
        <w:rPr>
          <w:rFonts w:ascii="Palatino Linotype" w:eastAsia="Palatino Linotype" w:hAnsi="Palatino Linotype" w:cs="Palatino Linotype"/>
          <w:color w:val="000000" w:themeColor="text1"/>
          <w:lang w:val="es-ES"/>
        </w:rPr>
        <w:t>.</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lastRenderedPageBreak/>
        <w:t xml:space="preserve">El </w:t>
      </w:r>
      <w:r w:rsidR="002379E8" w:rsidRPr="006422A2">
        <w:rPr>
          <w:rFonts w:ascii="Palatino Linotype" w:eastAsia="Palatino Linotype" w:hAnsi="Palatino Linotype" w:cs="Palatino Linotype"/>
          <w:b/>
          <w:color w:val="000000" w:themeColor="text1"/>
        </w:rPr>
        <w:t>diez</w:t>
      </w:r>
      <w:r w:rsidRPr="006422A2">
        <w:rPr>
          <w:rFonts w:ascii="Palatino Linotype" w:eastAsia="Palatino Linotype" w:hAnsi="Palatino Linotype" w:cs="Palatino Linotype"/>
          <w:b/>
          <w:color w:val="000000" w:themeColor="text1"/>
        </w:rPr>
        <w:t xml:space="preserve"> de octubre de dos mil veinticinco </w:t>
      </w:r>
      <w:r w:rsidRPr="006422A2">
        <w:rPr>
          <w:rFonts w:ascii="Palatino Linotype" w:eastAsia="Palatino Linotype" w:hAnsi="Palatino Linotype" w:cs="Palatino Linotype"/>
          <w:color w:val="000000" w:themeColor="text1"/>
        </w:rPr>
        <w:t xml:space="preserve">se aperturó la etapa de manifestaciones, </w:t>
      </w:r>
      <w:r w:rsidRPr="006422A2">
        <w:rPr>
          <w:rFonts w:ascii="Palatino Linotype" w:eastAsia="Palatino Linotype" w:hAnsi="Palatino Linotype" w:cs="Palatino Linotype"/>
          <w:color w:val="000000" w:themeColor="text1"/>
          <w:lang w:val="es-ES_tradnl"/>
        </w:rPr>
        <w:t xml:space="preserve">la parte Recurrente no realizó manifestaciones, alegatos ni presentó pruebas que a su derecho convinieran. Por su parte, el Sujeto Obligado rindió el Informe Justificado el </w:t>
      </w:r>
      <w:r w:rsidR="008C405A" w:rsidRPr="006422A2">
        <w:rPr>
          <w:rFonts w:ascii="Palatino Linotype" w:eastAsia="Palatino Linotype" w:hAnsi="Palatino Linotype" w:cs="Palatino Linotype"/>
          <w:b/>
          <w:color w:val="000000" w:themeColor="text1"/>
        </w:rPr>
        <w:t>diez de octubre de dos mil veinticinco</w:t>
      </w:r>
      <w:r w:rsidRPr="006422A2">
        <w:rPr>
          <w:rFonts w:ascii="Palatino Linotype" w:eastAsia="Palatino Linotype" w:hAnsi="Palatino Linotype" w:cs="Palatino Linotype"/>
          <w:color w:val="000000" w:themeColor="text1"/>
          <w:lang w:val="es-ES_tradnl"/>
        </w:rPr>
        <w:t>, adjuntando el archivo electrónico que se describen a continuación:</w:t>
      </w:r>
      <w:r w:rsidRPr="006422A2">
        <w:rPr>
          <w:rFonts w:ascii="Palatino Linotype" w:eastAsia="Palatino Linotype" w:hAnsi="Palatino Linotype" w:cs="Palatino Linotype"/>
          <w:color w:val="000000" w:themeColor="text1"/>
        </w:rPr>
        <w:t xml:space="preserve"> </w:t>
      </w:r>
    </w:p>
    <w:p w:rsidR="00D67C45" w:rsidRPr="006422A2" w:rsidRDefault="00D67C45" w:rsidP="006422A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6422A2">
        <w:rPr>
          <w:rFonts w:ascii="Palatino Linotype" w:eastAsia="Palatino Linotype" w:hAnsi="Palatino Linotype" w:cs="Palatino Linotype"/>
          <w:b/>
          <w:i/>
          <w:color w:val="000000" w:themeColor="text1"/>
        </w:rPr>
        <w:t xml:space="preserve">ACUSE DE RECIBIDO 1089.AD.pdf </w:t>
      </w:r>
    </w:p>
    <w:p w:rsidR="00F229F3" w:rsidRPr="006422A2" w:rsidRDefault="00F229F3" w:rsidP="006422A2">
      <w:pPr>
        <w:pBdr>
          <w:top w:val="nil"/>
          <w:left w:val="nil"/>
          <w:bottom w:val="nil"/>
          <w:right w:val="nil"/>
          <w:between w:val="nil"/>
        </w:pBdr>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Documento de fecha </w:t>
      </w:r>
      <w:r w:rsidR="00D67C45" w:rsidRPr="006422A2">
        <w:rPr>
          <w:rFonts w:ascii="Palatino Linotype" w:eastAsia="Palatino Linotype" w:hAnsi="Palatino Linotype" w:cs="Palatino Linotype"/>
          <w:color w:val="000000" w:themeColor="text1"/>
        </w:rPr>
        <w:t>10</w:t>
      </w:r>
      <w:r w:rsidRPr="006422A2">
        <w:rPr>
          <w:rFonts w:ascii="Palatino Linotype" w:eastAsia="Palatino Linotype" w:hAnsi="Palatino Linotype" w:cs="Palatino Linotype"/>
          <w:color w:val="000000" w:themeColor="text1"/>
        </w:rPr>
        <w:t xml:space="preserve"> de octubre de 2025, firmado por la Jefa del Departamento de Acceso a la Información Institucional en el que refiere derivado de la audiencia de conciliación desarrollada el </w:t>
      </w:r>
      <w:r w:rsidR="00D67C45" w:rsidRPr="006422A2">
        <w:rPr>
          <w:rFonts w:ascii="Palatino Linotype" w:eastAsia="Palatino Linotype" w:hAnsi="Palatino Linotype" w:cs="Palatino Linotype"/>
          <w:color w:val="000000" w:themeColor="text1"/>
        </w:rPr>
        <w:t>10</w:t>
      </w:r>
      <w:r w:rsidRPr="006422A2">
        <w:rPr>
          <w:rFonts w:ascii="Palatino Linotype" w:eastAsia="Palatino Linotype" w:hAnsi="Palatino Linotype" w:cs="Palatino Linotype"/>
          <w:color w:val="000000" w:themeColor="text1"/>
        </w:rPr>
        <w:t xml:space="preserve"> de octubre de 2025, en la que las partes llegaron a un acuerdo, por lo que una vez corroborada la personalidad e interés jurídico y legítimo de la parte recurrente, se le da acceso a los datos personales solicitados, acusando de recibido a entera satisfacción.</w:t>
      </w:r>
    </w:p>
    <w:p w:rsidR="00F229F3" w:rsidRPr="006422A2" w:rsidRDefault="00F229F3" w:rsidP="006422A2">
      <w:pPr>
        <w:pBdr>
          <w:top w:val="nil"/>
          <w:left w:val="nil"/>
          <w:bottom w:val="nil"/>
          <w:right w:val="nil"/>
          <w:between w:val="nil"/>
        </w:pBdr>
        <w:jc w:val="both"/>
        <w:rPr>
          <w:rFonts w:ascii="Palatino Linotype" w:eastAsia="Palatino Linotype" w:hAnsi="Palatino Linotype" w:cs="Palatino Linotype"/>
          <w:color w:val="000000" w:themeColor="text1"/>
        </w:rPr>
      </w:pPr>
    </w:p>
    <w:p w:rsidR="00F229F3" w:rsidRPr="006422A2" w:rsidRDefault="00F229F3" w:rsidP="006422A2">
      <w:pP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En fecha </w:t>
      </w:r>
      <w:r w:rsidR="00E06377" w:rsidRPr="006422A2">
        <w:rPr>
          <w:rFonts w:ascii="Palatino Linotype" w:eastAsia="Palatino Linotype" w:hAnsi="Palatino Linotype" w:cs="Palatino Linotype"/>
          <w:b/>
          <w:color w:val="000000" w:themeColor="text1"/>
        </w:rPr>
        <w:t>veintidós</w:t>
      </w:r>
      <w:r w:rsidRPr="006422A2">
        <w:rPr>
          <w:rFonts w:ascii="Palatino Linotype" w:eastAsia="Palatino Linotype" w:hAnsi="Palatino Linotype" w:cs="Palatino Linotype"/>
          <w:b/>
          <w:color w:val="000000" w:themeColor="text1"/>
        </w:rPr>
        <w:t xml:space="preserve"> de octubre de dos mil veinticinco</w:t>
      </w:r>
      <w:r w:rsidRPr="006422A2">
        <w:rPr>
          <w:rFonts w:ascii="Palatino Linotype" w:eastAsia="Palatino Linotype" w:hAnsi="Palatino Linotype" w:cs="Palatino Linotype"/>
          <w:color w:val="000000" w:themeColor="text1"/>
        </w:rPr>
        <w:t xml:space="preserve">, se decretó el cierre de instrucción del recurso de revisión referido al rubro. </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En razón de que fue debidamente sustanciado el expediente electrónico y no existe diligencia pendiente de desahogo, se emite la Resolución que conforme a Derecho proceda:</w:t>
      </w:r>
    </w:p>
    <w:p w:rsidR="00F229F3" w:rsidRPr="006422A2" w:rsidRDefault="00F229F3" w:rsidP="006422A2">
      <w:pPr>
        <w:pBdr>
          <w:top w:val="nil"/>
          <w:left w:val="nil"/>
          <w:bottom w:val="nil"/>
          <w:right w:val="nil"/>
          <w:between w:val="nil"/>
        </w:pBdr>
        <w:rPr>
          <w:rFonts w:ascii="Palatino Linotype" w:eastAsia="Palatino Linotype" w:hAnsi="Palatino Linotype" w:cs="Palatino Linotype"/>
          <w:color w:val="000000" w:themeColor="text1"/>
        </w:rPr>
      </w:pPr>
    </w:p>
    <w:p w:rsidR="00F229F3" w:rsidRPr="006422A2" w:rsidRDefault="00F229F3" w:rsidP="006422A2">
      <w:pPr>
        <w:pBdr>
          <w:top w:val="nil"/>
          <w:left w:val="nil"/>
          <w:bottom w:val="nil"/>
          <w:right w:val="nil"/>
          <w:between w:val="nil"/>
        </w:pBdr>
        <w:rPr>
          <w:rFonts w:ascii="Palatino Linotype" w:eastAsia="Palatino Linotype" w:hAnsi="Palatino Linotype" w:cs="Palatino Linotype"/>
          <w:color w:val="000000" w:themeColor="text1"/>
        </w:rPr>
      </w:pPr>
    </w:p>
    <w:p w:rsidR="00F229F3" w:rsidRPr="006422A2" w:rsidRDefault="00F229F3" w:rsidP="006422A2">
      <w:pPr>
        <w:pStyle w:val="Ttulo2"/>
        <w:jc w:val="center"/>
        <w:rPr>
          <w:rFonts w:ascii="Palatino Linotype" w:hAnsi="Palatino Linotype" w:cs="Palatino Linotype"/>
          <w:b/>
          <w:color w:val="000000" w:themeColor="text1"/>
          <w:sz w:val="24"/>
          <w:szCs w:val="24"/>
        </w:rPr>
      </w:pPr>
      <w:r w:rsidRPr="006422A2">
        <w:rPr>
          <w:rFonts w:ascii="Palatino Linotype" w:hAnsi="Palatino Linotype" w:cs="Palatino Linotype"/>
          <w:b/>
          <w:color w:val="000000" w:themeColor="text1"/>
          <w:sz w:val="24"/>
          <w:szCs w:val="24"/>
        </w:rPr>
        <w:t>C</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O</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N</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S</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I</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D</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E</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R</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A</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N</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D</w:t>
      </w:r>
      <w:r w:rsidR="00210F32">
        <w:rPr>
          <w:rFonts w:ascii="Palatino Linotype" w:hAnsi="Palatino Linotype" w:cs="Palatino Linotype"/>
          <w:b/>
          <w:color w:val="000000" w:themeColor="text1"/>
          <w:sz w:val="24"/>
          <w:szCs w:val="24"/>
        </w:rPr>
        <w:t xml:space="preserve"> </w:t>
      </w:r>
      <w:r w:rsidRPr="006422A2">
        <w:rPr>
          <w:rFonts w:ascii="Palatino Linotype" w:hAnsi="Palatino Linotype" w:cs="Palatino Linotype"/>
          <w:b/>
          <w:color w:val="000000" w:themeColor="text1"/>
          <w:sz w:val="24"/>
          <w:szCs w:val="24"/>
        </w:rPr>
        <w:t>O</w:t>
      </w:r>
    </w:p>
    <w:p w:rsidR="00F229F3" w:rsidRPr="006422A2" w:rsidRDefault="00F229F3" w:rsidP="006422A2">
      <w:pPr>
        <w:pStyle w:val="Ttulo2"/>
        <w:rPr>
          <w:rFonts w:ascii="Palatino Linotype" w:hAnsi="Palatino Linotype" w:cs="Palatino Linotype"/>
          <w:b/>
          <w:color w:val="000000" w:themeColor="text1"/>
          <w:sz w:val="24"/>
          <w:szCs w:val="24"/>
        </w:rPr>
      </w:pPr>
    </w:p>
    <w:p w:rsidR="00F229F3" w:rsidRPr="006422A2" w:rsidRDefault="00F229F3" w:rsidP="006422A2">
      <w:pPr>
        <w:pStyle w:val="Ttulo2"/>
        <w:spacing w:before="0" w:line="360" w:lineRule="auto"/>
        <w:rPr>
          <w:rFonts w:ascii="Palatino Linotype" w:eastAsia="Palatino Linotype" w:hAnsi="Palatino Linotype" w:cs="Palatino Linotype"/>
          <w:b/>
          <w:color w:val="000000" w:themeColor="text1"/>
          <w:sz w:val="24"/>
          <w:szCs w:val="24"/>
        </w:rPr>
      </w:pPr>
      <w:r w:rsidRPr="006422A2">
        <w:rPr>
          <w:rFonts w:ascii="Palatino Linotype" w:eastAsia="Palatino Linotype" w:hAnsi="Palatino Linotype" w:cs="Palatino Linotype"/>
          <w:b/>
          <w:color w:val="000000" w:themeColor="text1"/>
          <w:sz w:val="24"/>
          <w:szCs w:val="24"/>
          <w:lang w:val="es-MX" w:eastAsia="es-MX"/>
        </w:rPr>
        <w:t>PRIMERO. De la competencia</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fracciones II y IV; 13, 29, </w:t>
      </w:r>
      <w:r w:rsidRPr="006422A2">
        <w:rPr>
          <w:rFonts w:ascii="Palatino Linotype" w:eastAsia="Palatino Linotype" w:hAnsi="Palatino Linotype" w:cs="Palatino Linotype"/>
          <w:color w:val="000000" w:themeColor="text1"/>
        </w:rPr>
        <w:lastRenderedPageBreak/>
        <w:t>36, fracciones I y II; 176, 178, 179, 181 párrafo tercero, 185, 188 y 189 de la Ley Transparencia y Acceso a la Información Pública del Estado de México y Municipios;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keepNext/>
        <w:keepLines/>
        <w:spacing w:line="360" w:lineRule="auto"/>
        <w:rPr>
          <w:rFonts w:ascii="Palatino Linotype" w:eastAsia="Palatino Linotype" w:hAnsi="Palatino Linotype" w:cs="Palatino Linotype"/>
          <w:b/>
          <w:color w:val="000000" w:themeColor="text1"/>
        </w:rPr>
      </w:pPr>
      <w:r w:rsidRPr="006422A2">
        <w:rPr>
          <w:rFonts w:ascii="Palatino Linotype" w:eastAsia="Palatino Linotype" w:hAnsi="Palatino Linotype" w:cs="Palatino Linotype"/>
          <w:b/>
          <w:color w:val="000000" w:themeColor="text1"/>
        </w:rPr>
        <w:t>SEGUNDO. De la oportunidad y procedencia.</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F229F3" w:rsidRPr="006422A2" w:rsidRDefault="00F229F3" w:rsidP="006422A2">
      <w:pPr>
        <w:spacing w:line="276" w:lineRule="auto"/>
        <w:jc w:val="both"/>
        <w:rPr>
          <w:rFonts w:ascii="Palatino Linotype" w:eastAsia="Palatino Linotype" w:hAnsi="Palatino Linotype" w:cs="Palatino Linotype"/>
          <w:i/>
          <w:color w:val="000000" w:themeColor="text1"/>
        </w:rPr>
      </w:pPr>
      <w:r w:rsidRPr="006422A2">
        <w:rPr>
          <w:rFonts w:ascii="Palatino Linotype" w:eastAsia="Palatino Linotype" w:hAnsi="Palatino Linotype" w:cs="Palatino Linotype"/>
          <w:i/>
          <w:color w:val="000000" w:themeColor="text1"/>
        </w:rPr>
        <w:t>“</w:t>
      </w:r>
      <w:r w:rsidRPr="006422A2">
        <w:rPr>
          <w:rFonts w:ascii="Palatino Linotype" w:eastAsia="Palatino Linotype" w:hAnsi="Palatino Linotype" w:cs="Palatino Linotype"/>
          <w:b/>
          <w:i/>
          <w:color w:val="000000" w:themeColor="text1"/>
        </w:rPr>
        <w:t>Artículo 128.</w:t>
      </w:r>
      <w:r w:rsidRPr="006422A2">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F229F3" w:rsidRPr="006422A2" w:rsidRDefault="00F229F3" w:rsidP="006422A2">
      <w:pPr>
        <w:spacing w:line="276" w:lineRule="auto"/>
        <w:jc w:val="both"/>
        <w:rPr>
          <w:rFonts w:ascii="Palatino Linotype" w:eastAsia="Palatino Linotype" w:hAnsi="Palatino Linotype" w:cs="Palatino Linotype"/>
          <w:i/>
          <w:color w:val="000000" w:themeColor="text1"/>
        </w:rPr>
      </w:pPr>
    </w:p>
    <w:p w:rsidR="00F229F3" w:rsidRPr="006422A2" w:rsidRDefault="00F229F3" w:rsidP="006422A2">
      <w:pPr>
        <w:spacing w:line="276" w:lineRule="auto"/>
        <w:jc w:val="both"/>
        <w:rPr>
          <w:rFonts w:ascii="Palatino Linotype" w:eastAsia="Palatino Linotype" w:hAnsi="Palatino Linotype" w:cs="Palatino Linotype"/>
          <w:i/>
          <w:color w:val="000000" w:themeColor="text1"/>
        </w:rPr>
      </w:pPr>
      <w:r w:rsidRPr="006422A2">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F229F3" w:rsidRPr="006422A2" w:rsidRDefault="00F229F3" w:rsidP="006422A2">
      <w:pP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En esa tesitura, atendiendo a que el </w:t>
      </w:r>
      <w:r w:rsidRPr="006422A2">
        <w:rPr>
          <w:rFonts w:ascii="Palatino Linotype" w:eastAsia="Palatino Linotype" w:hAnsi="Palatino Linotype" w:cs="Palatino Linotype"/>
          <w:b/>
          <w:color w:val="000000" w:themeColor="text1"/>
        </w:rPr>
        <w:t>Sujeto Obligado</w:t>
      </w:r>
      <w:r w:rsidRPr="006422A2">
        <w:rPr>
          <w:rFonts w:ascii="Palatino Linotype" w:eastAsia="Palatino Linotype" w:hAnsi="Palatino Linotype" w:cs="Palatino Linotype"/>
          <w:color w:val="000000" w:themeColor="text1"/>
        </w:rPr>
        <w:t xml:space="preserve"> notificó la solicitud de aclaración el </w:t>
      </w:r>
      <w:r w:rsidR="005A55E8" w:rsidRPr="006422A2">
        <w:rPr>
          <w:rFonts w:ascii="Palatino Linotype" w:eastAsia="Palatino Linotype" w:hAnsi="Palatino Linotype" w:cs="Palatino Linotype"/>
          <w:b/>
          <w:color w:val="000000" w:themeColor="text1"/>
        </w:rPr>
        <w:t>veintisiete de agosto</w:t>
      </w:r>
      <w:r w:rsidRPr="006422A2">
        <w:rPr>
          <w:rFonts w:ascii="Palatino Linotype" w:eastAsia="Palatino Linotype" w:hAnsi="Palatino Linotype" w:cs="Palatino Linotype"/>
          <w:b/>
          <w:color w:val="000000" w:themeColor="text1"/>
        </w:rPr>
        <w:t xml:space="preserve"> de dos mil veinticinco</w:t>
      </w:r>
      <w:r w:rsidRPr="006422A2">
        <w:rPr>
          <w:rFonts w:ascii="Palatino Linotype" w:eastAsia="Palatino Linotype" w:hAnsi="Palatino Linotype" w:cs="Palatino Linotype"/>
          <w:color w:val="000000" w:themeColor="text1"/>
        </w:rPr>
        <w:t xml:space="preserve">, posteriormente notifico la falta de aclaración a la solicitud de información el </w:t>
      </w:r>
      <w:r w:rsidR="00452C86" w:rsidRPr="006422A2">
        <w:rPr>
          <w:rFonts w:ascii="Palatino Linotype" w:eastAsia="Palatino Linotype" w:hAnsi="Palatino Linotype" w:cs="Palatino Linotype"/>
          <w:b/>
          <w:color w:val="000000" w:themeColor="text1"/>
        </w:rPr>
        <w:t>veintidós de septiembre</w:t>
      </w:r>
      <w:r w:rsidRPr="006422A2">
        <w:rPr>
          <w:rFonts w:ascii="Palatino Linotype" w:eastAsia="Palatino Linotype" w:hAnsi="Palatino Linotype" w:cs="Palatino Linotype"/>
          <w:b/>
          <w:color w:val="000000" w:themeColor="text1"/>
        </w:rPr>
        <w:t xml:space="preserve"> de dos mil veinticinco</w:t>
      </w:r>
      <w:r w:rsidRPr="006422A2">
        <w:rPr>
          <w:rFonts w:ascii="Palatino Linotype" w:eastAsia="Palatino Linotype" w:hAnsi="Palatino Linotype" w:cs="Palatino Linotype"/>
          <w:color w:val="000000" w:themeColor="text1"/>
        </w:rPr>
        <w:t xml:space="preserve">, por lo que  el plazo de quince días hábiles que contempla el artículo 128, de la Ley de Protección de Datos Personales en Posesión de Sujetos Obligados del Estado de </w:t>
      </w:r>
      <w:r w:rsidRPr="006422A2">
        <w:rPr>
          <w:rFonts w:ascii="Palatino Linotype" w:eastAsia="Palatino Linotype" w:hAnsi="Palatino Linotype" w:cs="Palatino Linotype"/>
          <w:color w:val="000000" w:themeColor="text1"/>
        </w:rPr>
        <w:lastRenderedPageBreak/>
        <w:t>México y Municipios, transcurrió del</w:t>
      </w:r>
      <w:r w:rsidRPr="006422A2">
        <w:rPr>
          <w:rFonts w:ascii="Palatino Linotype" w:eastAsia="Palatino Linotype" w:hAnsi="Palatino Linotype" w:cs="Palatino Linotype"/>
          <w:b/>
          <w:color w:val="000000" w:themeColor="text1"/>
        </w:rPr>
        <w:t xml:space="preserve"> </w:t>
      </w:r>
      <w:r w:rsidR="00157CD7" w:rsidRPr="006422A2">
        <w:rPr>
          <w:rFonts w:ascii="Palatino Linotype" w:eastAsia="Palatino Linotype" w:hAnsi="Palatino Linotype" w:cs="Palatino Linotype"/>
          <w:b/>
          <w:color w:val="000000" w:themeColor="text1"/>
        </w:rPr>
        <w:t>veintitrés</w:t>
      </w:r>
      <w:r w:rsidRPr="006422A2">
        <w:rPr>
          <w:rFonts w:ascii="Palatino Linotype" w:eastAsia="Palatino Linotype" w:hAnsi="Palatino Linotype" w:cs="Palatino Linotype"/>
          <w:b/>
          <w:color w:val="000000" w:themeColor="text1"/>
        </w:rPr>
        <w:t xml:space="preserve"> de septiembre</w:t>
      </w:r>
      <w:r w:rsidR="00157CD7" w:rsidRPr="006422A2">
        <w:rPr>
          <w:rFonts w:ascii="Palatino Linotype" w:eastAsia="Palatino Linotype" w:hAnsi="Palatino Linotype" w:cs="Palatino Linotype"/>
          <w:b/>
          <w:color w:val="000000" w:themeColor="text1"/>
        </w:rPr>
        <w:t xml:space="preserve"> al trece de octubre</w:t>
      </w:r>
      <w:r w:rsidRPr="006422A2">
        <w:rPr>
          <w:rFonts w:ascii="Palatino Linotype" w:eastAsia="Palatino Linotype" w:hAnsi="Palatino Linotype" w:cs="Palatino Linotype"/>
          <w:b/>
          <w:color w:val="000000" w:themeColor="text1"/>
        </w:rPr>
        <w:t xml:space="preserve"> de dos mil veinticinco</w:t>
      </w:r>
      <w:r w:rsidRPr="006422A2">
        <w:rPr>
          <w:rFonts w:ascii="Palatino Linotype" w:eastAsia="Palatino Linotype" w:hAnsi="Palatino Linotype" w:cs="Palatino Linotype"/>
          <w:color w:val="000000" w:themeColor="text1"/>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w:t>
      </w:r>
    </w:p>
    <w:p w:rsidR="00F229F3" w:rsidRPr="006422A2" w:rsidRDefault="00F229F3" w:rsidP="006422A2">
      <w:pP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Con base a esta cronología, si el Recurso de Revisión que nos ocupa se interpuso el </w:t>
      </w:r>
      <w:r w:rsidR="00193BE4" w:rsidRPr="006422A2">
        <w:rPr>
          <w:rFonts w:ascii="Palatino Linotype" w:eastAsia="Palatino Linotype" w:hAnsi="Palatino Linotype" w:cs="Palatino Linotype"/>
          <w:b/>
          <w:color w:val="000000" w:themeColor="text1"/>
        </w:rPr>
        <w:t>veinticinco de septiembre</w:t>
      </w:r>
      <w:r w:rsidRPr="006422A2">
        <w:rPr>
          <w:rFonts w:ascii="Palatino Linotype" w:eastAsia="Palatino Linotype" w:hAnsi="Palatino Linotype" w:cs="Palatino Linotype"/>
          <w:b/>
          <w:color w:val="000000" w:themeColor="text1"/>
        </w:rPr>
        <w:t xml:space="preserve"> de dos mil veinticinco</w:t>
      </w:r>
      <w:r w:rsidRPr="006422A2">
        <w:rPr>
          <w:rFonts w:ascii="Palatino Linotype" w:eastAsia="Palatino Linotype" w:hAnsi="Palatino Linotype" w:cs="Palatino Linotype"/>
          <w:color w:val="000000" w:themeColor="text1"/>
        </w:rPr>
        <w:t xml:space="preserve">, se encuentra dentro de los márgenes temporales previstos en el artículo 128, de la Ley de Protección de Datos Personales en Posesión de Sujetos Obligados del Estado de México y Municipios y, por tanto, su interposición se considera oportuna. </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spacing w:line="360" w:lineRule="auto"/>
        <w:jc w:val="both"/>
        <w:rPr>
          <w:rFonts w:ascii="Palatino Linotype" w:eastAsia="Calibri" w:hAnsi="Palatino Linotype" w:cs="Tahoma"/>
          <w:bCs/>
          <w:color w:val="000000" w:themeColor="text1"/>
          <w:lang w:eastAsia="en-US"/>
        </w:rPr>
      </w:pPr>
      <w:r w:rsidRPr="006422A2">
        <w:rPr>
          <w:rFonts w:ascii="Palatino Linotype" w:eastAsia="Calibri" w:hAnsi="Palatino Linotype" w:cs="Tahoma"/>
          <w:b/>
          <w:bCs/>
          <w:color w:val="000000" w:themeColor="text1"/>
          <w:lang w:eastAsia="en-US"/>
        </w:rPr>
        <w:t>TERCERO</w:t>
      </w:r>
      <w:r w:rsidRPr="006422A2">
        <w:rPr>
          <w:rFonts w:ascii="Palatino Linotype" w:eastAsia="Calibri" w:hAnsi="Palatino Linotype" w:cs="Tahoma"/>
          <w:bCs/>
          <w:color w:val="000000" w:themeColor="text1"/>
          <w:lang w:eastAsia="en-US"/>
        </w:rPr>
        <w:t xml:space="preserve">. </w:t>
      </w:r>
      <w:r w:rsidRPr="006422A2">
        <w:rPr>
          <w:rFonts w:ascii="Palatino Linotype" w:eastAsia="Calibri" w:hAnsi="Palatino Linotype" w:cs="Tahoma"/>
          <w:b/>
          <w:bCs/>
          <w:color w:val="000000" w:themeColor="text1"/>
          <w:lang w:eastAsia="en-US"/>
        </w:rPr>
        <w:t>Causales de improcedencia y sobreseimiento.</w:t>
      </w:r>
      <w:r w:rsidRPr="006422A2">
        <w:rPr>
          <w:rFonts w:ascii="Palatino Linotype" w:eastAsia="Calibri" w:hAnsi="Palatino Linotype" w:cs="Tahoma"/>
          <w:bCs/>
          <w:color w:val="000000" w:themeColor="text1"/>
          <w:lang w:eastAsia="en-US"/>
        </w:rPr>
        <w:t xml:space="preserve"> </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F229F3" w:rsidRDefault="00F229F3" w:rsidP="006422A2">
      <w:pPr>
        <w:spacing w:line="360" w:lineRule="auto"/>
        <w:jc w:val="both"/>
        <w:rPr>
          <w:rFonts w:ascii="Palatino Linotype" w:eastAsia="Calibri" w:hAnsi="Palatino Linotype" w:cs="Tahoma"/>
          <w:bCs/>
          <w:color w:val="000000" w:themeColor="text1"/>
          <w:lang w:eastAsia="en-US"/>
        </w:rPr>
      </w:pPr>
    </w:p>
    <w:p w:rsidR="00F229F3" w:rsidRPr="006422A2" w:rsidRDefault="00F229F3" w:rsidP="006422A2">
      <w:pPr>
        <w:numPr>
          <w:ilvl w:val="0"/>
          <w:numId w:val="7"/>
        </w:numPr>
        <w:spacing w:line="360" w:lineRule="auto"/>
        <w:ind w:left="0" w:firstLine="0"/>
        <w:contextualSpacing/>
        <w:jc w:val="both"/>
        <w:rPr>
          <w:rFonts w:ascii="Palatino Linotype" w:eastAsia="Calibri" w:hAnsi="Palatino Linotype" w:cs="Tahoma"/>
          <w:b/>
          <w:bCs/>
          <w:color w:val="000000" w:themeColor="text1"/>
          <w:lang w:val="es-ES" w:eastAsia="en-US"/>
        </w:rPr>
      </w:pPr>
      <w:r w:rsidRPr="006422A2">
        <w:rPr>
          <w:rFonts w:ascii="Palatino Linotype" w:eastAsia="Calibri" w:hAnsi="Palatino Linotype" w:cs="Tahoma"/>
          <w:b/>
          <w:bCs/>
          <w:color w:val="000000" w:themeColor="text1"/>
          <w:lang w:val="es-ES" w:eastAsia="en-US"/>
        </w:rPr>
        <w:t>Causales de improcedencia.</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w:t>
      </w:r>
      <w:r w:rsidRPr="006422A2">
        <w:rPr>
          <w:rFonts w:ascii="Palatino Linotype" w:eastAsia="Palatino Linotype" w:hAnsi="Palatino Linotype" w:cs="Palatino Linotype"/>
          <w:color w:val="000000" w:themeColor="text1"/>
        </w:rPr>
        <w:lastRenderedPageBreak/>
        <w:t xml:space="preserve">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F229F3" w:rsidRPr="006422A2" w:rsidRDefault="00F229F3" w:rsidP="006422A2">
      <w:pPr>
        <w:autoSpaceDE w:val="0"/>
        <w:autoSpaceDN w:val="0"/>
        <w:adjustRightInd w:val="0"/>
        <w:spacing w:line="360" w:lineRule="auto"/>
        <w:jc w:val="both"/>
        <w:rPr>
          <w:rFonts w:ascii="Palatino Linotype" w:eastAsia="Calibri" w:hAnsi="Palatino Linotype" w:cs="Tahoma"/>
          <w:color w:val="000000" w:themeColor="text1"/>
        </w:rPr>
      </w:pPr>
    </w:p>
    <w:p w:rsidR="00F229F3" w:rsidRPr="006422A2" w:rsidRDefault="00F229F3" w:rsidP="006422A2">
      <w:pPr>
        <w:numPr>
          <w:ilvl w:val="0"/>
          <w:numId w:val="7"/>
        </w:numPr>
        <w:spacing w:line="276" w:lineRule="auto"/>
        <w:ind w:left="0" w:firstLine="0"/>
        <w:contextualSpacing/>
        <w:jc w:val="both"/>
        <w:rPr>
          <w:rFonts w:ascii="Palatino Linotype" w:eastAsia="Calibri" w:hAnsi="Palatino Linotype" w:cs="Tahoma"/>
          <w:bCs/>
          <w:color w:val="000000" w:themeColor="text1"/>
          <w:lang w:val="es-ES" w:eastAsia="en-US"/>
        </w:rPr>
      </w:pPr>
      <w:r w:rsidRPr="006422A2">
        <w:rPr>
          <w:rFonts w:ascii="Palatino Linotype" w:eastAsia="Calibri" w:hAnsi="Palatino Linotype" w:cs="Tahoma"/>
          <w:b/>
          <w:bCs/>
          <w:color w:val="000000" w:themeColor="text1"/>
          <w:lang w:val="es-ES" w:eastAsia="en-US"/>
        </w:rPr>
        <w:t>Causales de sobreseimiento</w:t>
      </w:r>
      <w:r w:rsidRPr="006422A2">
        <w:rPr>
          <w:rFonts w:ascii="Palatino Linotype" w:eastAsia="Calibri" w:hAnsi="Palatino Linotype" w:cs="Tahoma"/>
          <w:bCs/>
          <w:color w:val="000000" w:themeColor="text1"/>
          <w:lang w:val="es-ES" w:eastAsia="en-US"/>
        </w:rPr>
        <w:t>.</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F229F3" w:rsidRPr="006422A2" w:rsidRDefault="00F229F3" w:rsidP="006422A2">
      <w:pPr>
        <w:spacing w:line="360" w:lineRule="auto"/>
        <w:jc w:val="both"/>
        <w:rPr>
          <w:rFonts w:ascii="Palatino Linotype" w:hAnsi="Palatino Linotype" w:cs="Tahoma"/>
          <w:color w:val="000000" w:themeColor="text1"/>
        </w:rPr>
      </w:pPr>
      <w:r w:rsidRPr="006422A2">
        <w:rPr>
          <w:rFonts w:ascii="Palatino Linotype" w:hAnsi="Palatino Linotype" w:cs="Tahoma"/>
          <w:color w:val="000000" w:themeColor="text1"/>
        </w:rPr>
        <w:t xml:space="preserve">I. El recurrente se desista expresamente. </w:t>
      </w:r>
    </w:p>
    <w:p w:rsidR="00F229F3" w:rsidRPr="006422A2" w:rsidRDefault="00F229F3" w:rsidP="006422A2">
      <w:pPr>
        <w:spacing w:line="360" w:lineRule="auto"/>
        <w:jc w:val="both"/>
        <w:rPr>
          <w:rFonts w:ascii="Palatino Linotype" w:hAnsi="Palatino Linotype" w:cs="Tahoma"/>
          <w:color w:val="000000" w:themeColor="text1"/>
        </w:rPr>
      </w:pPr>
      <w:r w:rsidRPr="006422A2">
        <w:rPr>
          <w:rFonts w:ascii="Palatino Linotype" w:hAnsi="Palatino Linotype" w:cs="Tahoma"/>
          <w:color w:val="000000" w:themeColor="text1"/>
        </w:rPr>
        <w:t xml:space="preserve">II. El recurrente fallezca. </w:t>
      </w:r>
    </w:p>
    <w:p w:rsidR="00F229F3" w:rsidRPr="006422A2" w:rsidRDefault="00F229F3" w:rsidP="006422A2">
      <w:pPr>
        <w:spacing w:line="360" w:lineRule="auto"/>
        <w:jc w:val="both"/>
        <w:rPr>
          <w:rFonts w:ascii="Palatino Linotype" w:hAnsi="Palatino Linotype" w:cs="Tahoma"/>
          <w:color w:val="000000" w:themeColor="text1"/>
        </w:rPr>
      </w:pPr>
      <w:r w:rsidRPr="006422A2">
        <w:rPr>
          <w:rFonts w:ascii="Palatino Linotype" w:hAnsi="Palatino Linotype" w:cs="Tahoma"/>
          <w:color w:val="000000" w:themeColor="text1"/>
        </w:rPr>
        <w:t xml:space="preserve">III. Admitido el recurso de revisión, se actualice alguna causal de improcedencia en los términos de la presente Ley. </w:t>
      </w:r>
    </w:p>
    <w:p w:rsidR="00F229F3" w:rsidRPr="006422A2" w:rsidRDefault="00F229F3" w:rsidP="006422A2">
      <w:pPr>
        <w:spacing w:line="360" w:lineRule="auto"/>
        <w:jc w:val="both"/>
        <w:rPr>
          <w:rFonts w:ascii="Palatino Linotype" w:hAnsi="Palatino Linotype" w:cs="Tahoma"/>
          <w:color w:val="000000" w:themeColor="text1"/>
        </w:rPr>
      </w:pPr>
      <w:r w:rsidRPr="006422A2">
        <w:rPr>
          <w:rFonts w:ascii="Palatino Linotype" w:hAnsi="Palatino Linotype" w:cs="Tahoma"/>
          <w:color w:val="000000" w:themeColor="text1"/>
        </w:rPr>
        <w:t xml:space="preserve">IV. El responsable modifique o revoque su respuesta de tal manera que el recurso de revisión quede sin materia. </w:t>
      </w:r>
    </w:p>
    <w:p w:rsidR="00F229F3" w:rsidRPr="006422A2" w:rsidRDefault="00F229F3" w:rsidP="006422A2">
      <w:pPr>
        <w:spacing w:line="360" w:lineRule="auto"/>
        <w:jc w:val="both"/>
        <w:rPr>
          <w:rFonts w:ascii="Palatino Linotype" w:hAnsi="Palatino Linotype" w:cs="Tahoma"/>
          <w:b/>
          <w:color w:val="000000" w:themeColor="text1"/>
        </w:rPr>
      </w:pPr>
      <w:r w:rsidRPr="006422A2">
        <w:rPr>
          <w:rFonts w:ascii="Palatino Linotype" w:hAnsi="Palatino Linotype" w:cs="Tahoma"/>
          <w:b/>
          <w:color w:val="000000" w:themeColor="text1"/>
        </w:rPr>
        <w:t xml:space="preserve">V. Quede sin materia el recurso de revisión. </w:t>
      </w:r>
    </w:p>
    <w:p w:rsidR="00F229F3" w:rsidRPr="006422A2" w:rsidRDefault="00F229F3" w:rsidP="006422A2">
      <w:pPr>
        <w:spacing w:line="360" w:lineRule="auto"/>
        <w:jc w:val="both"/>
        <w:rPr>
          <w:rFonts w:ascii="Palatino Linotype" w:hAnsi="Palatino Linotype" w:cs="Tahoma"/>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Es de señalar que toda vez que admitido el Recurso de Revisión, se actualiza una causal de sobreseimiento en términos de la Ley, es procedente analizar la causal V del artículo en cita. </w:t>
      </w:r>
    </w:p>
    <w:p w:rsidR="00F229F3" w:rsidRDefault="00F229F3" w:rsidP="006422A2">
      <w:pPr>
        <w:spacing w:line="360" w:lineRule="auto"/>
        <w:jc w:val="both"/>
        <w:rPr>
          <w:rFonts w:ascii="Palatino Linotype" w:eastAsia="Calibri" w:hAnsi="Palatino Linotype" w:cs="Tahoma"/>
          <w:b/>
          <w:bCs/>
          <w:color w:val="000000" w:themeColor="text1"/>
          <w:lang w:eastAsia="es-ES_tradnl"/>
        </w:rPr>
      </w:pPr>
    </w:p>
    <w:p w:rsidR="00DD424C" w:rsidRDefault="00DD424C" w:rsidP="006422A2">
      <w:pPr>
        <w:spacing w:line="360" w:lineRule="auto"/>
        <w:jc w:val="both"/>
        <w:rPr>
          <w:rFonts w:ascii="Palatino Linotype" w:eastAsia="Calibri" w:hAnsi="Palatino Linotype" w:cs="Tahoma"/>
          <w:b/>
          <w:bCs/>
          <w:color w:val="000000" w:themeColor="text1"/>
          <w:lang w:eastAsia="es-ES_tradnl"/>
        </w:rPr>
      </w:pPr>
    </w:p>
    <w:p w:rsidR="00DD424C" w:rsidRDefault="00DD424C" w:rsidP="006422A2">
      <w:pPr>
        <w:spacing w:line="360" w:lineRule="auto"/>
        <w:jc w:val="both"/>
        <w:rPr>
          <w:rFonts w:ascii="Palatino Linotype" w:eastAsia="Calibri" w:hAnsi="Palatino Linotype" w:cs="Tahoma"/>
          <w:b/>
          <w:bCs/>
          <w:color w:val="000000" w:themeColor="text1"/>
          <w:lang w:eastAsia="es-ES_tradnl"/>
        </w:rPr>
      </w:pPr>
    </w:p>
    <w:p w:rsidR="00F229F3" w:rsidRPr="006422A2" w:rsidRDefault="00F229F3" w:rsidP="006422A2">
      <w:pPr>
        <w:spacing w:line="360" w:lineRule="auto"/>
        <w:jc w:val="both"/>
        <w:rPr>
          <w:rFonts w:ascii="Palatino Linotype" w:eastAsia="Calibri" w:hAnsi="Palatino Linotype" w:cs="Tahoma"/>
          <w:b/>
          <w:bCs/>
          <w:color w:val="000000" w:themeColor="text1"/>
          <w:lang w:eastAsia="es-ES_tradnl"/>
        </w:rPr>
      </w:pPr>
      <w:r w:rsidRPr="006422A2">
        <w:rPr>
          <w:rFonts w:ascii="Palatino Linotype" w:eastAsia="Calibri" w:hAnsi="Palatino Linotype" w:cs="Tahoma"/>
          <w:b/>
          <w:bCs/>
          <w:color w:val="000000" w:themeColor="text1"/>
          <w:lang w:eastAsia="es-ES_tradnl"/>
        </w:rPr>
        <w:lastRenderedPageBreak/>
        <w:t>CUARTO. Análisis de las causales de sobreseimiento.</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Así, con la finalidad de verificar si ha quedado sin materia el presente Recurso de Revisión, se realizará la relatoría de las actuaciones efectuadas por las partes durante el procedimiento de acceso a la información pública con el propósito de dar claridad en el tratamiento del tema en estudio.</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 xml:space="preserve">No obstante, y </w:t>
      </w:r>
      <w:r w:rsidRPr="006422A2">
        <w:rPr>
          <w:rFonts w:ascii="Palatino Linotype" w:hAnsi="Palatino Linotype"/>
          <w:b/>
          <w:color w:val="000000" w:themeColor="text1"/>
        </w:rPr>
        <w:t>toda vez que se pretende acceder a datos personales de personas fallecidas</w:t>
      </w:r>
      <w:r w:rsidRPr="006422A2">
        <w:rPr>
          <w:rFonts w:ascii="Palatino Linotype" w:hAnsi="Palatino Linotype"/>
          <w:color w:val="000000" w:themeColor="text1"/>
        </w:rPr>
        <w:t xml:space="preserve">, es relevante traer a contexto que los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 </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 xml:space="preserve">Asimismo la Ley de Protección de Datos Personales en Posesión de Sujetos Obligados del Estado de México y Municipios, regula el derecho de acceso a datos personales de personas fallecidas, en ese sentido el artículo 106 de la Ley de Protección de Datos Personales, aplicable a la entidad, establece en sus párrafos cuarto, quinto y sexto, los supuestos en los cuales un tercero, tiene legitimación para acceder a datos personales de personas fallecidas, en el momento procesal del ingreso de una solicitud de acceso a datos personales: </w:t>
      </w: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b/>
          <w:i/>
          <w:color w:val="000000" w:themeColor="text1"/>
        </w:rPr>
        <w:t>Artículo 106</w:t>
      </w:r>
      <w:r w:rsidRPr="006422A2">
        <w:rPr>
          <w:rFonts w:ascii="Palatino Linotype" w:hAnsi="Palatino Linotype"/>
          <w:i/>
          <w:color w:val="000000" w:themeColor="text1"/>
        </w:rPr>
        <w:t xml:space="preserve">. ... </w:t>
      </w: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 xml:space="preserve">… </w:t>
      </w: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b/>
          <w:i/>
          <w:color w:val="000000" w:themeColor="text1"/>
        </w:rPr>
        <w:t>Tratándose de datos personales concernientes a personas fallecidas</w:t>
      </w:r>
      <w:r w:rsidRPr="006422A2">
        <w:rPr>
          <w:rFonts w:ascii="Palatino Linotype" w:hAnsi="Palatino Linotype"/>
          <w:i/>
          <w:color w:val="000000" w:themeColor="text1"/>
        </w:rPr>
        <w:t xml:space="preserve"> o de quienes haya sido declarada judicialmente su presunción de muerte, </w:t>
      </w:r>
      <w:r w:rsidRPr="006422A2">
        <w:rPr>
          <w:rFonts w:ascii="Palatino Linotype" w:hAnsi="Palatino Linotype"/>
          <w:b/>
          <w:i/>
          <w:color w:val="000000" w:themeColor="text1"/>
        </w:rPr>
        <w:t>la persona que acredite tener un interés jurídico</w:t>
      </w:r>
      <w:r w:rsidRPr="006422A2">
        <w:rPr>
          <w:rFonts w:ascii="Palatino Linotype" w:hAnsi="Palatino Linotype"/>
          <w:i/>
          <w:color w:val="000000" w:themeColor="text1"/>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 </w:t>
      </w: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lastRenderedPageBreak/>
        <w:t xml:space="preserve">El titular podrá autorizar dentro de una cláusula del testamento a las personas que podrán ejercer sus derechos ARCO al momento del fallecimiento. </w:t>
      </w:r>
    </w:p>
    <w:p w:rsidR="00F229F3" w:rsidRPr="006422A2" w:rsidRDefault="00F229F3" w:rsidP="006422A2">
      <w:pPr>
        <w:jc w:val="both"/>
        <w:rPr>
          <w:rFonts w:ascii="Palatino Linotype" w:hAnsi="Palatino Linotype"/>
          <w:i/>
          <w:color w:val="000000" w:themeColor="text1"/>
        </w:rPr>
      </w:pP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El ejercicio de los derechos ARCO por persona distinta a su titular o a su representante, será posible, excepcionalmente, en aquellos supuestos previstos por disposición legal, o en su caso, por mandato judicial.”</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 xml:space="preserve">Se identifica que, para acceder a datos personales de una persona fallecida, el Particular podrá acceder a los datos personales, en primera instancia, si la persona interesada acredite un interés jurídico. </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Fortalece lo anterior la Tesis Aislada enunciada por el propio Poder Judicial, con número de registro 2005381, derivada del Amparo en revisión 151/2013 (cuaderno auxiliar 580/2013). Reyna Griselda Rejón Ruelas. 11 de julio de 2013. Del CUARTO TRIBUNAL COLEGIADO DE CIRCUITO DEL CENTRO AUXILIAR DE LA TERCERA REGIÓN, CON RESIDENCIA EN GUADALAJARA, JALISCO.</w:t>
      </w:r>
    </w:p>
    <w:p w:rsidR="00F229F3" w:rsidRPr="006422A2" w:rsidRDefault="00F229F3" w:rsidP="006422A2">
      <w:pPr>
        <w:jc w:val="both"/>
        <w:rPr>
          <w:rFonts w:ascii="Palatino Linotype" w:hAnsi="Palatino Linotype"/>
          <w:b/>
          <w:i/>
          <w:color w:val="000000" w:themeColor="text1"/>
        </w:rPr>
      </w:pPr>
      <w:r w:rsidRPr="006422A2">
        <w:rPr>
          <w:rFonts w:ascii="Palatino Linotype" w:hAnsi="Palatino Linotype"/>
          <w:b/>
          <w:i/>
          <w:color w:val="000000" w:themeColor="text1"/>
        </w:rPr>
        <w:t>INTERÉS JURÍDICO E INTERÉS LEGÍTIMO EN EL AMPARO. CARACTERÍSTICAS DEL MÉTODO CONCRETO QUE DEBE UTILIZAR EL JUEZ PARA SU DETERMINACIÓN.</w:t>
      </w:r>
    </w:p>
    <w:p w:rsidR="00F229F3" w:rsidRPr="006422A2" w:rsidRDefault="00F229F3" w:rsidP="006422A2">
      <w:pPr>
        <w:jc w:val="both"/>
        <w:rPr>
          <w:rFonts w:ascii="Palatino Linotype" w:hAnsi="Palatino Linotype"/>
          <w:i/>
          <w:color w:val="000000" w:themeColor="text1"/>
        </w:rPr>
      </w:pP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 xml:space="preserve"> 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w:t>
      </w:r>
      <w:r w:rsidRPr="006422A2">
        <w:rPr>
          <w:rFonts w:ascii="Palatino Linotype" w:hAnsi="Palatino Linotype"/>
          <w:b/>
          <w:i/>
          <w:color w:val="000000" w:themeColor="text1"/>
        </w:rPr>
        <w:t>interés jurídico</w:t>
      </w:r>
      <w:r w:rsidRPr="006422A2">
        <w:rPr>
          <w:rFonts w:ascii="Palatino Linotype" w:hAnsi="Palatino Linotype"/>
          <w:i/>
          <w:color w:val="000000" w:themeColor="text1"/>
        </w:rPr>
        <w:t xml:space="preserve"> y agregar al ámbito de protección el </w:t>
      </w:r>
      <w:r w:rsidRPr="006422A2">
        <w:rPr>
          <w:rFonts w:ascii="Palatino Linotype" w:hAnsi="Palatino Linotype"/>
          <w:b/>
          <w:i/>
          <w:color w:val="000000" w:themeColor="text1"/>
        </w:rPr>
        <w:t>interés legítimo</w:t>
      </w:r>
      <w:r w:rsidRPr="006422A2">
        <w:rPr>
          <w:rFonts w:ascii="Palatino Linotype" w:hAnsi="Palatino Linotype"/>
          <w:i/>
          <w:color w:val="000000" w:themeColor="text1"/>
        </w:rPr>
        <w:t xml:space="preserve">, los cuales tienen diversos alcances, </w:t>
      </w:r>
      <w:r w:rsidRPr="006422A2">
        <w:rPr>
          <w:rFonts w:ascii="Palatino Linotype" w:hAnsi="Palatino Linotype"/>
          <w:b/>
          <w:i/>
          <w:color w:val="000000" w:themeColor="text1"/>
          <w:u w:val="single"/>
        </w:rPr>
        <w:t>pues el primero requiere, para su acreditación, el perjuicio de un derecho subjetivo del cual es titular el agraviado; en cambio, el segundo comprende únicamente la existencia de un interés cualificado respecto de la legalidad de los actos impugnados</w:t>
      </w:r>
      <w:r w:rsidRPr="006422A2">
        <w:rPr>
          <w:rFonts w:ascii="Palatino Linotype" w:hAnsi="Palatino Linotype"/>
          <w:i/>
          <w:color w:val="000000" w:themeColor="text1"/>
        </w:rPr>
        <w:t xml:space="preserve">,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w:t>
      </w:r>
      <w:r w:rsidRPr="006422A2">
        <w:rPr>
          <w:rFonts w:ascii="Palatino Linotype" w:hAnsi="Palatino Linotype"/>
          <w:i/>
          <w:color w:val="000000" w:themeColor="text1"/>
        </w:rPr>
        <w:lastRenderedPageBreak/>
        <w:t xml:space="preserve">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uno excluye al otro, dado sus particulares orientación y finalidad, sin ser dable perfilar el estudio en sede </w:t>
      </w:r>
      <w:r w:rsidRPr="006422A2">
        <w:rPr>
          <w:rFonts w:ascii="Palatino Linotype" w:hAnsi="Palatino Linotype"/>
          <w:color w:val="000000" w:themeColor="text1"/>
        </w:rPr>
        <w:t>constitucional</w:t>
      </w:r>
      <w:r w:rsidRPr="006422A2">
        <w:rPr>
          <w:rFonts w:ascii="Palatino Linotype" w:hAnsi="Palatino Linotype"/>
          <w:i/>
          <w:color w:val="000000" w:themeColor="text1"/>
        </w:rPr>
        <w:t xml:space="preserve"> por la vía del interés legítimo sólo porque así lo refiere el quejoso, pues ello equivaldría a desnaturalizar la función del órgano jurisdiccional en su calidad de rector del juicio.</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Por otro lado, el dispositivo legal que norma la interposición del Recurso de Revisión tratándose de datos personales correspondientes a personas fallecidas, se encuentra establecido en el artículo 122 de la Ley de Protección de Datos Personales en Posesión de Sujetos Obligados del Estado de México y Municipios, que precisa:</w:t>
      </w:r>
    </w:p>
    <w:p w:rsidR="00F229F3" w:rsidRPr="006422A2" w:rsidRDefault="00F229F3" w:rsidP="006422A2">
      <w:pPr>
        <w:jc w:val="both"/>
        <w:rPr>
          <w:rFonts w:ascii="Palatino Linotype" w:hAnsi="Palatino Linotype"/>
          <w:b/>
          <w:i/>
          <w:color w:val="000000" w:themeColor="text1"/>
        </w:rPr>
      </w:pPr>
      <w:r w:rsidRPr="006422A2">
        <w:rPr>
          <w:rFonts w:ascii="Palatino Linotype" w:hAnsi="Palatino Linotype"/>
          <w:b/>
          <w:i/>
          <w:color w:val="000000" w:themeColor="text1"/>
        </w:rPr>
        <w:t xml:space="preserve">Interposición respecto a datos de personas fallecidas </w:t>
      </w:r>
    </w:p>
    <w:p w:rsidR="00F229F3" w:rsidRPr="006422A2" w:rsidRDefault="00F229F3" w:rsidP="006422A2">
      <w:pPr>
        <w:jc w:val="both"/>
        <w:rPr>
          <w:rFonts w:ascii="Palatino Linotype" w:hAnsi="Palatino Linotype"/>
          <w:i/>
          <w:color w:val="000000" w:themeColor="text1"/>
        </w:rPr>
      </w:pPr>
    </w:p>
    <w:p w:rsidR="00F229F3" w:rsidRDefault="00F229F3" w:rsidP="006422A2">
      <w:pPr>
        <w:jc w:val="both"/>
        <w:rPr>
          <w:rFonts w:ascii="Palatino Linotype" w:hAnsi="Palatino Linotype"/>
          <w:i/>
          <w:color w:val="000000" w:themeColor="text1"/>
        </w:rPr>
      </w:pPr>
      <w:r w:rsidRPr="006422A2">
        <w:rPr>
          <w:rFonts w:ascii="Palatino Linotype" w:hAnsi="Palatino Linotype"/>
          <w:b/>
          <w:i/>
          <w:color w:val="000000" w:themeColor="text1"/>
        </w:rPr>
        <w:t>Artículo 122</w:t>
      </w:r>
      <w:r w:rsidRPr="006422A2">
        <w:rPr>
          <w:rFonts w:ascii="Palatino Linotype" w:hAnsi="Palatino Linotype"/>
          <w:i/>
          <w:color w:val="000000" w:themeColor="text1"/>
        </w:rPr>
        <w:t>. La interposición de un recurso de revisión de datos personales concernientes a personas fallecidas, podrá realizarla la persona que acredite tener un interés jurídico o legítimo.</w:t>
      </w:r>
    </w:p>
    <w:p w:rsidR="00EC3096" w:rsidRDefault="00EC3096" w:rsidP="006422A2">
      <w:pPr>
        <w:jc w:val="both"/>
        <w:rPr>
          <w:rFonts w:ascii="Palatino Linotype" w:hAnsi="Palatino Linotype"/>
          <w:i/>
          <w:color w:val="000000" w:themeColor="text1"/>
        </w:rPr>
      </w:pPr>
    </w:p>
    <w:p w:rsidR="00EC3096" w:rsidRPr="006422A2" w:rsidRDefault="00EC3096" w:rsidP="006422A2">
      <w:pPr>
        <w:jc w:val="both"/>
        <w:rPr>
          <w:rFonts w:ascii="Palatino Linotype" w:hAnsi="Palatino Linotype"/>
          <w:i/>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Del precepto legal transcrito, se desprende que la interposición del Recurso de Revisión de datos personales concernientes a personas fallecidas, puede realizarla la persona que acredite tener un interés jurídico o legítimo.</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i/>
          <w:color w:val="000000" w:themeColor="text1"/>
        </w:rPr>
      </w:pPr>
      <w:r w:rsidRPr="006422A2">
        <w:rPr>
          <w:rFonts w:ascii="Palatino Linotype" w:hAnsi="Palatino Linotype"/>
          <w:color w:val="000000" w:themeColor="text1"/>
        </w:rPr>
        <w:lastRenderedPageBreak/>
        <w:t xml:space="preserve">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Municipios, en atención al artículo 11 que, para mayor ilustración, se transcribe a continuación: </w:t>
      </w: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b/>
          <w:i/>
          <w:color w:val="000000" w:themeColor="text1"/>
        </w:rPr>
        <w:t>Artículo 231</w:t>
      </w:r>
      <w:r w:rsidRPr="006422A2">
        <w:rPr>
          <w:rFonts w:ascii="Palatino Linotype" w:hAnsi="Palatino Linotype"/>
          <w:i/>
          <w:color w:val="000000" w:themeColor="text1"/>
        </w:rPr>
        <w:t>.-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 xml:space="preserve">Así, al desentrañar el artículo de referencia tenemos que los elementos que integran el interés jurídico y legítimo: </w:t>
      </w:r>
    </w:p>
    <w:p w:rsidR="00F229F3" w:rsidRDefault="00F229F3" w:rsidP="006422A2">
      <w:pPr>
        <w:spacing w:line="360" w:lineRule="auto"/>
        <w:jc w:val="both"/>
        <w:rPr>
          <w:rFonts w:ascii="Palatino Linotype" w:hAnsi="Palatino Linotype"/>
          <w:color w:val="000000" w:themeColor="text1"/>
        </w:rPr>
      </w:pPr>
      <w:r w:rsidRPr="006422A2">
        <w:rPr>
          <w:rFonts w:ascii="Palatino Linotype" w:hAnsi="Palatino Linotype"/>
          <w:b/>
          <w:color w:val="000000" w:themeColor="text1"/>
        </w:rPr>
        <w:t>En cuanto al interés jurídico</w:t>
      </w:r>
      <w:r w:rsidRPr="006422A2">
        <w:rPr>
          <w:rFonts w:ascii="Palatino Linotype" w:hAnsi="Palatino Linotype"/>
          <w:color w:val="000000" w:themeColor="text1"/>
        </w:rPr>
        <w:t xml:space="preserve"> </w:t>
      </w:r>
    </w:p>
    <w:p w:rsidR="00210F32" w:rsidRPr="006422A2" w:rsidRDefault="00210F32" w:rsidP="006422A2">
      <w:pPr>
        <w:spacing w:line="360" w:lineRule="auto"/>
        <w:jc w:val="both"/>
        <w:rPr>
          <w:rFonts w:ascii="Palatino Linotype" w:hAnsi="Palatino Linotype"/>
          <w:color w:val="000000" w:themeColor="text1"/>
        </w:rPr>
      </w:pPr>
    </w:p>
    <w:p w:rsidR="00F229F3" w:rsidRPr="006422A2" w:rsidRDefault="00F229F3" w:rsidP="006422A2">
      <w:pPr>
        <w:pStyle w:val="Prrafodelista"/>
        <w:numPr>
          <w:ilvl w:val="0"/>
          <w:numId w:val="15"/>
        </w:numPr>
        <w:spacing w:line="360" w:lineRule="auto"/>
        <w:ind w:left="0" w:firstLine="0"/>
        <w:jc w:val="both"/>
        <w:rPr>
          <w:rFonts w:ascii="Palatino Linotype" w:hAnsi="Palatino Linotype"/>
          <w:color w:val="000000" w:themeColor="text1"/>
        </w:rPr>
      </w:pPr>
      <w:r w:rsidRPr="006422A2">
        <w:rPr>
          <w:rFonts w:ascii="Palatino Linotype" w:hAnsi="Palatino Linotype"/>
          <w:b/>
          <w:color w:val="000000" w:themeColor="text1"/>
        </w:rPr>
        <w:t>Titular de un derecho subjetivo público</w:t>
      </w:r>
      <w:r w:rsidRPr="006422A2">
        <w:rPr>
          <w:rFonts w:ascii="Palatino Linotype" w:hAnsi="Palatino Linotype"/>
          <w:color w:val="000000" w:themeColor="text1"/>
        </w:rPr>
        <w:t xml:space="preserve">. </w:t>
      </w:r>
    </w:p>
    <w:p w:rsidR="00EC3096"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Este tipo de interés lo constituye la existencia o actualización de un derecho subjetivo jurídicamente tutelado que puede afectarse, por comisión u omisión mediante un acto de autoridad, teniendo sólo el titular de algún derecho legítimamente protegible la facultad de acudir ante las autoridades que a derecho corresponda cuando se transgreda, por la actuación de cierta autoridad.</w:t>
      </w:r>
    </w:p>
    <w:p w:rsidR="00F229F3" w:rsidRPr="006422A2" w:rsidRDefault="00F229F3" w:rsidP="00EC3096">
      <w:pPr>
        <w:spacing w:line="360" w:lineRule="auto"/>
        <w:jc w:val="both"/>
        <w:rPr>
          <w:rFonts w:ascii="Palatino Linotype" w:hAnsi="Palatino Linotype"/>
          <w:color w:val="000000" w:themeColor="text1"/>
        </w:rPr>
      </w:pPr>
      <w:r w:rsidRPr="006422A2">
        <w:rPr>
          <w:rFonts w:ascii="Palatino Linotype" w:hAnsi="Palatino Linotype"/>
          <w:color w:val="000000" w:themeColor="text1"/>
        </w:rPr>
        <w:t xml:space="preserve"> </w:t>
      </w: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Asimismo, debe interpretarse que una persona física tiene interés jurídico cuando, en su carácter de titular de sus derechos subjetivos, se ve afectada de manera personal o directa en sus derechos, para lo cual debe acreditar lo siguiente:</w:t>
      </w:r>
    </w:p>
    <w:p w:rsidR="00F229F3" w:rsidRPr="006422A2" w:rsidRDefault="00F229F3" w:rsidP="006422A2">
      <w:pPr>
        <w:spacing w:line="360" w:lineRule="auto"/>
        <w:jc w:val="both"/>
        <w:rPr>
          <w:rFonts w:ascii="Palatino Linotype" w:hAnsi="Palatino Linotype"/>
          <w:b/>
          <w:color w:val="000000" w:themeColor="text1"/>
        </w:rPr>
      </w:pPr>
      <w:r w:rsidRPr="006422A2">
        <w:rPr>
          <w:rFonts w:ascii="Palatino Linotype" w:hAnsi="Palatino Linotype"/>
          <w:b/>
          <w:color w:val="000000" w:themeColor="text1"/>
        </w:rPr>
        <w:lastRenderedPageBreak/>
        <w:t xml:space="preserve">a) La existencia del derecho subjetivo vulnerado; y </w:t>
      </w:r>
    </w:p>
    <w:p w:rsidR="00F229F3" w:rsidRPr="006422A2" w:rsidRDefault="00F229F3" w:rsidP="006422A2">
      <w:pPr>
        <w:spacing w:line="360" w:lineRule="auto"/>
        <w:jc w:val="both"/>
        <w:rPr>
          <w:rFonts w:ascii="Palatino Linotype" w:hAnsi="Palatino Linotype"/>
          <w:b/>
          <w:color w:val="000000" w:themeColor="text1"/>
        </w:rPr>
      </w:pPr>
      <w:r w:rsidRPr="006422A2">
        <w:rPr>
          <w:rFonts w:ascii="Palatino Linotype" w:hAnsi="Palatino Linotype"/>
          <w:b/>
          <w:color w:val="000000" w:themeColor="text1"/>
        </w:rPr>
        <w:t xml:space="preserve">b) El acto de autoridad que afecta ese derecho. </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spacing w:line="360" w:lineRule="auto"/>
        <w:jc w:val="both"/>
        <w:rPr>
          <w:rFonts w:ascii="Palatino Linotype" w:hAnsi="Palatino Linotype"/>
          <w:color w:val="000000" w:themeColor="text1"/>
        </w:rPr>
      </w:pPr>
      <w:r w:rsidRPr="006422A2">
        <w:rPr>
          <w:rFonts w:ascii="Palatino Linotype" w:hAnsi="Palatino Linotype"/>
          <w:b/>
          <w:color w:val="000000" w:themeColor="text1"/>
        </w:rPr>
        <w:t>Respecto al interés legítimo</w:t>
      </w:r>
    </w:p>
    <w:p w:rsidR="00F229F3" w:rsidRPr="006422A2" w:rsidRDefault="00F229F3" w:rsidP="006422A2">
      <w:pPr>
        <w:pStyle w:val="Prrafodelista"/>
        <w:numPr>
          <w:ilvl w:val="0"/>
          <w:numId w:val="15"/>
        </w:numPr>
        <w:spacing w:line="360" w:lineRule="auto"/>
        <w:ind w:left="0" w:firstLine="0"/>
        <w:jc w:val="both"/>
        <w:rPr>
          <w:rFonts w:ascii="Palatino Linotype" w:hAnsi="Palatino Linotype"/>
          <w:b/>
          <w:color w:val="000000" w:themeColor="text1"/>
        </w:rPr>
      </w:pPr>
      <w:r w:rsidRPr="006422A2">
        <w:rPr>
          <w:rFonts w:ascii="Palatino Linotype" w:hAnsi="Palatino Linotype"/>
          <w:b/>
          <w:color w:val="000000" w:themeColor="text1"/>
        </w:rPr>
        <w:t>Cualquier persona que invoque situaciones de hecho protegidas por el orden jurídico, y</w:t>
      </w:r>
    </w:p>
    <w:p w:rsidR="00F229F3" w:rsidRPr="006422A2" w:rsidRDefault="00F229F3" w:rsidP="006422A2">
      <w:pPr>
        <w:pStyle w:val="Prrafodelista"/>
        <w:numPr>
          <w:ilvl w:val="0"/>
          <w:numId w:val="15"/>
        </w:numPr>
        <w:spacing w:line="360" w:lineRule="auto"/>
        <w:ind w:left="0" w:firstLine="0"/>
        <w:jc w:val="both"/>
        <w:rPr>
          <w:rFonts w:ascii="Palatino Linotype" w:hAnsi="Palatino Linotype"/>
          <w:b/>
          <w:color w:val="000000" w:themeColor="text1"/>
        </w:rPr>
      </w:pPr>
      <w:r w:rsidRPr="006422A2">
        <w:rPr>
          <w:rFonts w:ascii="Palatino Linotype" w:hAnsi="Palatino Linotype"/>
          <w:b/>
          <w:color w:val="000000" w:themeColor="text1"/>
        </w:rPr>
        <w:t xml:space="preserve">Se diferencien del conjunto general de la sociedad. </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 xml:space="preserve">Por éste, debe entenderse aquel interés personal, individual o colectivo, cualificado, actual, real y jurídicamente relevante, que puede traducirse en un beneficio jurídico en favor del peticionario derivado de una afectación a su esfera jurídica en sentido amplio, que puede ser de índole económica, profesional, de salud, o de cualquier otra. </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t xml:space="preserve">En ese sentido, una persona física goza de interés legítimo cuando no teniendo un derecho subjetivo (es decir, sin contar con un interés jurídico), por su situación objetiva y particular, y por razones de hecho o de derecho se ve afectada en su esfera jurídica. Así, para determinar que una persona cuenta con un interés legítimo debe acreditar lo siguiente: </w:t>
      </w:r>
    </w:p>
    <w:p w:rsidR="00F229F3" w:rsidRPr="006422A2" w:rsidRDefault="00F229F3" w:rsidP="006422A2">
      <w:pPr>
        <w:spacing w:line="360" w:lineRule="auto"/>
        <w:jc w:val="both"/>
        <w:rPr>
          <w:rFonts w:ascii="Palatino Linotype" w:hAnsi="Palatino Linotype"/>
          <w:b/>
          <w:color w:val="000000" w:themeColor="text1"/>
        </w:rPr>
      </w:pPr>
      <w:r w:rsidRPr="006422A2">
        <w:rPr>
          <w:rFonts w:ascii="Palatino Linotype" w:hAnsi="Palatino Linotype"/>
          <w:b/>
          <w:color w:val="000000" w:themeColor="text1"/>
        </w:rPr>
        <w:t xml:space="preserve">a) La existencia de una norma constitucional en la que se establezca o tutele algún interés difuso en beneficio de una colectividad determinada; </w:t>
      </w:r>
    </w:p>
    <w:p w:rsidR="00F229F3" w:rsidRPr="006422A2" w:rsidRDefault="00F229F3" w:rsidP="006422A2">
      <w:pPr>
        <w:spacing w:line="360" w:lineRule="auto"/>
        <w:jc w:val="both"/>
        <w:rPr>
          <w:rFonts w:ascii="Palatino Linotype" w:hAnsi="Palatino Linotype"/>
          <w:b/>
          <w:color w:val="000000" w:themeColor="text1"/>
        </w:rPr>
      </w:pPr>
      <w:r w:rsidRPr="006422A2">
        <w:rPr>
          <w:rFonts w:ascii="Palatino Linotype" w:hAnsi="Palatino Linotype"/>
          <w:b/>
          <w:color w:val="000000" w:themeColor="text1"/>
        </w:rPr>
        <w:t>b) Que el acto reclamado transgreda ese interés difuso, ya sea de manera individual o colectiva; y</w:t>
      </w:r>
    </w:p>
    <w:p w:rsidR="00F229F3" w:rsidRPr="006422A2" w:rsidRDefault="00F229F3" w:rsidP="006422A2">
      <w:pPr>
        <w:spacing w:line="360" w:lineRule="auto"/>
        <w:jc w:val="both"/>
        <w:rPr>
          <w:rFonts w:ascii="Palatino Linotype" w:hAnsi="Palatino Linotype"/>
          <w:b/>
          <w:color w:val="000000" w:themeColor="text1"/>
        </w:rPr>
      </w:pPr>
      <w:r w:rsidRPr="006422A2">
        <w:rPr>
          <w:rFonts w:ascii="Palatino Linotype" w:hAnsi="Palatino Linotype"/>
          <w:b/>
          <w:color w:val="000000" w:themeColor="text1"/>
        </w:rPr>
        <w:t>c) La pertenencia de la persona, a la colectividad a la cual le fue establecido o tutelado un interés difuso.</w:t>
      </w:r>
    </w:p>
    <w:p w:rsidR="00F229F3" w:rsidRPr="006422A2" w:rsidRDefault="00F229F3" w:rsidP="006422A2">
      <w:pPr>
        <w:spacing w:line="360" w:lineRule="auto"/>
        <w:jc w:val="both"/>
        <w:rPr>
          <w:rFonts w:ascii="Palatino Linotype" w:hAnsi="Palatino Linotype"/>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color w:val="000000" w:themeColor="text1"/>
        </w:rPr>
        <w:lastRenderedPageBreak/>
        <w:t xml:space="preserve">Concatenado a ello, resulta indispensable citar el contenido de los Lineamientos Generales de Protección de Datos Personales para el Sector Público, en el numeral 75, que es el siguiente: </w:t>
      </w: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b/>
          <w:i/>
          <w:color w:val="000000" w:themeColor="text1"/>
        </w:rPr>
        <w:t>Artículo 75.</w:t>
      </w:r>
      <w:r w:rsidRPr="006422A2">
        <w:rPr>
          <w:rFonts w:ascii="Palatino Linotype" w:hAnsi="Palatino Linotype"/>
          <w:i/>
          <w:color w:val="000000" w:themeColor="text1"/>
        </w:rPr>
        <w:t xml:space="preserve"> De conformidad con el artículo 49, último párrafo de la Ley General, tratándose de datos personales concernientes a personas fallecidas, la persona que acredite tener un interés jurídico podrá ejercer los derechos ARCO. 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00F229F3" w:rsidRPr="006422A2" w:rsidRDefault="00F229F3" w:rsidP="006422A2">
      <w:pPr>
        <w:jc w:val="both"/>
        <w:rPr>
          <w:rFonts w:ascii="Palatino Linotype" w:hAnsi="Palatino Linotype"/>
          <w:i/>
          <w:color w:val="000000" w:themeColor="text1"/>
        </w:rPr>
      </w:pP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 xml:space="preserve"> 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rsidR="00F229F3" w:rsidRPr="006422A2" w:rsidRDefault="00F229F3" w:rsidP="006422A2">
      <w:pPr>
        <w:jc w:val="both"/>
        <w:rPr>
          <w:rFonts w:ascii="Palatino Linotype" w:hAnsi="Palatino Linotype"/>
          <w:i/>
          <w:color w:val="000000" w:themeColor="text1"/>
        </w:rPr>
      </w:pP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 xml:space="preserve">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 </w:t>
      </w:r>
    </w:p>
    <w:p w:rsidR="00F229F3" w:rsidRPr="006422A2" w:rsidRDefault="00F229F3" w:rsidP="006422A2">
      <w:pPr>
        <w:jc w:val="both"/>
        <w:rPr>
          <w:rFonts w:ascii="Palatino Linotype" w:hAnsi="Palatino Linotype"/>
          <w:i/>
          <w:color w:val="000000" w:themeColor="text1"/>
        </w:rPr>
      </w:pP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F229F3" w:rsidRPr="006422A2" w:rsidRDefault="00F229F3" w:rsidP="006422A2">
      <w:pPr>
        <w:jc w:val="both"/>
        <w:rPr>
          <w:rFonts w:ascii="Palatino Linotype" w:hAnsi="Palatino Linotype"/>
          <w:i/>
          <w:color w:val="000000" w:themeColor="text1"/>
        </w:rPr>
      </w:pPr>
    </w:p>
    <w:p w:rsidR="00F229F3"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rsidR="00F229F3" w:rsidRPr="006422A2" w:rsidRDefault="00F229F3" w:rsidP="006422A2">
      <w:pPr>
        <w:jc w:val="both"/>
        <w:rPr>
          <w:rFonts w:ascii="Palatino Linotype" w:hAnsi="Palatino Linotype"/>
          <w:i/>
          <w:color w:val="000000" w:themeColor="text1"/>
        </w:rPr>
      </w:pPr>
    </w:p>
    <w:p w:rsidR="00F229F3" w:rsidRPr="006422A2" w:rsidRDefault="00F229F3" w:rsidP="006422A2">
      <w:pPr>
        <w:numPr>
          <w:ilvl w:val="0"/>
          <w:numId w:val="4"/>
        </w:numPr>
        <w:spacing w:line="360" w:lineRule="auto"/>
        <w:ind w:left="0" w:firstLine="0"/>
        <w:jc w:val="both"/>
        <w:rPr>
          <w:rFonts w:ascii="Palatino Linotype" w:hAnsi="Palatino Linotype"/>
          <w:color w:val="000000" w:themeColor="text1"/>
        </w:rPr>
      </w:pPr>
      <w:r w:rsidRPr="006422A2">
        <w:rPr>
          <w:rFonts w:ascii="Palatino Linotype" w:hAnsi="Palatino Linotype"/>
          <w:b/>
          <w:color w:val="000000" w:themeColor="text1"/>
        </w:rPr>
        <w:t xml:space="preserve">Interés </w:t>
      </w:r>
      <w:r w:rsidR="00E205BC" w:rsidRPr="006422A2">
        <w:rPr>
          <w:rFonts w:ascii="Palatino Linotype" w:hAnsi="Palatino Linotype"/>
          <w:b/>
          <w:color w:val="000000" w:themeColor="text1"/>
        </w:rPr>
        <w:t xml:space="preserve">jurídico y </w:t>
      </w:r>
      <w:r w:rsidRPr="006422A2">
        <w:rPr>
          <w:rFonts w:ascii="Palatino Linotype" w:hAnsi="Palatino Linotype"/>
          <w:b/>
          <w:color w:val="000000" w:themeColor="text1"/>
        </w:rPr>
        <w:t>legítimo</w:t>
      </w:r>
      <w:r w:rsidRPr="006422A2">
        <w:rPr>
          <w:rFonts w:ascii="Palatino Linotype" w:hAnsi="Palatino Linotype"/>
          <w:color w:val="000000" w:themeColor="text1"/>
        </w:rPr>
        <w:t xml:space="preserve"> que fue </w:t>
      </w:r>
      <w:r w:rsidRPr="006422A2">
        <w:rPr>
          <w:rFonts w:ascii="Palatino Linotype" w:hAnsi="Palatino Linotype"/>
          <w:b/>
          <w:color w:val="000000" w:themeColor="text1"/>
        </w:rPr>
        <w:t>acreditado</w:t>
      </w:r>
      <w:r w:rsidRPr="006422A2">
        <w:rPr>
          <w:rFonts w:ascii="Palatino Linotype" w:hAnsi="Palatino Linotype"/>
          <w:color w:val="000000" w:themeColor="text1"/>
        </w:rPr>
        <w:t xml:space="preserve"> por la parte Recurrente al momento de interponer su solicitud, con los documentos que adjuntó a la misma, para acceder a la información de su </w:t>
      </w:r>
      <w:r w:rsidR="00C709B1" w:rsidRPr="006422A2">
        <w:rPr>
          <w:rFonts w:ascii="Palatino Linotype" w:hAnsi="Palatino Linotype"/>
          <w:color w:val="000000" w:themeColor="text1"/>
        </w:rPr>
        <w:t>cónyuge fallecido</w:t>
      </w:r>
      <w:r w:rsidRPr="006422A2">
        <w:rPr>
          <w:rFonts w:ascii="Palatino Linotype" w:hAnsi="Palatino Linotype"/>
          <w:color w:val="000000" w:themeColor="text1"/>
        </w:rPr>
        <w:t xml:space="preserve"> a través de los Derechos ARCO.</w:t>
      </w:r>
    </w:p>
    <w:p w:rsidR="00F229F3" w:rsidRPr="006422A2" w:rsidRDefault="00F229F3" w:rsidP="006422A2">
      <w:pPr>
        <w:tabs>
          <w:tab w:val="left" w:pos="4962"/>
        </w:tabs>
        <w:autoSpaceDE w:val="0"/>
        <w:autoSpaceDN w:val="0"/>
        <w:adjustRightInd w:val="0"/>
        <w:spacing w:line="360" w:lineRule="auto"/>
        <w:contextualSpacing/>
        <w:jc w:val="both"/>
        <w:rPr>
          <w:rFonts w:ascii="Palatino Linotype" w:eastAsia="Calibri" w:hAnsi="Palatino Linotype" w:cs="Tahoma"/>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lastRenderedPageBreak/>
        <w:t xml:space="preserve">En ese sentido, es importante recordar que la información solicitada por la </w:t>
      </w:r>
      <w:r w:rsidRPr="006422A2">
        <w:rPr>
          <w:rFonts w:ascii="Palatino Linotype" w:eastAsia="Palatino Linotype" w:hAnsi="Palatino Linotype" w:cs="Palatino Linotype"/>
          <w:b/>
          <w:color w:val="000000" w:themeColor="text1"/>
        </w:rPr>
        <w:t xml:space="preserve">RECURRENTE </w:t>
      </w:r>
      <w:r w:rsidRPr="006422A2">
        <w:rPr>
          <w:rFonts w:ascii="Palatino Linotype" w:eastAsia="Palatino Linotype" w:hAnsi="Palatino Linotype" w:cs="Palatino Linotype"/>
          <w:color w:val="000000" w:themeColor="text1"/>
        </w:rPr>
        <w:t xml:space="preserve">fue la siguiente. </w:t>
      </w:r>
    </w:p>
    <w:p w:rsidR="00F229F3" w:rsidRPr="006422A2" w:rsidRDefault="00F60E50" w:rsidP="006422A2">
      <w:pPr>
        <w:pBdr>
          <w:top w:val="nil"/>
          <w:left w:val="nil"/>
          <w:bottom w:val="nil"/>
          <w:right w:val="nil"/>
          <w:between w:val="nil"/>
        </w:pBdr>
        <w:jc w:val="both"/>
        <w:rPr>
          <w:rFonts w:ascii="Palatino Linotype" w:eastAsia="Palatino Linotype" w:hAnsi="Palatino Linotype" w:cs="Palatino Linotype"/>
          <w:b/>
          <w:color w:val="000000" w:themeColor="text1"/>
        </w:rPr>
      </w:pPr>
      <w:r w:rsidRPr="006422A2">
        <w:rPr>
          <w:rFonts w:ascii="Palatino Linotype" w:eastAsia="Palatino Linotype" w:hAnsi="Palatino Linotype" w:cs="Palatino Linotype"/>
          <w:b/>
          <w:color w:val="000000" w:themeColor="text1"/>
        </w:rPr>
        <w:t xml:space="preserve">Solicito copia certificada del Dictamen de Riesgo de Trabajo del </w:t>
      </w:r>
      <w:r w:rsidR="00EC3096">
        <w:rPr>
          <w:rFonts w:ascii="Palatino Linotype" w:eastAsia="Palatino Linotype" w:hAnsi="Palatino Linotype" w:cs="Palatino Linotype"/>
          <w:b/>
          <w:color w:val="000000" w:themeColor="text1"/>
        </w:rPr>
        <w:t>XXXX</w:t>
      </w:r>
      <w:r w:rsidRPr="006422A2">
        <w:rPr>
          <w:rFonts w:ascii="Palatino Linotype" w:eastAsia="Palatino Linotype" w:hAnsi="Palatino Linotype" w:cs="Palatino Linotype"/>
          <w:b/>
          <w:color w:val="000000" w:themeColor="text1"/>
        </w:rPr>
        <w:t>, quien laboraba para la Dirección de Seguridad Pública y Tránsito Municipal de Amecameca y quien falleció el día 21 de agosto de 2024, con la finalidad de ingresar dicho documento al Expediente Número: SAE/483/2024, del Tribunal Estatal de Conciliación y Arbitraje del Estado de México, Sala Auxiliar de Ecatepec, para la designación de beneficiarios y reclamación de las prestaciones a que tengo derecho como espo</w:t>
      </w:r>
      <w:r w:rsidR="00974BB3" w:rsidRPr="006422A2">
        <w:rPr>
          <w:rFonts w:ascii="Palatino Linotype" w:eastAsia="Palatino Linotype" w:hAnsi="Palatino Linotype" w:cs="Palatino Linotype"/>
          <w:b/>
          <w:color w:val="000000" w:themeColor="text1"/>
        </w:rPr>
        <w:t>sa del finado</w:t>
      </w:r>
      <w:r w:rsidR="00F229F3" w:rsidRPr="006422A2">
        <w:rPr>
          <w:rFonts w:ascii="Palatino Linotype" w:eastAsia="Palatino Linotype" w:hAnsi="Palatino Linotype" w:cs="Palatino Linotype"/>
          <w:b/>
          <w:color w:val="000000" w:themeColor="text1"/>
        </w:rPr>
        <w:t>.</w:t>
      </w:r>
    </w:p>
    <w:p w:rsidR="00F229F3" w:rsidRDefault="00F229F3" w:rsidP="006422A2">
      <w:pPr>
        <w:pStyle w:val="Prrafodelista"/>
        <w:ind w:left="0"/>
        <w:rPr>
          <w:rFonts w:ascii="Palatino Linotype" w:eastAsia="Palatino Linotype" w:hAnsi="Palatino Linotype" w:cs="Palatino Linotype"/>
          <w:color w:val="000000" w:themeColor="text1"/>
        </w:rPr>
      </w:pPr>
    </w:p>
    <w:p w:rsidR="00210F32" w:rsidRPr="006422A2" w:rsidRDefault="00210F32" w:rsidP="006422A2">
      <w:pPr>
        <w:pStyle w:val="Prrafodelista"/>
        <w:ind w:left="0"/>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contextualSpacing/>
        <w:jc w:val="both"/>
        <w:rPr>
          <w:rFonts w:ascii="Palatino Linotype" w:hAnsi="Palatino Linotype" w:cs="Tahoma"/>
          <w:bCs/>
          <w:color w:val="000000" w:themeColor="text1"/>
        </w:rPr>
      </w:pPr>
      <w:r w:rsidRPr="006422A2">
        <w:rPr>
          <w:rFonts w:ascii="Palatino Linotype" w:eastAsia="Palatino Linotype" w:hAnsi="Palatino Linotype" w:cs="Palatino Linotype"/>
          <w:color w:val="000000" w:themeColor="text1"/>
        </w:rPr>
        <w:t xml:space="preserve">De lo anterior, se debe de indicar que dicha información </w:t>
      </w:r>
      <w:r w:rsidRPr="006422A2">
        <w:rPr>
          <w:rFonts w:ascii="Palatino Linotype" w:eastAsia="Palatino Linotype" w:hAnsi="Palatino Linotype" w:cs="Palatino Linotype"/>
          <w:b/>
          <w:color w:val="000000" w:themeColor="text1"/>
        </w:rPr>
        <w:t>se solicitó en copia certificada</w:t>
      </w:r>
      <w:r w:rsidRPr="006422A2">
        <w:rPr>
          <w:rFonts w:ascii="Palatino Linotype" w:eastAsia="Palatino Linotype" w:hAnsi="Palatino Linotype" w:cs="Palatino Linotype"/>
          <w:color w:val="000000" w:themeColor="text1"/>
        </w:rPr>
        <w:t xml:space="preserve"> y que al momento de solicitar la información se adjuntaron documentos que acreditan el vínculo filial entre </w:t>
      </w:r>
      <w:r w:rsidR="00C064BB" w:rsidRPr="006422A2">
        <w:rPr>
          <w:rFonts w:ascii="Palatino Linotype" w:eastAsia="Palatino Linotype" w:hAnsi="Palatino Linotype" w:cs="Palatino Linotype"/>
          <w:color w:val="000000" w:themeColor="text1"/>
        </w:rPr>
        <w:t>la solicitante y</w:t>
      </w:r>
      <w:r w:rsidRPr="006422A2">
        <w:rPr>
          <w:rFonts w:ascii="Palatino Linotype" w:eastAsia="Palatino Linotype" w:hAnsi="Palatino Linotype" w:cs="Palatino Linotype"/>
          <w:color w:val="000000" w:themeColor="text1"/>
        </w:rPr>
        <w:t xml:space="preserve"> </w:t>
      </w:r>
      <w:r w:rsidR="00C064BB" w:rsidRPr="006422A2">
        <w:rPr>
          <w:rFonts w:ascii="Palatino Linotype" w:eastAsia="Palatino Linotype" w:hAnsi="Palatino Linotype" w:cs="Palatino Linotype"/>
          <w:color w:val="000000" w:themeColor="text1"/>
        </w:rPr>
        <w:t>el servidor público finado</w:t>
      </w:r>
      <w:r w:rsidRPr="006422A2">
        <w:rPr>
          <w:rFonts w:ascii="Palatino Linotype" w:eastAsia="Palatino Linotype" w:hAnsi="Palatino Linotype" w:cs="Palatino Linotype"/>
          <w:color w:val="000000" w:themeColor="text1"/>
        </w:rPr>
        <w:t>,</w:t>
      </w:r>
      <w:r w:rsidR="00C064BB" w:rsidRPr="006422A2">
        <w:rPr>
          <w:rFonts w:ascii="Palatino Linotype" w:eastAsia="Palatino Linotype" w:hAnsi="Palatino Linotype" w:cs="Palatino Linotype"/>
          <w:color w:val="000000" w:themeColor="text1"/>
        </w:rPr>
        <w:t xml:space="preserve"> así como la identidad de ambos,</w:t>
      </w:r>
      <w:r w:rsidRPr="006422A2">
        <w:rPr>
          <w:rFonts w:ascii="Palatino Linotype" w:eastAsia="Palatino Linotype" w:hAnsi="Palatino Linotype" w:cs="Palatino Linotype"/>
          <w:color w:val="000000" w:themeColor="text1"/>
        </w:rPr>
        <w:t xml:space="preserve"> documentales que ya fueron descritas.</w:t>
      </w:r>
    </w:p>
    <w:p w:rsidR="00F229F3" w:rsidRPr="006422A2" w:rsidRDefault="00F229F3" w:rsidP="006422A2">
      <w:pPr>
        <w:pBdr>
          <w:top w:val="nil"/>
          <w:left w:val="nil"/>
          <w:bottom w:val="nil"/>
          <w:right w:val="nil"/>
          <w:between w:val="nil"/>
        </w:pBdr>
        <w:spacing w:line="360" w:lineRule="auto"/>
        <w:contextualSpacing/>
        <w:jc w:val="both"/>
        <w:rPr>
          <w:rFonts w:ascii="Palatino Linotype" w:hAnsi="Palatino Linotype" w:cs="Tahoma"/>
          <w:bCs/>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Derivado de la solicitud, el </w:t>
      </w:r>
      <w:r w:rsidRPr="006422A2">
        <w:rPr>
          <w:rFonts w:ascii="Palatino Linotype" w:eastAsia="Palatino Linotype" w:hAnsi="Palatino Linotype" w:cs="Palatino Linotype"/>
          <w:b/>
          <w:caps/>
          <w:color w:val="000000" w:themeColor="text1"/>
        </w:rPr>
        <w:t>Sujeto Obligado</w:t>
      </w:r>
      <w:r w:rsidRPr="006422A2">
        <w:rPr>
          <w:rFonts w:ascii="Palatino Linotype" w:eastAsia="Palatino Linotype" w:hAnsi="Palatino Linotype" w:cs="Palatino Linotype"/>
          <w:color w:val="000000" w:themeColor="text1"/>
        </w:rPr>
        <w:t xml:space="preserve"> realizó una solicitud de aclaración a fin de que la </w:t>
      </w:r>
      <w:r w:rsidRPr="006422A2">
        <w:rPr>
          <w:rFonts w:ascii="Palatino Linotype" w:eastAsia="Palatino Linotype" w:hAnsi="Palatino Linotype" w:cs="Palatino Linotype"/>
          <w:b/>
          <w:color w:val="000000" w:themeColor="text1"/>
        </w:rPr>
        <w:t xml:space="preserve">SOLICITANTE </w:t>
      </w:r>
      <w:r w:rsidRPr="006422A2">
        <w:rPr>
          <w:rFonts w:ascii="Palatino Linotype" w:eastAsia="Palatino Linotype" w:hAnsi="Palatino Linotype" w:cs="Palatino Linotype"/>
          <w:color w:val="000000" w:themeColor="text1"/>
        </w:rPr>
        <w:t>entregara la documentación que acreditara la representación legal para acceder a los datos personales de la persona finada.</w:t>
      </w:r>
    </w:p>
    <w:p w:rsidR="00F229F3" w:rsidRPr="006422A2" w:rsidRDefault="00F229F3" w:rsidP="006422A2">
      <w:pPr>
        <w:spacing w:line="360" w:lineRule="auto"/>
        <w:contextualSpacing/>
        <w:jc w:val="both"/>
        <w:rPr>
          <w:rFonts w:ascii="Palatino Linotype" w:hAnsi="Palatino Linotype" w:cs="Tahoma"/>
          <w:bCs/>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422A2">
        <w:rPr>
          <w:rFonts w:ascii="Palatino Linotype" w:eastAsia="Palatino Linotype" w:hAnsi="Palatino Linotype" w:cs="Palatino Linotype"/>
          <w:color w:val="000000" w:themeColor="text1"/>
        </w:rPr>
        <w:t xml:space="preserve">Por su parte, la </w:t>
      </w:r>
      <w:r w:rsidRPr="006422A2">
        <w:rPr>
          <w:rFonts w:ascii="Palatino Linotype" w:eastAsia="Palatino Linotype" w:hAnsi="Palatino Linotype" w:cs="Palatino Linotype"/>
          <w:b/>
          <w:color w:val="000000" w:themeColor="text1"/>
        </w:rPr>
        <w:t xml:space="preserve">SOLICITANTE </w:t>
      </w:r>
      <w:r w:rsidRPr="006422A2">
        <w:rPr>
          <w:rFonts w:ascii="Palatino Linotype" w:eastAsia="Palatino Linotype" w:hAnsi="Palatino Linotype" w:cs="Palatino Linotype"/>
          <w:color w:val="000000" w:themeColor="text1"/>
        </w:rPr>
        <w:t xml:space="preserve">omitió desahogar la solicitud de aclaración y por ello, el Sujeto Obligado determinó </w:t>
      </w:r>
      <w:r w:rsidRPr="006422A2">
        <w:rPr>
          <w:rFonts w:ascii="Palatino Linotype" w:hAnsi="Palatino Linotype"/>
          <w:color w:val="000000" w:themeColor="text1"/>
        </w:rPr>
        <w:t>no tenerla por presentada, por no atender el requerimiento realizado.</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De la respuesta emitida por el Sujeto Obligado, el Particular interpuso el presente </w:t>
      </w:r>
      <w:r w:rsidRPr="006422A2">
        <w:rPr>
          <w:rFonts w:ascii="Palatino Linotype" w:eastAsia="Palatino Linotype" w:hAnsi="Palatino Linotype" w:cs="Palatino Linotype"/>
          <w:b/>
          <w:color w:val="000000" w:themeColor="text1"/>
        </w:rPr>
        <w:t>Recurso de Revisión</w:t>
      </w:r>
      <w:r w:rsidRPr="006422A2">
        <w:rPr>
          <w:rFonts w:ascii="Palatino Linotype" w:eastAsia="Palatino Linotype" w:hAnsi="Palatino Linotype" w:cs="Palatino Linotype"/>
          <w:color w:val="000000" w:themeColor="text1"/>
        </w:rPr>
        <w:t xml:space="preserve">, en el que manifestó su inconformidad con la respuesta bajo el argumento de no haber recibido los datos a los que se desea tener acceso aún al haber acreditado </w:t>
      </w:r>
      <w:r w:rsidR="005A39CE" w:rsidRPr="006422A2">
        <w:rPr>
          <w:rFonts w:ascii="Palatino Linotype" w:eastAsia="Palatino Linotype" w:hAnsi="Palatino Linotype" w:cs="Palatino Linotype"/>
          <w:color w:val="000000" w:themeColor="text1"/>
        </w:rPr>
        <w:t xml:space="preserve">interés legítimo </w:t>
      </w:r>
      <w:r w:rsidRPr="006422A2">
        <w:rPr>
          <w:rFonts w:ascii="Palatino Linotype" w:eastAsia="Palatino Linotype" w:hAnsi="Palatino Linotype" w:cs="Palatino Linotype"/>
          <w:color w:val="000000" w:themeColor="text1"/>
        </w:rPr>
        <w:t xml:space="preserve">como </w:t>
      </w:r>
      <w:r w:rsidR="005A39CE" w:rsidRPr="006422A2">
        <w:rPr>
          <w:rFonts w:ascii="Palatino Linotype" w:eastAsia="Palatino Linotype" w:hAnsi="Palatino Linotype" w:cs="Palatino Linotype"/>
          <w:color w:val="000000" w:themeColor="text1"/>
        </w:rPr>
        <w:t>cónyuge del servidor público finado</w:t>
      </w:r>
      <w:r w:rsidRPr="006422A2">
        <w:rPr>
          <w:rFonts w:ascii="Palatino Linotype" w:eastAsia="Palatino Linotype" w:hAnsi="Palatino Linotype" w:cs="Palatino Linotype"/>
          <w:color w:val="000000" w:themeColor="text1"/>
        </w:rPr>
        <w:t>.</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lastRenderedPageBreak/>
        <w:t>Así posterior a la admisión del presente Recurso de Revisión, ambas partes manifestaron expresamente su voluntad para conciliar el presente asunto, por lo que, se realizó un análisis a la solicitud de acceso a datos personales y a los documentos entregados para acceder a ella y se determinaron elementos suficientes para citar a las partes a audiencia de conciliación.</w:t>
      </w:r>
    </w:p>
    <w:p w:rsidR="00F229F3" w:rsidRPr="006422A2" w:rsidRDefault="00F229F3" w:rsidP="006422A2">
      <w:pPr>
        <w:spacing w:line="360" w:lineRule="auto"/>
        <w:contextualSpacing/>
        <w:jc w:val="both"/>
        <w:rPr>
          <w:rFonts w:ascii="Palatino Linotype" w:hAnsi="Palatino Linotype" w:cs="Tahoma"/>
          <w:bCs/>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A la </w:t>
      </w:r>
      <w:r w:rsidRPr="006422A2">
        <w:rPr>
          <w:rFonts w:ascii="Palatino Linotype" w:eastAsia="Palatino Linotype" w:hAnsi="Palatino Linotype" w:cs="Palatino Linotype"/>
          <w:b/>
          <w:color w:val="000000" w:themeColor="text1"/>
        </w:rPr>
        <w:t>audiencia de conciliación</w:t>
      </w:r>
      <w:r w:rsidRPr="006422A2">
        <w:rPr>
          <w:rFonts w:ascii="Palatino Linotype" w:eastAsia="Palatino Linotype" w:hAnsi="Palatino Linotype" w:cs="Palatino Linotype"/>
          <w:color w:val="000000" w:themeColor="text1"/>
        </w:rPr>
        <w:t xml:space="preserve"> asistieron ambas partes, quienes una vez reconocidas, manifestaron sus posturas y se hizo constar principalmente lo siguiente:</w:t>
      </w:r>
    </w:p>
    <w:p w:rsidR="00267EDB" w:rsidRPr="006422A2" w:rsidRDefault="00F229F3" w:rsidP="006422A2">
      <w:pPr>
        <w:jc w:val="both"/>
        <w:rPr>
          <w:rFonts w:ascii="Palatino Linotype" w:hAnsi="Palatino Linotype"/>
          <w:i/>
          <w:color w:val="000000" w:themeColor="text1"/>
        </w:rPr>
      </w:pPr>
      <w:r w:rsidRPr="006422A2">
        <w:rPr>
          <w:rFonts w:ascii="Palatino Linotype" w:hAnsi="Palatino Linotype"/>
          <w:i/>
          <w:color w:val="000000" w:themeColor="text1"/>
        </w:rPr>
        <w:t>…</w:t>
      </w:r>
      <w:r w:rsidR="00267EDB" w:rsidRPr="006422A2">
        <w:rPr>
          <w:rFonts w:ascii="Palatino Linotype" w:hAnsi="Palatino Linotype"/>
          <w:color w:val="000000" w:themeColor="text1"/>
          <w:lang w:val="es-ES" w:eastAsia="es-ES"/>
        </w:rPr>
        <w:t xml:space="preserve"> </w:t>
      </w:r>
      <w:r w:rsidR="00267EDB" w:rsidRPr="006422A2">
        <w:rPr>
          <w:rFonts w:ascii="Palatino Linotype" w:hAnsi="Palatino Linotype"/>
          <w:i/>
          <w:color w:val="000000" w:themeColor="text1"/>
          <w:lang w:val="es-ES"/>
        </w:rPr>
        <w:t xml:space="preserve">el </w:t>
      </w:r>
      <w:r w:rsidR="00267EDB" w:rsidRPr="006422A2">
        <w:rPr>
          <w:rFonts w:ascii="Palatino Linotype" w:hAnsi="Palatino Linotype"/>
          <w:b/>
          <w:i/>
          <w:color w:val="000000" w:themeColor="text1"/>
          <w:lang w:val="es-ES"/>
        </w:rPr>
        <w:t xml:space="preserve">SUJETO OBLIGADO </w:t>
      </w:r>
      <w:r w:rsidR="00267EDB" w:rsidRPr="006422A2">
        <w:rPr>
          <w:rFonts w:ascii="Palatino Linotype" w:hAnsi="Palatino Linotype"/>
          <w:i/>
          <w:color w:val="000000" w:themeColor="text1"/>
          <w:lang w:val="es-ES"/>
        </w:rPr>
        <w:t xml:space="preserve">refirió que </w:t>
      </w:r>
      <w:r w:rsidR="00267EDB" w:rsidRPr="006422A2">
        <w:rPr>
          <w:rFonts w:ascii="Palatino Linotype" w:hAnsi="Palatino Linotype"/>
          <w:b/>
          <w:i/>
          <w:color w:val="000000" w:themeColor="text1"/>
          <w:lang w:val="es-ES"/>
        </w:rPr>
        <w:t>si cuenta con el documento</w:t>
      </w:r>
      <w:r w:rsidR="00267EDB" w:rsidRPr="006422A2">
        <w:rPr>
          <w:rFonts w:ascii="Palatino Linotype" w:hAnsi="Palatino Linotype"/>
          <w:i/>
          <w:color w:val="000000" w:themeColor="text1"/>
          <w:lang w:val="es-ES"/>
        </w:rPr>
        <w:t xml:space="preserve"> mismo que consta de una (01) foja y </w:t>
      </w:r>
      <w:r w:rsidR="00267EDB" w:rsidRPr="006422A2">
        <w:rPr>
          <w:rFonts w:ascii="Palatino Linotype" w:hAnsi="Palatino Linotype"/>
          <w:b/>
          <w:i/>
          <w:color w:val="000000" w:themeColor="text1"/>
          <w:lang w:val="es-ES"/>
        </w:rPr>
        <w:t>se proporcionará copia certificada sin costo</w:t>
      </w:r>
      <w:r w:rsidR="00267EDB" w:rsidRPr="006422A2">
        <w:rPr>
          <w:rFonts w:ascii="Palatino Linotype" w:hAnsi="Palatino Linotype"/>
          <w:i/>
          <w:color w:val="000000" w:themeColor="text1"/>
          <w:lang w:val="es-ES"/>
        </w:rPr>
        <w:t xml:space="preserve">, </w:t>
      </w:r>
      <w:r w:rsidR="00267EDB" w:rsidRPr="006422A2">
        <w:rPr>
          <w:rFonts w:ascii="Palatino Linotype" w:hAnsi="Palatino Linotype"/>
          <w:i/>
          <w:color w:val="000000" w:themeColor="text1"/>
        </w:rPr>
        <w:t>con base en el Criterio 02/18 emitido por el Instituto Nacional de Transparencia, Acceso a la Información y Protección de Datos Personales “INAI” que señala a la literalidad lo siguiente:</w:t>
      </w:r>
    </w:p>
    <w:p w:rsidR="00267EDB" w:rsidRPr="006422A2" w:rsidRDefault="00267EDB" w:rsidP="006422A2">
      <w:pPr>
        <w:jc w:val="both"/>
        <w:rPr>
          <w:rFonts w:ascii="Palatino Linotype" w:hAnsi="Palatino Linotype"/>
          <w:i/>
          <w:color w:val="000000" w:themeColor="text1"/>
        </w:rPr>
      </w:pPr>
    </w:p>
    <w:p w:rsidR="00267EDB" w:rsidRPr="006422A2" w:rsidRDefault="00267EDB" w:rsidP="006422A2">
      <w:pPr>
        <w:jc w:val="both"/>
        <w:rPr>
          <w:rFonts w:ascii="Palatino Linotype" w:hAnsi="Palatino Linotype"/>
          <w:i/>
          <w:color w:val="000000" w:themeColor="text1"/>
          <w:lang w:val="es-ES"/>
        </w:rPr>
      </w:pPr>
      <w:r w:rsidRPr="006422A2">
        <w:rPr>
          <w:rFonts w:ascii="Palatino Linotype" w:hAnsi="Palatino Linotype"/>
          <w:b/>
          <w:i/>
          <w:color w:val="000000" w:themeColor="text1"/>
          <w:lang w:val="es-ES"/>
        </w:rPr>
        <w:t>“Gratuidad de las primeras veinte hojas simples o certificadas</w:t>
      </w:r>
      <w:r w:rsidRPr="006422A2">
        <w:rPr>
          <w:rFonts w:ascii="Palatino Linotype" w:hAnsi="Palatino Linotype"/>
          <w:i/>
          <w:color w:val="000000" w:themeColor="text1"/>
          <w:lang w:val="es-ES"/>
        </w:rPr>
        <w:t>. Cuando la entrega de los datos personales sea a través de copias simples o certificadas, las primeras veinte hojas serán sin costo.”(Sic)</w:t>
      </w:r>
    </w:p>
    <w:p w:rsidR="00267EDB" w:rsidRPr="006422A2" w:rsidRDefault="00267EDB" w:rsidP="006422A2">
      <w:pPr>
        <w:jc w:val="both"/>
        <w:rPr>
          <w:rFonts w:ascii="Palatino Linotype" w:hAnsi="Palatino Linotype"/>
          <w:i/>
          <w:color w:val="000000" w:themeColor="text1"/>
          <w:lang w:val="es-ES"/>
        </w:rPr>
      </w:pPr>
    </w:p>
    <w:p w:rsidR="00267EDB" w:rsidRPr="006422A2" w:rsidRDefault="00267EDB" w:rsidP="006422A2">
      <w:pPr>
        <w:jc w:val="both"/>
        <w:rPr>
          <w:rFonts w:ascii="Palatino Linotype" w:hAnsi="Palatino Linotype"/>
          <w:i/>
          <w:color w:val="000000" w:themeColor="text1"/>
          <w:lang w:val="es-ES"/>
        </w:rPr>
      </w:pPr>
      <w:r w:rsidRPr="006422A2">
        <w:rPr>
          <w:rFonts w:ascii="Palatino Linotype" w:hAnsi="Palatino Linotype"/>
          <w:i/>
          <w:color w:val="000000" w:themeColor="text1"/>
          <w:lang w:val="es-ES"/>
        </w:rPr>
        <w:t>Para lo anterior, y toda vez que la solicitante se encontraba presente en el Módulo de Transparencia del Instituto de Seguridad Social del Estado de México y Municipios, refiriendo el Sujeto Obligado se le hará entrega en ese mismo momento del documento requerido.</w:t>
      </w:r>
    </w:p>
    <w:p w:rsidR="00267EDB" w:rsidRPr="006422A2" w:rsidRDefault="00267EDB" w:rsidP="006422A2">
      <w:pPr>
        <w:jc w:val="both"/>
        <w:rPr>
          <w:rFonts w:ascii="Palatino Linotype" w:hAnsi="Palatino Linotype"/>
          <w:i/>
          <w:color w:val="000000" w:themeColor="text1"/>
          <w:lang w:val="es-ES"/>
        </w:rPr>
      </w:pPr>
    </w:p>
    <w:p w:rsidR="00267EDB" w:rsidRPr="006422A2" w:rsidRDefault="0099674A" w:rsidP="006422A2">
      <w:pPr>
        <w:jc w:val="both"/>
        <w:rPr>
          <w:rFonts w:ascii="Palatino Linotype" w:hAnsi="Palatino Linotype"/>
          <w:b/>
          <w:i/>
          <w:color w:val="000000" w:themeColor="text1"/>
          <w:lang w:val="es-ES"/>
        </w:rPr>
      </w:pPr>
      <w:r w:rsidRPr="006422A2">
        <w:rPr>
          <w:rFonts w:ascii="Palatino Linotype" w:hAnsi="Palatino Linotype"/>
          <w:i/>
          <w:color w:val="000000" w:themeColor="text1"/>
          <w:lang w:val="es-ES"/>
        </w:rPr>
        <w:t>Se le</w:t>
      </w:r>
      <w:r w:rsidR="00267EDB" w:rsidRPr="006422A2">
        <w:rPr>
          <w:rFonts w:ascii="Palatino Linotype" w:hAnsi="Palatino Linotype"/>
          <w:i/>
          <w:color w:val="000000" w:themeColor="text1"/>
          <w:lang w:val="es-ES"/>
        </w:rPr>
        <w:t xml:space="preserve"> preguntó a la solicitante si con la entrega del documento mencionado ha quedado satisfecha su solicitud, a lo que asintió la</w:t>
      </w:r>
      <w:r w:rsidR="00267EDB" w:rsidRPr="006422A2">
        <w:rPr>
          <w:rFonts w:ascii="Palatino Linotype" w:hAnsi="Palatino Linotype"/>
          <w:b/>
          <w:i/>
          <w:color w:val="000000" w:themeColor="text1"/>
          <w:lang w:val="es-ES"/>
        </w:rPr>
        <w:t xml:space="preserve"> RECURRENTE.</w:t>
      </w:r>
    </w:p>
    <w:p w:rsidR="00267EDB" w:rsidRPr="006422A2" w:rsidRDefault="00267EDB" w:rsidP="006422A2">
      <w:pPr>
        <w:jc w:val="both"/>
        <w:rPr>
          <w:rFonts w:ascii="Palatino Linotype" w:hAnsi="Palatino Linotype"/>
          <w:b/>
          <w:i/>
          <w:color w:val="000000" w:themeColor="text1"/>
          <w:lang w:val="es-ES"/>
        </w:rPr>
      </w:pPr>
    </w:p>
    <w:p w:rsidR="00F229F3" w:rsidRPr="006422A2" w:rsidRDefault="00267EDB" w:rsidP="006422A2">
      <w:pPr>
        <w:jc w:val="both"/>
        <w:rPr>
          <w:rFonts w:ascii="Palatino Linotype" w:hAnsi="Palatino Linotype"/>
          <w:i/>
          <w:noProof/>
          <w:color w:val="000000" w:themeColor="text1"/>
        </w:rPr>
      </w:pPr>
      <w:r w:rsidRPr="006422A2">
        <w:rPr>
          <w:rFonts w:ascii="Palatino Linotype" w:hAnsi="Palatino Linotype"/>
          <w:i/>
          <w:color w:val="000000" w:themeColor="text1"/>
          <w:lang w:val="es-ES"/>
        </w:rPr>
        <w:t xml:space="preserve">Por lo anterior, se hizo del conocimiento al  </w:t>
      </w:r>
      <w:r w:rsidRPr="006422A2">
        <w:rPr>
          <w:rFonts w:ascii="Palatino Linotype" w:hAnsi="Palatino Linotype"/>
          <w:b/>
          <w:i/>
          <w:color w:val="000000" w:themeColor="text1"/>
          <w:lang w:val="es-ES"/>
        </w:rPr>
        <w:t xml:space="preserve">RECURRENTE, </w:t>
      </w:r>
      <w:r w:rsidRPr="006422A2">
        <w:rPr>
          <w:rFonts w:ascii="Palatino Linotype" w:hAnsi="Palatino Linotype"/>
          <w:i/>
          <w:color w:val="000000" w:themeColor="text1"/>
          <w:lang w:val="es-ES"/>
        </w:rPr>
        <w:t xml:space="preserve">que una vez recibido el documento objeto del presente recurso, firmará de conformidad y se tendrá por colmado su derecho de acceso a datos personales; en conclusión, se determinará que el recurso de revisión quedó sin materia una vez verificado el cumplimiento </w:t>
      </w:r>
      <w:r w:rsidRPr="006422A2">
        <w:rPr>
          <w:rFonts w:ascii="Palatino Linotype" w:hAnsi="Palatino Linotype"/>
          <w:i/>
          <w:color w:val="000000" w:themeColor="text1"/>
          <w:lang w:val="es-ES_tradnl"/>
        </w:rPr>
        <w:t>en términos del artículo 132, fracción V, de la Ley de Protección de Datos Personales en Posesión de Sujetos Obligados del Estado de México y Municipios.</w:t>
      </w:r>
    </w:p>
    <w:p w:rsidR="00F229F3" w:rsidRPr="006422A2" w:rsidRDefault="00F229F3" w:rsidP="006422A2">
      <w:pPr>
        <w:autoSpaceDE w:val="0"/>
        <w:autoSpaceDN w:val="0"/>
        <w:adjustRightInd w:val="0"/>
        <w:spacing w:line="360" w:lineRule="auto"/>
        <w:contextualSpacing/>
        <w:jc w:val="both"/>
        <w:rPr>
          <w:rFonts w:ascii="Palatino Linotype" w:hAnsi="Palatino Linotype" w:cs="Tahoma"/>
          <w:bCs/>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Así derivado de la audiencia celebrada con motivo del presente Recurso de Revisión, </w:t>
      </w:r>
      <w:r w:rsidR="00075EB3" w:rsidRPr="006422A2">
        <w:rPr>
          <w:rFonts w:ascii="Palatino Linotype" w:eastAsia="Palatino Linotype" w:hAnsi="Palatino Linotype" w:cs="Palatino Linotype"/>
          <w:b/>
          <w:color w:val="000000" w:themeColor="text1"/>
        </w:rPr>
        <w:t>la</w:t>
      </w:r>
      <w:r w:rsidRPr="006422A2">
        <w:rPr>
          <w:rFonts w:ascii="Palatino Linotype" w:eastAsia="Palatino Linotype" w:hAnsi="Palatino Linotype" w:cs="Palatino Linotype"/>
          <w:b/>
          <w:color w:val="000000" w:themeColor="text1"/>
        </w:rPr>
        <w:t xml:space="preserve"> Recurrente expresó estar de acuerdo con la misma</w:t>
      </w:r>
      <w:r w:rsidRPr="006422A2">
        <w:rPr>
          <w:rFonts w:ascii="Palatino Linotype" w:eastAsia="Palatino Linotype" w:hAnsi="Palatino Linotype" w:cs="Palatino Linotype"/>
          <w:color w:val="000000" w:themeColor="text1"/>
        </w:rPr>
        <w:t xml:space="preserve">, por lo que, con posterioridad a la </w:t>
      </w:r>
      <w:r w:rsidRPr="006422A2">
        <w:rPr>
          <w:rFonts w:ascii="Palatino Linotype" w:eastAsia="Palatino Linotype" w:hAnsi="Palatino Linotype" w:cs="Palatino Linotype"/>
          <w:color w:val="000000" w:themeColor="text1"/>
        </w:rPr>
        <w:lastRenderedPageBreak/>
        <w:t xml:space="preserve">celebración de la audiencia, </w:t>
      </w:r>
      <w:r w:rsidRPr="006422A2">
        <w:rPr>
          <w:rFonts w:ascii="Palatino Linotype" w:eastAsia="Palatino Linotype" w:hAnsi="Palatino Linotype" w:cs="Palatino Linotype"/>
          <w:b/>
          <w:color w:val="000000" w:themeColor="text1"/>
        </w:rPr>
        <w:t>firmó un documento en el que expresa haber recibido la información</w:t>
      </w:r>
      <w:r w:rsidRPr="006422A2">
        <w:rPr>
          <w:rFonts w:ascii="Palatino Linotype" w:eastAsia="Palatino Linotype" w:hAnsi="Palatino Linotype" w:cs="Palatino Linotype"/>
          <w:color w:val="000000" w:themeColor="text1"/>
        </w:rPr>
        <w:t xml:space="preserve">, el cual fue remitido por el Sujeto Obligado a través del Sistema de Acceso, Rectificación, Cancelación y Oposición de Datos Personales en el Estado de México (SARCOEM), tal y como se muestra en la siguiente captura de pantalla. </w:t>
      </w:r>
    </w:p>
    <w:p w:rsidR="00F229F3" w:rsidRDefault="000201D2" w:rsidP="006422A2">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0201D2">
        <w:rPr>
          <w:rFonts w:ascii="Palatino Linotype" w:eastAsia="Palatino Linotype" w:hAnsi="Palatino Linotype" w:cs="Palatino Linotype"/>
          <w:color w:val="000000" w:themeColor="text1"/>
        </w:rPr>
        <w:drawing>
          <wp:inline distT="0" distB="0" distL="0" distR="0" wp14:anchorId="63FFEECB" wp14:editId="406C8DD1">
            <wp:extent cx="2962688" cy="3877216"/>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62688" cy="3877216"/>
                    </a:xfrm>
                    <a:prstGeom prst="rect">
                      <a:avLst/>
                    </a:prstGeom>
                  </pic:spPr>
                </pic:pic>
              </a:graphicData>
            </a:graphic>
          </wp:inline>
        </w:drawing>
      </w:r>
      <w:bookmarkStart w:id="1" w:name="_GoBack"/>
      <w:bookmarkEnd w:id="1"/>
    </w:p>
    <w:p w:rsidR="000201D2" w:rsidRPr="006422A2" w:rsidRDefault="000201D2" w:rsidP="006422A2">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Por lo antes expuesto, se advierte que el Sujeto Obligado dejó sin materia el presente Recurso de Revisión, en virtud de que, </w:t>
      </w:r>
      <w:r w:rsidRPr="006422A2">
        <w:rPr>
          <w:rFonts w:ascii="Palatino Linotype" w:eastAsia="Palatino Linotype" w:hAnsi="Palatino Linotype" w:cs="Palatino Linotype"/>
          <w:b/>
          <w:color w:val="000000" w:themeColor="text1"/>
        </w:rPr>
        <w:t>durante la celebración de la audiencia de conciliación se acordó realizar la entrega del documento solicitado por la Recurrente en copias certificadas</w:t>
      </w:r>
      <w:r w:rsidRPr="006422A2">
        <w:rPr>
          <w:rFonts w:ascii="Palatino Linotype" w:eastAsia="Palatino Linotype" w:hAnsi="Palatino Linotype" w:cs="Palatino Linotype"/>
          <w:color w:val="000000" w:themeColor="text1"/>
        </w:rPr>
        <w:t xml:space="preserve">, por lo que, es de recordar que la Ley de Protección de Datos Personales Local, establece que </w:t>
      </w:r>
      <w:r w:rsidRPr="006422A2">
        <w:rPr>
          <w:rFonts w:ascii="Palatino Linotype" w:eastAsia="Palatino Linotype" w:hAnsi="Palatino Linotype" w:cs="Palatino Linotype"/>
          <w:b/>
          <w:color w:val="000000" w:themeColor="text1"/>
        </w:rPr>
        <w:t>si en la conciliación se llega a un acuerdo el Recurso de Revisión quedará sin materia</w:t>
      </w:r>
      <w:r w:rsidRPr="006422A2">
        <w:rPr>
          <w:rFonts w:ascii="Palatino Linotype" w:eastAsia="Palatino Linotype" w:hAnsi="Palatino Linotype" w:cs="Palatino Linotype"/>
          <w:color w:val="000000" w:themeColor="text1"/>
        </w:rPr>
        <w:t>:</w:t>
      </w:r>
    </w:p>
    <w:p w:rsidR="00F229F3" w:rsidRPr="006422A2" w:rsidRDefault="00F229F3" w:rsidP="006422A2">
      <w:pPr>
        <w:contextualSpacing/>
        <w:jc w:val="both"/>
        <w:rPr>
          <w:rFonts w:ascii="Palatino Linotype" w:hAnsi="Palatino Linotype"/>
          <w:b/>
          <w:i/>
          <w:color w:val="000000" w:themeColor="text1"/>
        </w:rPr>
      </w:pPr>
      <w:r w:rsidRPr="006422A2">
        <w:rPr>
          <w:rFonts w:ascii="Palatino Linotype" w:hAnsi="Palatino Linotype"/>
          <w:b/>
          <w:i/>
          <w:color w:val="000000" w:themeColor="text1"/>
        </w:rPr>
        <w:t xml:space="preserve">De la conciliación </w:t>
      </w:r>
    </w:p>
    <w:p w:rsidR="00F229F3" w:rsidRPr="006422A2" w:rsidRDefault="00F229F3" w:rsidP="006422A2">
      <w:pPr>
        <w:contextualSpacing/>
        <w:jc w:val="both"/>
        <w:rPr>
          <w:rFonts w:ascii="Palatino Linotype" w:hAnsi="Palatino Linotype"/>
          <w:i/>
          <w:color w:val="000000" w:themeColor="text1"/>
        </w:rPr>
      </w:pPr>
      <w:r w:rsidRPr="006422A2">
        <w:rPr>
          <w:rFonts w:ascii="Palatino Linotype" w:hAnsi="Palatino Linotype"/>
          <w:b/>
          <w:i/>
          <w:color w:val="000000" w:themeColor="text1"/>
        </w:rPr>
        <w:lastRenderedPageBreak/>
        <w:t>Artículo 131</w:t>
      </w:r>
      <w:r w:rsidRPr="006422A2">
        <w:rPr>
          <w:rFonts w:ascii="Palatino Linotype" w:hAnsi="Palatino Linotype"/>
          <w:i/>
          <w:color w:val="000000" w:themeColor="text1"/>
        </w:rPr>
        <w:t xml:space="preserve">. Una vez admitido el recurso de revisión, el Instituto podrá buscar una </w:t>
      </w:r>
      <w:r w:rsidRPr="006422A2">
        <w:rPr>
          <w:rFonts w:ascii="Palatino Linotype" w:hAnsi="Palatino Linotype"/>
          <w:b/>
          <w:i/>
          <w:color w:val="000000" w:themeColor="text1"/>
        </w:rPr>
        <w:t>conciliación</w:t>
      </w:r>
      <w:r w:rsidRPr="006422A2">
        <w:rPr>
          <w:rFonts w:ascii="Palatino Linotype" w:hAnsi="Palatino Linotype"/>
          <w:i/>
          <w:color w:val="000000" w:themeColor="text1"/>
        </w:rPr>
        <w:t xml:space="preserve"> entre el titular y el responsable. </w:t>
      </w:r>
    </w:p>
    <w:p w:rsidR="00F229F3" w:rsidRPr="006422A2" w:rsidRDefault="00F229F3" w:rsidP="006422A2">
      <w:pPr>
        <w:contextualSpacing/>
        <w:jc w:val="both"/>
        <w:rPr>
          <w:rFonts w:ascii="Palatino Linotype" w:hAnsi="Palatino Linotype"/>
          <w:i/>
          <w:color w:val="000000" w:themeColor="text1"/>
        </w:rPr>
      </w:pPr>
    </w:p>
    <w:p w:rsidR="00F229F3" w:rsidRPr="006422A2" w:rsidRDefault="00F229F3" w:rsidP="006422A2">
      <w:pPr>
        <w:contextualSpacing/>
        <w:jc w:val="both"/>
        <w:rPr>
          <w:rFonts w:ascii="Palatino Linotype" w:hAnsi="Palatino Linotype"/>
          <w:b/>
          <w:i/>
          <w:color w:val="000000" w:themeColor="text1"/>
        </w:rPr>
      </w:pPr>
      <w:r w:rsidRPr="006422A2">
        <w:rPr>
          <w:rFonts w:ascii="Palatino Linotype" w:hAnsi="Palatino Linotype"/>
          <w:b/>
          <w:i/>
          <w:color w:val="000000" w:themeColor="text1"/>
        </w:rPr>
        <w:t>De llegar a un acuerdo</w:t>
      </w:r>
      <w:r w:rsidRPr="006422A2">
        <w:rPr>
          <w:rFonts w:ascii="Palatino Linotype" w:hAnsi="Palatino Linotype"/>
          <w:i/>
          <w:color w:val="000000" w:themeColor="text1"/>
        </w:rPr>
        <w:t xml:space="preserve">, éste se hará constar por escrito y tendrá efectos vinculantes. </w:t>
      </w:r>
      <w:r w:rsidRPr="006422A2">
        <w:rPr>
          <w:rFonts w:ascii="Palatino Linotype" w:hAnsi="Palatino Linotype"/>
          <w:b/>
          <w:i/>
          <w:color w:val="000000" w:themeColor="text1"/>
          <w:u w:val="single"/>
        </w:rPr>
        <w:t>El recurso de revisión quedará sin materia</w:t>
      </w:r>
      <w:r w:rsidRPr="006422A2">
        <w:rPr>
          <w:rFonts w:ascii="Palatino Linotype" w:hAnsi="Palatino Linotype"/>
          <w:b/>
          <w:i/>
          <w:color w:val="000000" w:themeColor="text1"/>
        </w:rPr>
        <w:t xml:space="preserve"> y el Instituto deberá verificar el cumplimiento del acuerdo respectivo.</w:t>
      </w:r>
    </w:p>
    <w:p w:rsidR="00F229F3" w:rsidRPr="006422A2" w:rsidRDefault="00F229F3" w:rsidP="006422A2">
      <w:pPr>
        <w:contextualSpacing/>
        <w:jc w:val="both"/>
        <w:rPr>
          <w:rFonts w:ascii="Palatino Linotype" w:hAnsi="Palatino Linotype"/>
          <w:b/>
          <w:i/>
          <w:color w:val="000000" w:themeColor="text1"/>
        </w:rPr>
      </w:pPr>
    </w:p>
    <w:p w:rsidR="00F229F3" w:rsidRPr="006422A2" w:rsidRDefault="00F229F3" w:rsidP="006422A2">
      <w:pPr>
        <w:contextualSpacing/>
        <w:jc w:val="both"/>
        <w:rPr>
          <w:rFonts w:ascii="Palatino Linotype" w:hAnsi="Palatino Linotype"/>
          <w:b/>
          <w:i/>
          <w:color w:val="000000" w:themeColor="text1"/>
        </w:rPr>
      </w:pPr>
      <w:r w:rsidRPr="006422A2">
        <w:rPr>
          <w:rFonts w:ascii="Palatino Linotype" w:hAnsi="Palatino Linotype"/>
          <w:b/>
          <w:i/>
          <w:color w:val="000000" w:themeColor="text1"/>
        </w:rPr>
        <w:t xml:space="preserve">Procedimiento de conciliación </w:t>
      </w:r>
    </w:p>
    <w:p w:rsidR="00F229F3" w:rsidRPr="006422A2" w:rsidRDefault="00F229F3" w:rsidP="006422A2">
      <w:pPr>
        <w:contextualSpacing/>
        <w:jc w:val="both"/>
        <w:rPr>
          <w:rFonts w:ascii="Palatino Linotype" w:hAnsi="Palatino Linotype"/>
          <w:i/>
          <w:color w:val="000000" w:themeColor="text1"/>
        </w:rPr>
      </w:pPr>
      <w:r w:rsidRPr="006422A2">
        <w:rPr>
          <w:rFonts w:ascii="Palatino Linotype" w:hAnsi="Palatino Linotype"/>
          <w:b/>
          <w:i/>
          <w:color w:val="000000" w:themeColor="text1"/>
        </w:rPr>
        <w:t xml:space="preserve">Artículo 132. </w:t>
      </w:r>
      <w:r w:rsidRPr="006422A2">
        <w:rPr>
          <w:rFonts w:ascii="Palatino Linotype" w:hAnsi="Palatino Linotype"/>
          <w:i/>
          <w:color w:val="000000" w:themeColor="text1"/>
        </w:rPr>
        <w:t>Admitido el recurso de revisión y sin perjuicio de lo dispuesto por la Ley General, el Instituto promoverá la conciliación entre las partes, de conformidad con el procedimiento siguiente:</w:t>
      </w:r>
    </w:p>
    <w:p w:rsidR="00F229F3" w:rsidRPr="006422A2" w:rsidRDefault="00F229F3" w:rsidP="006422A2">
      <w:pPr>
        <w:contextualSpacing/>
        <w:jc w:val="both"/>
        <w:rPr>
          <w:rFonts w:ascii="Palatino Linotype" w:hAnsi="Palatino Linotype"/>
          <w:i/>
          <w:color w:val="000000" w:themeColor="text1"/>
        </w:rPr>
      </w:pPr>
      <w:r w:rsidRPr="006422A2">
        <w:rPr>
          <w:rFonts w:ascii="Palatino Linotype" w:hAnsi="Palatino Linotype"/>
          <w:i/>
          <w:color w:val="000000" w:themeColor="text1"/>
        </w:rPr>
        <w:t>…</w:t>
      </w:r>
    </w:p>
    <w:p w:rsidR="00F229F3" w:rsidRPr="006422A2" w:rsidRDefault="00F229F3" w:rsidP="006422A2">
      <w:pPr>
        <w:contextualSpacing/>
        <w:jc w:val="both"/>
        <w:rPr>
          <w:rFonts w:ascii="Palatino Linotype" w:hAnsi="Palatino Linotype"/>
          <w:i/>
          <w:color w:val="000000" w:themeColor="text1"/>
        </w:rPr>
      </w:pPr>
      <w:r w:rsidRPr="006422A2">
        <w:rPr>
          <w:rFonts w:ascii="Palatino Linotype" w:hAnsi="Palatino Linotype"/>
          <w:b/>
          <w:i/>
          <w:color w:val="000000" w:themeColor="text1"/>
        </w:rPr>
        <w:t>V. De llegar a un acuerdo</w:t>
      </w:r>
      <w:r w:rsidRPr="006422A2">
        <w:rPr>
          <w:rFonts w:ascii="Palatino Linotype" w:hAnsi="Palatino Linotype"/>
          <w:i/>
          <w:color w:val="000000" w:themeColor="text1"/>
        </w:rPr>
        <w:t xml:space="preserve">, éste se hará constar por escrito y tendrá efectos vinculantes. </w:t>
      </w:r>
    </w:p>
    <w:p w:rsidR="00F229F3" w:rsidRPr="006422A2" w:rsidRDefault="00F229F3" w:rsidP="006422A2">
      <w:pPr>
        <w:contextualSpacing/>
        <w:jc w:val="both"/>
        <w:rPr>
          <w:rFonts w:ascii="Palatino Linotype" w:hAnsi="Palatino Linotype"/>
          <w:i/>
          <w:color w:val="000000" w:themeColor="text1"/>
        </w:rPr>
      </w:pPr>
    </w:p>
    <w:p w:rsidR="00F229F3" w:rsidRPr="006422A2" w:rsidRDefault="00F229F3" w:rsidP="006422A2">
      <w:pPr>
        <w:contextualSpacing/>
        <w:jc w:val="both"/>
        <w:rPr>
          <w:rFonts w:ascii="Palatino Linotype" w:hAnsi="Palatino Linotype"/>
          <w:b/>
          <w:i/>
          <w:color w:val="000000" w:themeColor="text1"/>
        </w:rPr>
      </w:pPr>
      <w:r w:rsidRPr="006422A2">
        <w:rPr>
          <w:rFonts w:ascii="Palatino Linotype" w:hAnsi="Palatino Linotype"/>
          <w:b/>
          <w:i/>
          <w:color w:val="000000" w:themeColor="text1"/>
          <w:u w:val="single"/>
        </w:rPr>
        <w:t>El recurso de revisión quedará sin materia</w:t>
      </w:r>
      <w:r w:rsidRPr="006422A2">
        <w:rPr>
          <w:rFonts w:ascii="Palatino Linotype" w:hAnsi="Palatino Linotype"/>
          <w:b/>
          <w:i/>
          <w:color w:val="000000" w:themeColor="text1"/>
        </w:rPr>
        <w:t xml:space="preserve"> y el Instituto, deberán verificar el cumplimiento del acuerdo respectivo. </w:t>
      </w:r>
    </w:p>
    <w:p w:rsidR="00F229F3" w:rsidRPr="006422A2" w:rsidRDefault="00F229F3" w:rsidP="006422A2">
      <w:pPr>
        <w:contextualSpacing/>
        <w:jc w:val="both"/>
        <w:rPr>
          <w:rFonts w:ascii="Palatino Linotype" w:hAnsi="Palatino Linotype"/>
          <w:i/>
          <w:color w:val="000000" w:themeColor="text1"/>
        </w:rPr>
      </w:pPr>
    </w:p>
    <w:p w:rsidR="00F229F3" w:rsidRPr="006422A2" w:rsidRDefault="00F229F3" w:rsidP="006422A2">
      <w:pPr>
        <w:contextualSpacing/>
        <w:jc w:val="both"/>
        <w:rPr>
          <w:rFonts w:ascii="Palatino Linotype" w:hAnsi="Palatino Linotype"/>
          <w:i/>
          <w:color w:val="000000" w:themeColor="text1"/>
        </w:rPr>
      </w:pPr>
      <w:r w:rsidRPr="006422A2">
        <w:rPr>
          <w:rFonts w:ascii="Palatino Linotype" w:hAnsi="Palatino Linotype"/>
          <w:b/>
          <w:i/>
          <w:color w:val="000000" w:themeColor="text1"/>
        </w:rPr>
        <w:t>VI. El cumplimiento del acuerdo dará por concluido la sustanciación del recurso de revisión</w:t>
      </w:r>
      <w:r w:rsidRPr="006422A2">
        <w:rPr>
          <w:rFonts w:ascii="Palatino Linotype" w:hAnsi="Palatino Linotype"/>
          <w:i/>
          <w:color w:val="000000" w:themeColor="text1"/>
        </w:rPr>
        <w:t>, en caso contrario, el Instituto reanudará el procedimiento.</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 xml:space="preserve">En razón de ello y al haberse verificado el cumplimiento del acuerdo tal como se mostró en párrafos anteriores, </w:t>
      </w:r>
      <w:r w:rsidR="006B30E3" w:rsidRPr="006422A2">
        <w:rPr>
          <w:rFonts w:ascii="Palatino Linotype" w:eastAsia="Palatino Linotype" w:hAnsi="Palatino Linotype" w:cs="Palatino Linotype"/>
          <w:color w:val="000000" w:themeColor="text1"/>
        </w:rPr>
        <w:t>el Sujeto Obligado</w:t>
      </w:r>
      <w:r w:rsidR="004129A5" w:rsidRPr="006422A2">
        <w:rPr>
          <w:rFonts w:ascii="Palatino Linotype" w:eastAsia="Palatino Linotype" w:hAnsi="Palatino Linotype" w:cs="Palatino Linotype"/>
          <w:color w:val="000000" w:themeColor="text1"/>
        </w:rPr>
        <w:t xml:space="preserve"> </w:t>
      </w:r>
      <w:r w:rsidRPr="006422A2">
        <w:rPr>
          <w:rFonts w:ascii="Palatino Linotype" w:eastAsia="Palatino Linotype" w:hAnsi="Palatino Linotype" w:cs="Palatino Linotype"/>
          <w:color w:val="000000" w:themeColor="text1"/>
        </w:rPr>
        <w:t xml:space="preserve">otorgó el acceso a los datos personales del servidor público y en consecuencia el </w:t>
      </w:r>
      <w:r w:rsidRPr="006422A2">
        <w:rPr>
          <w:rFonts w:ascii="Palatino Linotype" w:eastAsia="Palatino Linotype" w:hAnsi="Palatino Linotype" w:cs="Palatino Linotype"/>
          <w:b/>
          <w:color w:val="000000" w:themeColor="text1"/>
        </w:rPr>
        <w:t>Recurso de Revisión ha quedado sin materia</w:t>
      </w:r>
      <w:r w:rsidRPr="006422A2">
        <w:rPr>
          <w:rFonts w:ascii="Palatino Linotype" w:eastAsia="Palatino Linotype" w:hAnsi="Palatino Linotype" w:cs="Palatino Linotype"/>
          <w:color w:val="000000" w:themeColor="text1"/>
        </w:rPr>
        <w:t xml:space="preserve">; por tanto, resulta procedente </w:t>
      </w:r>
      <w:r w:rsidRPr="006422A2">
        <w:rPr>
          <w:rFonts w:ascii="Palatino Linotype" w:eastAsia="Palatino Linotype" w:hAnsi="Palatino Linotype" w:cs="Palatino Linotype"/>
          <w:b/>
          <w:color w:val="000000" w:themeColor="text1"/>
        </w:rPr>
        <w:t>SOBRESEER</w:t>
      </w:r>
      <w:r w:rsidRPr="006422A2">
        <w:rPr>
          <w:rFonts w:ascii="Palatino Linotype" w:eastAsia="Palatino Linotype" w:hAnsi="Palatino Linotype" w:cs="Palatino Linotype"/>
          <w:color w:val="000000" w:themeColor="text1"/>
        </w:rPr>
        <w:t xml:space="preserve"> el Recurso de Revisión que nos ocupa de conformidad con los artículos 137, fracción I y 139, fracción V, de la Ley de Protección de Datos Personales en Posesión de Sujetos Obligados del Estado de México y Municipios.</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autoSpaceDE w:val="0"/>
        <w:autoSpaceDN w:val="0"/>
        <w:adjustRightInd w:val="0"/>
        <w:spacing w:line="360" w:lineRule="auto"/>
        <w:ind w:left="0" w:firstLine="0"/>
        <w:contextualSpacing/>
        <w:jc w:val="both"/>
        <w:rPr>
          <w:rFonts w:ascii="Palatino Linotype" w:hAnsi="Palatino Linotype" w:cs="Tahoma"/>
          <w:color w:val="000000" w:themeColor="text1"/>
          <w:u w:val="single"/>
        </w:rPr>
      </w:pPr>
      <w:r w:rsidRPr="006422A2">
        <w:rPr>
          <w:rFonts w:ascii="Palatino Linotype" w:eastAsia="Palatino Linotype" w:hAnsi="Palatino Linotype" w:cs="Palatino Linotype"/>
          <w:color w:val="000000" w:themeColor="text1"/>
        </w:rPr>
        <w:t xml:space="preserve">Por consiguiente, este Pleno determina el </w:t>
      </w:r>
      <w:r w:rsidRPr="006422A2">
        <w:rPr>
          <w:rFonts w:ascii="Palatino Linotype" w:eastAsia="Palatino Linotype" w:hAnsi="Palatino Linotype" w:cs="Palatino Linotype"/>
          <w:b/>
          <w:color w:val="000000" w:themeColor="text1"/>
        </w:rPr>
        <w:t>SOBRESEIMIENTO</w:t>
      </w:r>
      <w:r w:rsidRPr="006422A2">
        <w:rPr>
          <w:rFonts w:ascii="Palatino Linotype" w:eastAsia="Palatino Linotype" w:hAnsi="Palatino Linotype" w:cs="Palatino Linotype"/>
          <w:color w:val="000000" w:themeColor="text1"/>
        </w:rPr>
        <w:t xml:space="preserve"> del presente Recurso de Revisión, toda vez que ha quedado sin materia, en virtud de haber llegado un acuerdo durante el procedimiento de conciliación.</w:t>
      </w:r>
    </w:p>
    <w:p w:rsidR="00F229F3" w:rsidRPr="006422A2" w:rsidRDefault="00F229F3" w:rsidP="006422A2">
      <w:pPr>
        <w:pBdr>
          <w:top w:val="nil"/>
          <w:left w:val="nil"/>
          <w:bottom w:val="nil"/>
          <w:right w:val="nil"/>
          <w:between w:val="nil"/>
        </w:pBdr>
        <w:autoSpaceDE w:val="0"/>
        <w:autoSpaceDN w:val="0"/>
        <w:adjustRightInd w:val="0"/>
        <w:spacing w:line="360" w:lineRule="auto"/>
        <w:contextualSpacing/>
        <w:jc w:val="both"/>
        <w:rPr>
          <w:rFonts w:ascii="Palatino Linotype" w:hAnsi="Palatino Linotype" w:cs="Tahoma"/>
          <w:color w:val="000000" w:themeColor="text1"/>
          <w:u w:val="single"/>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lastRenderedPageBreak/>
        <w:t xml:space="preserve">Por lo anterior, se tiene por atendida la solicitud de acceso a datos personales y se da por terminado el Recurso de Revisión, pues el motivo de inconformidad ya fue subsanado con la entrega de la información. </w:t>
      </w: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La labor del INFOEM, es apoyar a la población para acceder a la información pública y garantizar la protección de sus datos personales.</w:t>
      </w:r>
    </w:p>
    <w:p w:rsidR="00F229F3" w:rsidRPr="006422A2" w:rsidRDefault="00F229F3" w:rsidP="006422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229F3" w:rsidRPr="006422A2" w:rsidRDefault="00F229F3" w:rsidP="006422A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422A2">
        <w:rPr>
          <w:rFonts w:ascii="Palatino Linotype" w:eastAsia="Palatino Linotype" w:hAnsi="Palatino Linotype" w:cs="Palatino Linotype"/>
          <w:color w:val="000000" w:themeColor="text1"/>
        </w:rPr>
        <w:t>Por lo expuesto y fundado, este Pleno:</w:t>
      </w:r>
    </w:p>
    <w:p w:rsidR="00F229F3" w:rsidRPr="006422A2" w:rsidRDefault="00F229F3" w:rsidP="006422A2">
      <w:pPr>
        <w:spacing w:line="360" w:lineRule="auto"/>
        <w:contextualSpacing/>
        <w:jc w:val="both"/>
        <w:rPr>
          <w:rFonts w:ascii="Palatino Linotype" w:eastAsia="Calibri" w:hAnsi="Palatino Linotype" w:cs="Tahoma"/>
          <w:bCs/>
          <w:color w:val="000000" w:themeColor="text1"/>
          <w:lang w:eastAsia="en-US"/>
        </w:rPr>
      </w:pPr>
    </w:p>
    <w:p w:rsidR="00F229F3" w:rsidRPr="006422A2" w:rsidRDefault="00F229F3" w:rsidP="006422A2">
      <w:pPr>
        <w:spacing w:line="360" w:lineRule="auto"/>
        <w:contextualSpacing/>
        <w:jc w:val="center"/>
        <w:rPr>
          <w:rFonts w:ascii="Palatino Linotype" w:hAnsi="Palatino Linotype" w:cs="Tahoma"/>
          <w:b/>
          <w:bCs/>
          <w:color w:val="000000" w:themeColor="text1"/>
          <w:lang w:val="es-ES_tradnl"/>
        </w:rPr>
      </w:pPr>
      <w:r w:rsidRPr="006422A2">
        <w:rPr>
          <w:rFonts w:ascii="Palatino Linotype" w:hAnsi="Palatino Linotype" w:cs="Tahoma"/>
          <w:b/>
          <w:bCs/>
          <w:color w:val="000000" w:themeColor="text1"/>
          <w:lang w:val="es-ES_tradnl"/>
        </w:rPr>
        <w:t>R E S U E L V E</w:t>
      </w:r>
    </w:p>
    <w:p w:rsidR="00F229F3" w:rsidRPr="006422A2" w:rsidRDefault="00F229F3" w:rsidP="006422A2">
      <w:pPr>
        <w:spacing w:line="360" w:lineRule="auto"/>
        <w:contextualSpacing/>
        <w:jc w:val="center"/>
        <w:rPr>
          <w:rFonts w:ascii="Palatino Linotype" w:hAnsi="Palatino Linotype" w:cs="Tahoma"/>
          <w:b/>
          <w:bCs/>
          <w:color w:val="000000" w:themeColor="text1"/>
          <w:lang w:val="es-ES_tradnl"/>
        </w:rPr>
      </w:pPr>
    </w:p>
    <w:p w:rsidR="00F229F3" w:rsidRPr="006422A2" w:rsidRDefault="00F229F3" w:rsidP="006422A2">
      <w:pPr>
        <w:spacing w:line="360" w:lineRule="auto"/>
        <w:contextualSpacing/>
        <w:jc w:val="both"/>
        <w:rPr>
          <w:rFonts w:ascii="Palatino Linotype" w:hAnsi="Palatino Linotype" w:cs="Arial"/>
          <w:color w:val="000000" w:themeColor="text1"/>
        </w:rPr>
      </w:pPr>
      <w:r w:rsidRPr="006422A2">
        <w:rPr>
          <w:rFonts w:ascii="Palatino Linotype" w:hAnsi="Palatino Linotype" w:cs="Arial"/>
          <w:b/>
          <w:color w:val="000000" w:themeColor="text1"/>
        </w:rPr>
        <w:t xml:space="preserve">PRIMERO. </w:t>
      </w:r>
      <w:r w:rsidRPr="006422A2">
        <w:rPr>
          <w:rFonts w:ascii="Palatino Linotype" w:hAnsi="Palatino Linotype" w:cs="Arial"/>
          <w:color w:val="000000" w:themeColor="text1"/>
        </w:rPr>
        <w:t xml:space="preserve">Se </w:t>
      </w:r>
      <w:r w:rsidRPr="006422A2">
        <w:rPr>
          <w:rFonts w:ascii="Palatino Linotype" w:hAnsi="Palatino Linotype" w:cs="Arial"/>
          <w:b/>
          <w:color w:val="000000" w:themeColor="text1"/>
        </w:rPr>
        <w:t>SOBRESEE</w:t>
      </w:r>
      <w:r w:rsidRPr="006422A2">
        <w:rPr>
          <w:rFonts w:ascii="Palatino Linotype" w:hAnsi="Palatino Linotype" w:cs="Arial"/>
          <w:color w:val="000000" w:themeColor="text1"/>
        </w:rPr>
        <w:t xml:space="preserve"> el Recurso de Revisión </w:t>
      </w:r>
      <w:r w:rsidR="00F673E8" w:rsidRPr="006422A2">
        <w:rPr>
          <w:rFonts w:ascii="Palatino Linotype" w:hAnsi="Palatino Linotype"/>
          <w:b/>
          <w:color w:val="000000" w:themeColor="text1"/>
        </w:rPr>
        <w:t>11058</w:t>
      </w:r>
      <w:r w:rsidRPr="006422A2">
        <w:rPr>
          <w:rFonts w:ascii="Palatino Linotype" w:hAnsi="Palatino Linotype"/>
          <w:b/>
          <w:color w:val="000000" w:themeColor="text1"/>
        </w:rPr>
        <w:t>/INFOEM/AD/RR/2025</w:t>
      </w:r>
      <w:r w:rsidRPr="006422A2">
        <w:rPr>
          <w:rFonts w:ascii="Palatino Linotype" w:hAnsi="Palatino Linotype" w:cs="Arial"/>
          <w:color w:val="000000" w:themeColor="text1"/>
        </w:rPr>
        <w:t xml:space="preserve">, </w:t>
      </w:r>
      <w:r w:rsidRPr="006422A2">
        <w:rPr>
          <w:rFonts w:ascii="Palatino Linotype" w:hAnsi="Palatino Linotype" w:cs="Tahoma"/>
          <w:color w:val="000000" w:themeColor="text1"/>
        </w:rPr>
        <w:t xml:space="preserve">por que el Sujeto Obligado entregó la información solicitada </w:t>
      </w:r>
      <w:r w:rsidRPr="006422A2">
        <w:rPr>
          <w:rFonts w:ascii="Palatino Linotype" w:eastAsia="Palatino Linotype" w:hAnsi="Palatino Linotype" w:cs="Palatino Linotype"/>
          <w:color w:val="000000" w:themeColor="text1"/>
        </w:rPr>
        <w:t xml:space="preserve">en virtud de haber llegado un acuerdo durante el procedimiento de conciliación, </w:t>
      </w:r>
      <w:r w:rsidRPr="006422A2">
        <w:rPr>
          <w:rFonts w:ascii="Palatino Linotype" w:hAnsi="Palatino Linotype" w:cs="Tahoma"/>
          <w:color w:val="000000" w:themeColor="text1"/>
        </w:rPr>
        <w:t xml:space="preserve">dejando sin materia el presente Recurso de Revisión, </w:t>
      </w:r>
      <w:r w:rsidR="006A4042" w:rsidRPr="006422A2">
        <w:rPr>
          <w:rFonts w:ascii="Palatino Linotype" w:hAnsi="Palatino Linotype" w:cs="Tahoma"/>
          <w:color w:val="000000" w:themeColor="text1"/>
        </w:rPr>
        <w:t xml:space="preserve">de </w:t>
      </w:r>
      <w:r w:rsidR="00307B90" w:rsidRPr="006422A2">
        <w:rPr>
          <w:rFonts w:ascii="Palatino Linotype" w:hAnsi="Palatino Linotype" w:cs="Tahoma"/>
          <w:color w:val="000000" w:themeColor="text1"/>
        </w:rPr>
        <w:t>acuerdo</w:t>
      </w:r>
      <w:r w:rsidR="006A4042" w:rsidRPr="006422A2">
        <w:rPr>
          <w:rFonts w:ascii="Palatino Linotype" w:hAnsi="Palatino Linotype" w:cs="Tahoma"/>
          <w:color w:val="000000" w:themeColor="text1"/>
        </w:rPr>
        <w:t xml:space="preserve"> con </w:t>
      </w:r>
      <w:r w:rsidRPr="006422A2">
        <w:rPr>
          <w:rFonts w:ascii="Palatino Linotype" w:hAnsi="Palatino Linotype" w:cs="Tahoma"/>
          <w:color w:val="000000" w:themeColor="text1"/>
        </w:rPr>
        <w:t>los artículos 137, fracción I y 139, fracción V, en relación con el 131 y 132 fracción V, de la Ley de Protección de Datos Personales en Posesión de Sujetos Obligados de</w:t>
      </w:r>
      <w:r w:rsidR="00F14FBF" w:rsidRPr="006422A2">
        <w:rPr>
          <w:rFonts w:ascii="Palatino Linotype" w:hAnsi="Palatino Linotype" w:cs="Tahoma"/>
          <w:color w:val="000000" w:themeColor="text1"/>
        </w:rPr>
        <w:t>l Estado de México y Municipios</w:t>
      </w:r>
      <w:r w:rsidRPr="006422A2">
        <w:rPr>
          <w:rFonts w:ascii="Palatino Linotype" w:hAnsi="Palatino Linotype" w:cs="Tahoma"/>
          <w:color w:val="000000" w:themeColor="text1"/>
        </w:rPr>
        <w:t xml:space="preserve">, de conformidad con el Considerando </w:t>
      </w:r>
      <w:r w:rsidRPr="006422A2">
        <w:rPr>
          <w:rFonts w:ascii="Palatino Linotype" w:hAnsi="Palatino Linotype" w:cs="Tahoma"/>
          <w:b/>
          <w:color w:val="000000" w:themeColor="text1"/>
        </w:rPr>
        <w:t>CUARTO</w:t>
      </w:r>
      <w:r w:rsidRPr="006422A2">
        <w:rPr>
          <w:rFonts w:ascii="Palatino Linotype" w:hAnsi="Palatino Linotype" w:cs="Tahoma"/>
          <w:color w:val="000000" w:themeColor="text1"/>
        </w:rPr>
        <w:t xml:space="preserve"> de la presente Resolución.</w:t>
      </w:r>
    </w:p>
    <w:p w:rsidR="00F229F3" w:rsidRPr="006422A2" w:rsidRDefault="00F229F3" w:rsidP="006422A2">
      <w:pPr>
        <w:spacing w:line="360" w:lineRule="auto"/>
        <w:contextualSpacing/>
        <w:jc w:val="both"/>
        <w:rPr>
          <w:rFonts w:ascii="Palatino Linotype" w:hAnsi="Palatino Linotype" w:cs="Arial"/>
          <w:color w:val="000000" w:themeColor="text1"/>
        </w:rPr>
      </w:pPr>
    </w:p>
    <w:p w:rsidR="00F229F3" w:rsidRPr="006422A2" w:rsidRDefault="00F229F3" w:rsidP="006422A2">
      <w:pPr>
        <w:shd w:val="clear" w:color="auto" w:fill="FFFFFF"/>
        <w:spacing w:line="360" w:lineRule="auto"/>
        <w:jc w:val="both"/>
        <w:rPr>
          <w:rFonts w:ascii="Palatino Linotype" w:eastAsia="Palatino Linotype" w:hAnsi="Palatino Linotype" w:cs="Palatino Linotype"/>
          <w:color w:val="000000" w:themeColor="text1"/>
          <w:highlight w:val="white"/>
        </w:rPr>
      </w:pPr>
      <w:r w:rsidRPr="006422A2">
        <w:rPr>
          <w:rFonts w:ascii="Palatino Linotype" w:hAnsi="Palatino Linotype"/>
          <w:b/>
          <w:color w:val="000000" w:themeColor="text1"/>
        </w:rPr>
        <w:t>SEGUNDO.</w:t>
      </w:r>
      <w:r w:rsidRPr="006422A2">
        <w:rPr>
          <w:rFonts w:ascii="Palatino Linotype" w:hAnsi="Palatino Linotype" w:cs="Arial"/>
          <w:color w:val="000000" w:themeColor="text1"/>
        </w:rPr>
        <w:t xml:space="preserve"> </w:t>
      </w:r>
      <w:r w:rsidRPr="006422A2">
        <w:rPr>
          <w:rFonts w:ascii="Palatino Linotype" w:hAnsi="Palatino Linotype" w:cs="Arial"/>
          <w:b/>
          <w:color w:val="000000" w:themeColor="text1"/>
        </w:rPr>
        <w:t xml:space="preserve">Notifíquese </w:t>
      </w:r>
      <w:r w:rsidRPr="006422A2">
        <w:rPr>
          <w:rFonts w:ascii="Palatino Linotype" w:hAnsi="Palatino Linotype" w:cs="Arial"/>
          <w:color w:val="000000" w:themeColor="text1"/>
        </w:rPr>
        <w:t>la presente resolución</w:t>
      </w:r>
      <w:r w:rsidRPr="006422A2">
        <w:rPr>
          <w:rFonts w:ascii="Palatino Linotype" w:hAnsi="Palatino Linotype" w:cs="Arial"/>
          <w:b/>
          <w:color w:val="000000" w:themeColor="text1"/>
        </w:rPr>
        <w:t xml:space="preserve"> </w:t>
      </w:r>
      <w:r w:rsidRPr="006422A2">
        <w:rPr>
          <w:rFonts w:ascii="Palatino Linotype" w:hAnsi="Palatino Linotype" w:cs="Arial"/>
          <w:color w:val="000000" w:themeColor="text1"/>
        </w:rPr>
        <w:t xml:space="preserve">al Titular de la Unidad de Transparencia del Sujeto Obligado, </w:t>
      </w:r>
      <w:r w:rsidRPr="006422A2">
        <w:rPr>
          <w:rFonts w:ascii="Palatino Linotype" w:eastAsia="Palatino Linotype" w:hAnsi="Palatino Linotype" w:cs="Palatino Linotype"/>
          <w:color w:val="000000" w:themeColor="text1"/>
        </w:rPr>
        <w:t xml:space="preserve">vía </w:t>
      </w:r>
      <w:r w:rsidRPr="006422A2">
        <w:rPr>
          <w:rFonts w:ascii="Palatino Linotype" w:hAnsi="Palatino Linotype" w:cs="Arial"/>
          <w:color w:val="000000" w:themeColor="text1"/>
        </w:rPr>
        <w:t>SARCOEM</w:t>
      </w:r>
      <w:r w:rsidRPr="006422A2">
        <w:rPr>
          <w:rFonts w:ascii="Palatino Linotype" w:eastAsia="Palatino Linotype" w:hAnsi="Palatino Linotype" w:cs="Palatino Linotype"/>
          <w:color w:val="000000" w:themeColor="text1"/>
        </w:rPr>
        <w:t>, para su conocimiento.</w:t>
      </w:r>
    </w:p>
    <w:p w:rsidR="00F229F3" w:rsidRPr="006422A2" w:rsidRDefault="00F229F3" w:rsidP="006422A2">
      <w:pPr>
        <w:spacing w:line="360" w:lineRule="auto"/>
        <w:contextualSpacing/>
        <w:jc w:val="both"/>
        <w:rPr>
          <w:rFonts w:ascii="Palatino Linotype" w:hAnsi="Palatino Linotype" w:cs="Tahoma"/>
          <w:color w:val="000000" w:themeColor="text1"/>
        </w:rPr>
      </w:pPr>
      <w:r w:rsidRPr="006422A2">
        <w:rPr>
          <w:rFonts w:ascii="Palatino Linotype" w:hAnsi="Palatino Linotype" w:cs="Arial"/>
          <w:b/>
          <w:color w:val="000000" w:themeColor="text1"/>
        </w:rPr>
        <w:t>TERCERO.</w:t>
      </w:r>
      <w:r w:rsidRPr="006422A2">
        <w:rPr>
          <w:rFonts w:ascii="Palatino Linotype" w:hAnsi="Palatino Linotype" w:cs="Arial"/>
          <w:color w:val="000000" w:themeColor="text1"/>
        </w:rPr>
        <w:t xml:space="preserve"> </w:t>
      </w:r>
      <w:r w:rsidRPr="006422A2">
        <w:rPr>
          <w:rFonts w:ascii="Palatino Linotype" w:hAnsi="Palatino Linotype" w:cs="Arial"/>
          <w:b/>
          <w:color w:val="000000" w:themeColor="text1"/>
        </w:rPr>
        <w:t xml:space="preserve">Notifíquese </w:t>
      </w:r>
      <w:r w:rsidRPr="006422A2">
        <w:rPr>
          <w:rFonts w:ascii="Palatino Linotype" w:hAnsi="Palatino Linotype" w:cs="Arial"/>
          <w:color w:val="000000" w:themeColor="text1"/>
        </w:rPr>
        <w:t>la presente resolución</w:t>
      </w:r>
      <w:r w:rsidRPr="006422A2">
        <w:rPr>
          <w:rFonts w:ascii="Palatino Linotype" w:hAnsi="Palatino Linotype" w:cs="Arial"/>
          <w:b/>
          <w:color w:val="000000" w:themeColor="text1"/>
        </w:rPr>
        <w:t xml:space="preserve"> </w:t>
      </w:r>
      <w:r w:rsidRPr="006422A2">
        <w:rPr>
          <w:rFonts w:ascii="Palatino Linotype" w:hAnsi="Palatino Linotype" w:cs="Arial"/>
          <w:color w:val="000000" w:themeColor="text1"/>
        </w:rPr>
        <w:t xml:space="preserve">al Recurrente, a través de </w:t>
      </w:r>
      <w:r w:rsidRPr="006422A2">
        <w:rPr>
          <w:rFonts w:ascii="Palatino Linotype" w:hAnsi="Palatino Linotype" w:cs="Arial"/>
          <w:b/>
          <w:color w:val="000000" w:themeColor="text1"/>
        </w:rPr>
        <w:t>SARCOEM</w:t>
      </w:r>
      <w:r w:rsidR="003B7CC1" w:rsidRPr="006422A2">
        <w:rPr>
          <w:rFonts w:ascii="Palatino Linotype" w:hAnsi="Palatino Linotype" w:cs="Arial"/>
          <w:b/>
          <w:color w:val="000000" w:themeColor="text1"/>
        </w:rPr>
        <w:t xml:space="preserve"> y correo electrónico</w:t>
      </w:r>
      <w:r w:rsidRPr="006422A2">
        <w:rPr>
          <w:rFonts w:ascii="Palatino Linotype" w:hAnsi="Palatino Linotype" w:cs="Arial"/>
          <w:color w:val="000000" w:themeColor="text1"/>
        </w:rPr>
        <w:t>,</w:t>
      </w:r>
      <w:r w:rsidRPr="006422A2">
        <w:rPr>
          <w:rFonts w:ascii="Palatino Linotype" w:hAnsi="Palatino Linotype" w:cs="Arial"/>
          <w:b/>
          <w:color w:val="000000" w:themeColor="text1"/>
        </w:rPr>
        <w:t xml:space="preserve"> </w:t>
      </w:r>
      <w:r w:rsidRPr="006422A2">
        <w:rPr>
          <w:rFonts w:ascii="Palatino Linotype" w:hAnsi="Palatino Linotype" w:cs="Tahoma"/>
          <w:color w:val="000000" w:themeColor="text1"/>
        </w:rPr>
        <w:t>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rsidR="00207832" w:rsidRPr="006422A2" w:rsidRDefault="00207832" w:rsidP="006422A2">
      <w:pPr>
        <w:spacing w:line="360" w:lineRule="auto"/>
        <w:contextualSpacing/>
        <w:jc w:val="both"/>
        <w:rPr>
          <w:rFonts w:ascii="Palatino Linotype" w:hAnsi="Palatino Linotype" w:cs="Tahoma"/>
          <w:color w:val="000000" w:themeColor="text1"/>
        </w:rPr>
      </w:pPr>
    </w:p>
    <w:p w:rsidR="00207832" w:rsidRPr="00444783" w:rsidRDefault="00207832" w:rsidP="0020783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Default="00F229F3"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Default="00DD424C" w:rsidP="006422A2">
      <w:pPr>
        <w:rPr>
          <w:rFonts w:ascii="Palatino Linotype" w:eastAsia="Palatino Linotype" w:hAnsi="Palatino Linotype" w:cs="Palatino Linotype"/>
          <w:color w:val="000000" w:themeColor="text1"/>
        </w:rPr>
      </w:pPr>
    </w:p>
    <w:p w:rsidR="00DD424C" w:rsidRPr="006422A2" w:rsidRDefault="00DD424C"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rPr>
          <w:rFonts w:ascii="Palatino Linotype" w:eastAsia="Palatino Linotype" w:hAnsi="Palatino Linotype" w:cs="Palatino Linotype"/>
          <w:color w:val="000000" w:themeColor="text1"/>
        </w:rPr>
      </w:pPr>
    </w:p>
    <w:p w:rsidR="00F229F3" w:rsidRPr="006422A2" w:rsidRDefault="00F229F3" w:rsidP="006422A2">
      <w:pPr>
        <w:tabs>
          <w:tab w:val="left" w:pos="1842"/>
        </w:tabs>
        <w:rPr>
          <w:rFonts w:ascii="Palatino Linotype" w:eastAsia="Palatino Linotype" w:hAnsi="Palatino Linotype" w:cs="Palatino Linotype"/>
          <w:color w:val="000000" w:themeColor="text1"/>
        </w:rPr>
      </w:pPr>
    </w:p>
    <w:p w:rsidR="00EC47A6" w:rsidRPr="006422A2" w:rsidRDefault="00EC47A6" w:rsidP="006422A2">
      <w:pPr>
        <w:rPr>
          <w:rFonts w:ascii="Palatino Linotype" w:eastAsia="Palatino Linotype" w:hAnsi="Palatino Linotype"/>
          <w:color w:val="000000" w:themeColor="text1"/>
        </w:rPr>
      </w:pPr>
    </w:p>
    <w:sectPr w:rsidR="00EC47A6" w:rsidRPr="006422A2" w:rsidSect="00210F32">
      <w:headerReference w:type="default" r:id="rId8"/>
      <w:footerReference w:type="default" r:id="rId9"/>
      <w:headerReference w:type="first" r:id="rId10"/>
      <w:footerReference w:type="first" r:id="rId11"/>
      <w:pgSz w:w="12240" w:h="15840"/>
      <w:pgMar w:top="1418" w:right="900"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5F3" w:rsidRDefault="008A35F3" w:rsidP="001053B7">
      <w:r>
        <w:separator/>
      </w:r>
    </w:p>
  </w:endnote>
  <w:endnote w:type="continuationSeparator" w:id="0">
    <w:p w:rsidR="008A35F3" w:rsidRDefault="008A35F3" w:rsidP="0010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DA" w:rsidRDefault="007060D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01D2">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01D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7060DA" w:rsidRDefault="007060D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DA" w:rsidRDefault="007060D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01D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01D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7060DA" w:rsidRDefault="007060D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5F3" w:rsidRDefault="008A35F3" w:rsidP="001053B7">
      <w:r>
        <w:separator/>
      </w:r>
    </w:p>
  </w:footnote>
  <w:footnote w:type="continuationSeparator" w:id="0">
    <w:p w:rsidR="008A35F3" w:rsidRDefault="008A35F3" w:rsidP="0010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552" w:type="dxa"/>
      <w:tblLayout w:type="fixed"/>
      <w:tblLook w:val="04A0" w:firstRow="1" w:lastRow="0" w:firstColumn="1" w:lastColumn="0" w:noHBand="0" w:noVBand="1"/>
    </w:tblPr>
    <w:tblGrid>
      <w:gridCol w:w="2693"/>
      <w:gridCol w:w="4961"/>
    </w:tblGrid>
    <w:tr w:rsidR="00F229F3" w:rsidRPr="006422A2" w:rsidTr="006422A2">
      <w:tc>
        <w:tcPr>
          <w:tcW w:w="2693" w:type="dxa"/>
          <w:vAlign w:val="center"/>
          <w:hideMark/>
        </w:tcPr>
        <w:p w:rsidR="00F229F3" w:rsidRPr="006422A2" w:rsidRDefault="00F229F3" w:rsidP="006422A2">
          <w:pPr>
            <w:rPr>
              <w:rFonts w:ascii="Palatino Linotype" w:hAnsi="Palatino Linotype"/>
              <w:b/>
              <w:lang w:val="es-ES_tradnl"/>
            </w:rPr>
          </w:pPr>
          <w:r w:rsidRPr="006422A2">
            <w:rPr>
              <w:rFonts w:ascii="Palatino Linotype" w:hAnsi="Palatino Linotype"/>
              <w:b/>
              <w:lang w:val="es-ES_tradnl"/>
            </w:rPr>
            <w:t>Recurso de Revisión:</w:t>
          </w:r>
        </w:p>
      </w:tc>
      <w:tc>
        <w:tcPr>
          <w:tcW w:w="4961" w:type="dxa"/>
          <w:vAlign w:val="center"/>
          <w:hideMark/>
        </w:tcPr>
        <w:p w:rsidR="00F229F3" w:rsidRPr="006422A2" w:rsidRDefault="00F229F3" w:rsidP="00210F32">
          <w:pPr>
            <w:rPr>
              <w:rFonts w:ascii="Palatino Linotype" w:hAnsi="Palatino Linotype"/>
              <w:lang w:val="es-ES_tradnl"/>
            </w:rPr>
          </w:pPr>
          <w:r w:rsidRPr="006422A2">
            <w:rPr>
              <w:rFonts w:ascii="Palatino Linotype" w:hAnsi="Palatino Linotype"/>
              <w:lang w:val="es-ES_tradnl"/>
            </w:rPr>
            <w:t>11058/INFOEM/AD/RR/2025</w:t>
          </w:r>
        </w:p>
      </w:tc>
    </w:tr>
    <w:tr w:rsidR="00F229F3" w:rsidRPr="006422A2" w:rsidTr="006422A2">
      <w:trPr>
        <w:trHeight w:val="228"/>
      </w:trPr>
      <w:tc>
        <w:tcPr>
          <w:tcW w:w="2693" w:type="dxa"/>
          <w:vAlign w:val="center"/>
          <w:hideMark/>
        </w:tcPr>
        <w:p w:rsidR="00F229F3" w:rsidRDefault="00F229F3" w:rsidP="006422A2">
          <w:pPr>
            <w:rPr>
              <w:rFonts w:ascii="Palatino Linotype" w:hAnsi="Palatino Linotype"/>
              <w:b/>
              <w:lang w:val="es-ES_tradnl"/>
            </w:rPr>
          </w:pPr>
          <w:r w:rsidRPr="006422A2">
            <w:rPr>
              <w:rFonts w:ascii="Palatino Linotype" w:hAnsi="Palatino Linotype"/>
              <w:b/>
              <w:lang w:val="es-ES_tradnl"/>
            </w:rPr>
            <w:t>Sujeto obligado:</w:t>
          </w:r>
        </w:p>
        <w:p w:rsidR="006422A2" w:rsidRPr="006422A2" w:rsidRDefault="006422A2" w:rsidP="006422A2">
          <w:pPr>
            <w:rPr>
              <w:rFonts w:ascii="Palatino Linotype" w:hAnsi="Palatino Linotype"/>
              <w:b/>
              <w:lang w:val="es-ES_tradnl"/>
            </w:rPr>
          </w:pPr>
        </w:p>
      </w:tc>
      <w:tc>
        <w:tcPr>
          <w:tcW w:w="4961" w:type="dxa"/>
          <w:vAlign w:val="center"/>
          <w:hideMark/>
        </w:tcPr>
        <w:p w:rsidR="00F229F3" w:rsidRPr="006422A2" w:rsidRDefault="00F229F3" w:rsidP="00210F32">
          <w:pPr>
            <w:rPr>
              <w:rFonts w:ascii="Palatino Linotype" w:hAnsi="Palatino Linotype"/>
              <w:lang w:val="es-ES_tradnl"/>
            </w:rPr>
          </w:pPr>
          <w:r w:rsidRPr="006422A2">
            <w:rPr>
              <w:rFonts w:ascii="Palatino Linotype" w:eastAsia="Calibri" w:hAnsi="Palatino Linotype" w:cs="Tahoma"/>
              <w:lang w:eastAsia="en-US"/>
            </w:rPr>
            <w:t>Instituto de Seguridad Social del Estado de México y Municipios</w:t>
          </w:r>
        </w:p>
      </w:tc>
    </w:tr>
    <w:tr w:rsidR="00F229F3" w:rsidRPr="006422A2" w:rsidTr="006422A2">
      <w:tc>
        <w:tcPr>
          <w:tcW w:w="2693" w:type="dxa"/>
          <w:vAlign w:val="center"/>
          <w:hideMark/>
        </w:tcPr>
        <w:p w:rsidR="00F229F3" w:rsidRPr="006422A2" w:rsidRDefault="00F229F3" w:rsidP="006422A2">
          <w:pPr>
            <w:rPr>
              <w:rFonts w:ascii="Palatino Linotype" w:hAnsi="Palatino Linotype"/>
              <w:b/>
              <w:lang w:val="es-ES_tradnl"/>
            </w:rPr>
          </w:pPr>
          <w:r w:rsidRPr="006422A2">
            <w:rPr>
              <w:rFonts w:ascii="Palatino Linotype" w:hAnsi="Palatino Linotype"/>
              <w:b/>
              <w:lang w:val="es-ES_tradnl"/>
            </w:rPr>
            <w:t>Comisionada ponente:</w:t>
          </w:r>
        </w:p>
      </w:tc>
      <w:tc>
        <w:tcPr>
          <w:tcW w:w="4961" w:type="dxa"/>
          <w:vAlign w:val="center"/>
          <w:hideMark/>
        </w:tcPr>
        <w:p w:rsidR="00F229F3" w:rsidRPr="006422A2" w:rsidRDefault="00F229F3" w:rsidP="00210F32">
          <w:pPr>
            <w:rPr>
              <w:rFonts w:ascii="Palatino Linotype" w:hAnsi="Palatino Linotype"/>
              <w:lang w:val="es-ES_tradnl"/>
            </w:rPr>
          </w:pPr>
          <w:r w:rsidRPr="006422A2">
            <w:rPr>
              <w:rFonts w:ascii="Palatino Linotype" w:hAnsi="Palatino Linotype"/>
              <w:lang w:val="es-ES_tradnl"/>
            </w:rPr>
            <w:t>María del Rosario Mejía Ayala</w:t>
          </w:r>
        </w:p>
      </w:tc>
    </w:tr>
  </w:tbl>
  <w:p w:rsidR="007060DA" w:rsidRDefault="00210F3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14:anchorId="7CC85FDC" wp14:editId="2E126DF0">
          <wp:simplePos x="0" y="0"/>
          <wp:positionH relativeFrom="page">
            <wp:align>left</wp:align>
          </wp:positionH>
          <wp:positionV relativeFrom="margin">
            <wp:posOffset>-1526516</wp:posOffset>
          </wp:positionV>
          <wp:extent cx="7659584" cy="9975273"/>
          <wp:effectExtent l="0" t="0" r="0" b="6985"/>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9584" cy="9975273"/>
                  </a:xfrm>
                  <a:prstGeom prst="rect">
                    <a:avLst/>
                  </a:prstGeom>
                  <a:ln/>
                </pic:spPr>
              </pic:pic>
            </a:graphicData>
          </a:graphic>
          <wp14:sizeRelH relativeFrom="margin">
            <wp14:pctWidth>0</wp14:pctWidth>
          </wp14:sizeRelH>
          <wp14:sizeRelV relativeFrom="margin">
            <wp14:pctHeight>0</wp14:pctHeight>
          </wp14:sizeRelV>
        </wp:anchor>
      </w:drawing>
    </w:r>
    <w:r w:rsidR="007060DA">
      <w:rPr>
        <w:rFonts w:ascii="Calibri" w:eastAsia="Calibri" w:hAnsi="Calibri" w:cs="Calibri"/>
        <w:color w:val="000000"/>
      </w:rPr>
      <w:t xml:space="preserve">                                                 </w:t>
    </w:r>
    <w:r w:rsidR="007060DA">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268" w:type="dxa"/>
      <w:tblLayout w:type="fixed"/>
      <w:tblLook w:val="04A0" w:firstRow="1" w:lastRow="0" w:firstColumn="1" w:lastColumn="0" w:noHBand="0" w:noVBand="1"/>
    </w:tblPr>
    <w:tblGrid>
      <w:gridCol w:w="2693"/>
      <w:gridCol w:w="5103"/>
    </w:tblGrid>
    <w:tr w:rsidR="00F229F3" w:rsidRPr="006422A2" w:rsidTr="00210F32">
      <w:tc>
        <w:tcPr>
          <w:tcW w:w="2693" w:type="dxa"/>
          <w:vAlign w:val="center"/>
          <w:hideMark/>
        </w:tcPr>
        <w:p w:rsidR="00F229F3" w:rsidRPr="006422A2" w:rsidRDefault="00F229F3" w:rsidP="006422A2">
          <w:pPr>
            <w:rPr>
              <w:rFonts w:ascii="Palatino Linotype" w:hAnsi="Palatino Linotype"/>
              <w:b/>
              <w:lang w:val="es-ES_tradnl"/>
            </w:rPr>
          </w:pPr>
          <w:r w:rsidRPr="006422A2">
            <w:rPr>
              <w:rFonts w:ascii="Palatino Linotype" w:hAnsi="Palatino Linotype"/>
              <w:b/>
              <w:lang w:val="es-ES_tradnl"/>
            </w:rPr>
            <w:t>Recurso de Revisión:</w:t>
          </w:r>
        </w:p>
      </w:tc>
      <w:tc>
        <w:tcPr>
          <w:tcW w:w="5103" w:type="dxa"/>
          <w:vAlign w:val="center"/>
          <w:hideMark/>
        </w:tcPr>
        <w:p w:rsidR="00F229F3" w:rsidRPr="006422A2" w:rsidRDefault="00F229F3" w:rsidP="00210F32">
          <w:pPr>
            <w:rPr>
              <w:rFonts w:ascii="Palatino Linotype" w:hAnsi="Palatino Linotype"/>
              <w:lang w:val="es-ES_tradnl"/>
            </w:rPr>
          </w:pPr>
          <w:r w:rsidRPr="006422A2">
            <w:rPr>
              <w:rFonts w:ascii="Palatino Linotype" w:hAnsi="Palatino Linotype"/>
              <w:lang w:val="es-ES_tradnl"/>
            </w:rPr>
            <w:t>11058/INFOEM/AD/RR/2025</w:t>
          </w:r>
        </w:p>
      </w:tc>
    </w:tr>
    <w:tr w:rsidR="00F229F3" w:rsidRPr="006422A2" w:rsidTr="00210F32">
      <w:tc>
        <w:tcPr>
          <w:tcW w:w="2693" w:type="dxa"/>
          <w:vAlign w:val="center"/>
          <w:hideMark/>
        </w:tcPr>
        <w:p w:rsidR="006422A2" w:rsidRPr="006422A2" w:rsidRDefault="00F229F3" w:rsidP="006422A2">
          <w:pPr>
            <w:ind w:left="35" w:hanging="35"/>
            <w:rPr>
              <w:rFonts w:ascii="Palatino Linotype" w:hAnsi="Palatino Linotype"/>
              <w:b/>
              <w:lang w:val="es-ES_tradnl"/>
            </w:rPr>
          </w:pPr>
          <w:r w:rsidRPr="006422A2">
            <w:rPr>
              <w:rFonts w:ascii="Palatino Linotype" w:hAnsi="Palatino Linotype"/>
              <w:b/>
              <w:lang w:val="es-ES_tradnl"/>
            </w:rPr>
            <w:t>Recurrente:</w:t>
          </w:r>
        </w:p>
      </w:tc>
      <w:tc>
        <w:tcPr>
          <w:tcW w:w="5103" w:type="dxa"/>
          <w:vAlign w:val="center"/>
          <w:hideMark/>
        </w:tcPr>
        <w:p w:rsidR="00F229F3" w:rsidRPr="006422A2" w:rsidRDefault="00EC3096" w:rsidP="00210F32">
          <w:pPr>
            <w:rPr>
              <w:rFonts w:ascii="Palatino Linotype" w:hAnsi="Palatino Linotype"/>
              <w:lang w:val="es-ES_tradnl"/>
            </w:rPr>
          </w:pPr>
          <w:r>
            <w:rPr>
              <w:rFonts w:ascii="Palatino Linotype" w:hAnsi="Palatino Linotype"/>
            </w:rPr>
            <w:t>XXXX</w:t>
          </w:r>
        </w:p>
      </w:tc>
    </w:tr>
    <w:tr w:rsidR="00F229F3" w:rsidRPr="006422A2" w:rsidTr="00210F32">
      <w:trPr>
        <w:trHeight w:val="228"/>
      </w:trPr>
      <w:tc>
        <w:tcPr>
          <w:tcW w:w="2693" w:type="dxa"/>
          <w:vAlign w:val="center"/>
          <w:hideMark/>
        </w:tcPr>
        <w:p w:rsidR="00F229F3" w:rsidRDefault="00F229F3" w:rsidP="006422A2">
          <w:pPr>
            <w:rPr>
              <w:rFonts w:ascii="Palatino Linotype" w:hAnsi="Palatino Linotype"/>
              <w:b/>
              <w:lang w:val="es-ES_tradnl"/>
            </w:rPr>
          </w:pPr>
          <w:r w:rsidRPr="006422A2">
            <w:rPr>
              <w:rFonts w:ascii="Palatino Linotype" w:hAnsi="Palatino Linotype"/>
              <w:b/>
              <w:lang w:val="es-ES_tradnl"/>
            </w:rPr>
            <w:t>Sujeto obligado:</w:t>
          </w:r>
        </w:p>
        <w:p w:rsidR="006422A2" w:rsidRPr="006422A2" w:rsidRDefault="006422A2" w:rsidP="006422A2">
          <w:pPr>
            <w:rPr>
              <w:rFonts w:ascii="Palatino Linotype" w:hAnsi="Palatino Linotype"/>
              <w:b/>
              <w:lang w:val="es-ES_tradnl"/>
            </w:rPr>
          </w:pPr>
        </w:p>
      </w:tc>
      <w:tc>
        <w:tcPr>
          <w:tcW w:w="5103" w:type="dxa"/>
          <w:vAlign w:val="center"/>
          <w:hideMark/>
        </w:tcPr>
        <w:p w:rsidR="00F229F3" w:rsidRPr="006422A2" w:rsidRDefault="00F229F3" w:rsidP="00210F32">
          <w:pPr>
            <w:rPr>
              <w:rFonts w:ascii="Palatino Linotype" w:hAnsi="Palatino Linotype"/>
              <w:lang w:val="es-ES_tradnl"/>
            </w:rPr>
          </w:pPr>
          <w:r w:rsidRPr="006422A2">
            <w:rPr>
              <w:rFonts w:ascii="Palatino Linotype" w:eastAsia="Calibri" w:hAnsi="Palatino Linotype" w:cs="Tahoma"/>
              <w:lang w:eastAsia="en-US"/>
            </w:rPr>
            <w:t>Instituto de Seguridad Social del Estado de México y Municipios</w:t>
          </w:r>
        </w:p>
      </w:tc>
    </w:tr>
    <w:tr w:rsidR="00F229F3" w:rsidRPr="006422A2" w:rsidTr="00210F32">
      <w:tc>
        <w:tcPr>
          <w:tcW w:w="2693" w:type="dxa"/>
          <w:vAlign w:val="center"/>
          <w:hideMark/>
        </w:tcPr>
        <w:p w:rsidR="00F229F3" w:rsidRPr="006422A2" w:rsidRDefault="00F229F3" w:rsidP="006422A2">
          <w:pPr>
            <w:rPr>
              <w:rFonts w:ascii="Palatino Linotype" w:hAnsi="Palatino Linotype"/>
              <w:b/>
              <w:lang w:val="es-ES_tradnl"/>
            </w:rPr>
          </w:pPr>
          <w:r w:rsidRPr="006422A2">
            <w:rPr>
              <w:rFonts w:ascii="Palatino Linotype" w:hAnsi="Palatino Linotype"/>
              <w:b/>
              <w:lang w:val="es-ES_tradnl"/>
            </w:rPr>
            <w:t>Comisionada ponente:</w:t>
          </w:r>
        </w:p>
      </w:tc>
      <w:tc>
        <w:tcPr>
          <w:tcW w:w="5103" w:type="dxa"/>
          <w:vAlign w:val="center"/>
          <w:hideMark/>
        </w:tcPr>
        <w:p w:rsidR="00F229F3" w:rsidRPr="006422A2" w:rsidRDefault="00F229F3" w:rsidP="00210F32">
          <w:pPr>
            <w:rPr>
              <w:rFonts w:ascii="Palatino Linotype" w:hAnsi="Palatino Linotype"/>
              <w:lang w:val="es-ES_tradnl"/>
            </w:rPr>
          </w:pPr>
          <w:r w:rsidRPr="006422A2">
            <w:rPr>
              <w:rFonts w:ascii="Palatino Linotype" w:hAnsi="Palatino Linotype"/>
              <w:lang w:val="es-ES_tradnl"/>
            </w:rPr>
            <w:t>María del Rosario Mejía Ayala</w:t>
          </w:r>
        </w:p>
      </w:tc>
    </w:tr>
  </w:tbl>
  <w:p w:rsidR="007060DA" w:rsidRPr="006422A2" w:rsidRDefault="008A35F3" w:rsidP="006422A2">
    <w:pPr>
      <w:pBdr>
        <w:top w:val="nil"/>
        <w:left w:val="nil"/>
        <w:bottom w:val="nil"/>
        <w:right w:val="nil"/>
        <w:between w:val="nil"/>
      </w:pBd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98.7pt;margin-top:-148.2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0594827"/>
    <w:multiLevelType w:val="multilevel"/>
    <w:tmpl w:val="92C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277CA"/>
    <w:multiLevelType w:val="multilevel"/>
    <w:tmpl w:val="C8B8ECA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141672C"/>
    <w:multiLevelType w:val="multilevel"/>
    <w:tmpl w:val="B902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D94C94"/>
    <w:multiLevelType w:val="hybridMultilevel"/>
    <w:tmpl w:val="2BC6A1A8"/>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07828"/>
    <w:multiLevelType w:val="hybridMultilevel"/>
    <w:tmpl w:val="D0F27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136C8B"/>
    <w:multiLevelType w:val="hybridMultilevel"/>
    <w:tmpl w:val="17988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52015A"/>
    <w:multiLevelType w:val="hybridMultilevel"/>
    <w:tmpl w:val="C6B6AB4A"/>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573210"/>
    <w:multiLevelType w:val="multilevel"/>
    <w:tmpl w:val="38C6802E"/>
    <w:lvl w:ilvl="0">
      <w:start w:val="1"/>
      <w:numFmt w:val="decimal"/>
      <w:lvlText w:val="%1."/>
      <w:lvlJc w:val="left"/>
      <w:pPr>
        <w:ind w:left="291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916615"/>
    <w:multiLevelType w:val="hybridMultilevel"/>
    <w:tmpl w:val="84403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BF45E6"/>
    <w:multiLevelType w:val="hybridMultilevel"/>
    <w:tmpl w:val="723A7C00"/>
    <w:lvl w:ilvl="0" w:tplc="3CD6698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78C60BB1"/>
    <w:multiLevelType w:val="hybridMultilevel"/>
    <w:tmpl w:val="5734C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75D07"/>
    <w:multiLevelType w:val="hybridMultilevel"/>
    <w:tmpl w:val="5F1E832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E7C3120"/>
    <w:multiLevelType w:val="multilevel"/>
    <w:tmpl w:val="997CBDB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2"/>
  </w:num>
  <w:num w:numId="3">
    <w:abstractNumId w:val="16"/>
  </w:num>
  <w:num w:numId="4">
    <w:abstractNumId w:val="9"/>
  </w:num>
  <w:num w:numId="5">
    <w:abstractNumId w:val="12"/>
  </w:num>
  <w:num w:numId="6">
    <w:abstractNumId w:val="6"/>
  </w:num>
  <w:num w:numId="7">
    <w:abstractNumId w:val="0"/>
  </w:num>
  <w:num w:numId="8">
    <w:abstractNumId w:val="8"/>
  </w:num>
  <w:num w:numId="9">
    <w:abstractNumId w:val="4"/>
  </w:num>
  <w:num w:numId="10">
    <w:abstractNumId w:val="1"/>
  </w:num>
  <w:num w:numId="11">
    <w:abstractNumId w:val="7"/>
  </w:num>
  <w:num w:numId="12">
    <w:abstractNumId w:val="15"/>
  </w:num>
  <w:num w:numId="13">
    <w:abstractNumId w:val="5"/>
  </w:num>
  <w:num w:numId="14">
    <w:abstractNumId w:val="14"/>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113E9"/>
    <w:rsid w:val="00017C2F"/>
    <w:rsid w:val="000201D2"/>
    <w:rsid w:val="00031DB1"/>
    <w:rsid w:val="00053509"/>
    <w:rsid w:val="00060BD2"/>
    <w:rsid w:val="00071414"/>
    <w:rsid w:val="00072E1D"/>
    <w:rsid w:val="0007397F"/>
    <w:rsid w:val="0007427B"/>
    <w:rsid w:val="00075BA4"/>
    <w:rsid w:val="00075EB3"/>
    <w:rsid w:val="000B4ACA"/>
    <w:rsid w:val="000B5445"/>
    <w:rsid w:val="000B5DC1"/>
    <w:rsid w:val="000E0922"/>
    <w:rsid w:val="000E539E"/>
    <w:rsid w:val="000F7F64"/>
    <w:rsid w:val="001022D8"/>
    <w:rsid w:val="00102328"/>
    <w:rsid w:val="001035D1"/>
    <w:rsid w:val="00103ABD"/>
    <w:rsid w:val="00104606"/>
    <w:rsid w:val="001053B7"/>
    <w:rsid w:val="00144309"/>
    <w:rsid w:val="00152874"/>
    <w:rsid w:val="00157CD7"/>
    <w:rsid w:val="001741A1"/>
    <w:rsid w:val="00180CD2"/>
    <w:rsid w:val="00182269"/>
    <w:rsid w:val="00185ABA"/>
    <w:rsid w:val="00193BE4"/>
    <w:rsid w:val="001B6CF8"/>
    <w:rsid w:val="001C146F"/>
    <w:rsid w:val="001C64BE"/>
    <w:rsid w:val="001D2F2C"/>
    <w:rsid w:val="001D4E0D"/>
    <w:rsid w:val="001E4E1A"/>
    <w:rsid w:val="002023CB"/>
    <w:rsid w:val="002053AC"/>
    <w:rsid w:val="00207832"/>
    <w:rsid w:val="00210F32"/>
    <w:rsid w:val="002113C6"/>
    <w:rsid w:val="0021354B"/>
    <w:rsid w:val="002213F8"/>
    <w:rsid w:val="00231593"/>
    <w:rsid w:val="00231BF3"/>
    <w:rsid w:val="00234CD8"/>
    <w:rsid w:val="002379E8"/>
    <w:rsid w:val="00243341"/>
    <w:rsid w:val="0025026C"/>
    <w:rsid w:val="00253B02"/>
    <w:rsid w:val="00260F62"/>
    <w:rsid w:val="0026508D"/>
    <w:rsid w:val="00267EDB"/>
    <w:rsid w:val="00273A75"/>
    <w:rsid w:val="00280981"/>
    <w:rsid w:val="00290795"/>
    <w:rsid w:val="00297CFC"/>
    <w:rsid w:val="002A28F7"/>
    <w:rsid w:val="002A6934"/>
    <w:rsid w:val="002E74F2"/>
    <w:rsid w:val="00302FEF"/>
    <w:rsid w:val="00304483"/>
    <w:rsid w:val="00307B90"/>
    <w:rsid w:val="00313A70"/>
    <w:rsid w:val="00325C00"/>
    <w:rsid w:val="00336198"/>
    <w:rsid w:val="003437DB"/>
    <w:rsid w:val="00344E2F"/>
    <w:rsid w:val="003462C4"/>
    <w:rsid w:val="003542F9"/>
    <w:rsid w:val="00364579"/>
    <w:rsid w:val="00370C32"/>
    <w:rsid w:val="00384962"/>
    <w:rsid w:val="00394689"/>
    <w:rsid w:val="003B7CC1"/>
    <w:rsid w:val="003C5795"/>
    <w:rsid w:val="003D2397"/>
    <w:rsid w:val="003D79A7"/>
    <w:rsid w:val="003E2CAD"/>
    <w:rsid w:val="003F0F5C"/>
    <w:rsid w:val="003F46F6"/>
    <w:rsid w:val="004129A5"/>
    <w:rsid w:val="00445AE7"/>
    <w:rsid w:val="00446A04"/>
    <w:rsid w:val="00452C86"/>
    <w:rsid w:val="0046368B"/>
    <w:rsid w:val="00465FEF"/>
    <w:rsid w:val="00475285"/>
    <w:rsid w:val="004818C6"/>
    <w:rsid w:val="004921DF"/>
    <w:rsid w:val="004A0F21"/>
    <w:rsid w:val="004A5E1C"/>
    <w:rsid w:val="004E0019"/>
    <w:rsid w:val="004F7A3A"/>
    <w:rsid w:val="004F7FFB"/>
    <w:rsid w:val="0051069E"/>
    <w:rsid w:val="00552D53"/>
    <w:rsid w:val="00571E5A"/>
    <w:rsid w:val="0057506A"/>
    <w:rsid w:val="00581E22"/>
    <w:rsid w:val="0059452D"/>
    <w:rsid w:val="005A39CE"/>
    <w:rsid w:val="005A55E8"/>
    <w:rsid w:val="005C7E4A"/>
    <w:rsid w:val="005E22C8"/>
    <w:rsid w:val="005E31A2"/>
    <w:rsid w:val="005F6C40"/>
    <w:rsid w:val="00610E89"/>
    <w:rsid w:val="00615662"/>
    <w:rsid w:val="006422A2"/>
    <w:rsid w:val="00667E8D"/>
    <w:rsid w:val="006804CD"/>
    <w:rsid w:val="006A4042"/>
    <w:rsid w:val="006B0053"/>
    <w:rsid w:val="006B0574"/>
    <w:rsid w:val="006B30E3"/>
    <w:rsid w:val="006B4639"/>
    <w:rsid w:val="006B466E"/>
    <w:rsid w:val="006D4940"/>
    <w:rsid w:val="006F60B9"/>
    <w:rsid w:val="00701821"/>
    <w:rsid w:val="007060DA"/>
    <w:rsid w:val="00707A5D"/>
    <w:rsid w:val="0071163F"/>
    <w:rsid w:val="0071544D"/>
    <w:rsid w:val="00716B5C"/>
    <w:rsid w:val="00724785"/>
    <w:rsid w:val="007268D1"/>
    <w:rsid w:val="00741128"/>
    <w:rsid w:val="00775CA5"/>
    <w:rsid w:val="00782798"/>
    <w:rsid w:val="007838A3"/>
    <w:rsid w:val="007A1107"/>
    <w:rsid w:val="007B089F"/>
    <w:rsid w:val="007C5D3A"/>
    <w:rsid w:val="007D1DF6"/>
    <w:rsid w:val="008014DC"/>
    <w:rsid w:val="008034D0"/>
    <w:rsid w:val="008066AF"/>
    <w:rsid w:val="00813158"/>
    <w:rsid w:val="00817056"/>
    <w:rsid w:val="00827F3B"/>
    <w:rsid w:val="0084477A"/>
    <w:rsid w:val="00857931"/>
    <w:rsid w:val="00884F03"/>
    <w:rsid w:val="008960DB"/>
    <w:rsid w:val="008A35F3"/>
    <w:rsid w:val="008A5A63"/>
    <w:rsid w:val="008A7B79"/>
    <w:rsid w:val="008C3594"/>
    <w:rsid w:val="008C405A"/>
    <w:rsid w:val="008E61D2"/>
    <w:rsid w:val="008F056F"/>
    <w:rsid w:val="009148EF"/>
    <w:rsid w:val="00915A99"/>
    <w:rsid w:val="009504E2"/>
    <w:rsid w:val="00953A16"/>
    <w:rsid w:val="009562E7"/>
    <w:rsid w:val="00966901"/>
    <w:rsid w:val="00974BB3"/>
    <w:rsid w:val="0099101E"/>
    <w:rsid w:val="0099674A"/>
    <w:rsid w:val="009A25C7"/>
    <w:rsid w:val="009A3442"/>
    <w:rsid w:val="009B7AB9"/>
    <w:rsid w:val="009C3413"/>
    <w:rsid w:val="009C520A"/>
    <w:rsid w:val="009C545C"/>
    <w:rsid w:val="009D1E5D"/>
    <w:rsid w:val="009E6013"/>
    <w:rsid w:val="00A01E77"/>
    <w:rsid w:val="00A11E43"/>
    <w:rsid w:val="00A1496B"/>
    <w:rsid w:val="00A3642E"/>
    <w:rsid w:val="00A52434"/>
    <w:rsid w:val="00A5777F"/>
    <w:rsid w:val="00A725FE"/>
    <w:rsid w:val="00A730FD"/>
    <w:rsid w:val="00A91BEE"/>
    <w:rsid w:val="00A95EE3"/>
    <w:rsid w:val="00AA2A1B"/>
    <w:rsid w:val="00AD2B5F"/>
    <w:rsid w:val="00AE76F6"/>
    <w:rsid w:val="00AF0AB1"/>
    <w:rsid w:val="00AF2C65"/>
    <w:rsid w:val="00B25775"/>
    <w:rsid w:val="00B47731"/>
    <w:rsid w:val="00B6356C"/>
    <w:rsid w:val="00B65DA6"/>
    <w:rsid w:val="00B837B9"/>
    <w:rsid w:val="00BB0BD1"/>
    <w:rsid w:val="00BB37A9"/>
    <w:rsid w:val="00BB4709"/>
    <w:rsid w:val="00BE1310"/>
    <w:rsid w:val="00BE42F2"/>
    <w:rsid w:val="00BE706E"/>
    <w:rsid w:val="00C064BB"/>
    <w:rsid w:val="00C165D9"/>
    <w:rsid w:val="00C20BDB"/>
    <w:rsid w:val="00C2561E"/>
    <w:rsid w:val="00C363A0"/>
    <w:rsid w:val="00C510E5"/>
    <w:rsid w:val="00C655D5"/>
    <w:rsid w:val="00C700AF"/>
    <w:rsid w:val="00C70765"/>
    <w:rsid w:val="00C709B1"/>
    <w:rsid w:val="00C74332"/>
    <w:rsid w:val="00C813CD"/>
    <w:rsid w:val="00CA1691"/>
    <w:rsid w:val="00CA4E84"/>
    <w:rsid w:val="00CA5070"/>
    <w:rsid w:val="00CB154B"/>
    <w:rsid w:val="00CC5FD8"/>
    <w:rsid w:val="00CD4C1B"/>
    <w:rsid w:val="00D256EC"/>
    <w:rsid w:val="00D425A0"/>
    <w:rsid w:val="00D54D17"/>
    <w:rsid w:val="00D56BF3"/>
    <w:rsid w:val="00D67C45"/>
    <w:rsid w:val="00DC051B"/>
    <w:rsid w:val="00DC0D28"/>
    <w:rsid w:val="00DC7D01"/>
    <w:rsid w:val="00DD424C"/>
    <w:rsid w:val="00DE5E37"/>
    <w:rsid w:val="00DE67BE"/>
    <w:rsid w:val="00DE695C"/>
    <w:rsid w:val="00DF0DD8"/>
    <w:rsid w:val="00DF1FC4"/>
    <w:rsid w:val="00E06377"/>
    <w:rsid w:val="00E13DBC"/>
    <w:rsid w:val="00E205BC"/>
    <w:rsid w:val="00E2463F"/>
    <w:rsid w:val="00E3028F"/>
    <w:rsid w:val="00E305E8"/>
    <w:rsid w:val="00E417EF"/>
    <w:rsid w:val="00E47E8A"/>
    <w:rsid w:val="00E53386"/>
    <w:rsid w:val="00E56B42"/>
    <w:rsid w:val="00E56E9F"/>
    <w:rsid w:val="00E82B9C"/>
    <w:rsid w:val="00E82D18"/>
    <w:rsid w:val="00E831AD"/>
    <w:rsid w:val="00E91CB6"/>
    <w:rsid w:val="00E92EF3"/>
    <w:rsid w:val="00E93460"/>
    <w:rsid w:val="00EA5630"/>
    <w:rsid w:val="00EB387E"/>
    <w:rsid w:val="00EC0753"/>
    <w:rsid w:val="00EC3096"/>
    <w:rsid w:val="00EC47A6"/>
    <w:rsid w:val="00EC60E0"/>
    <w:rsid w:val="00EC6AEB"/>
    <w:rsid w:val="00EE2E88"/>
    <w:rsid w:val="00EE51B5"/>
    <w:rsid w:val="00EF2EEB"/>
    <w:rsid w:val="00F05CAE"/>
    <w:rsid w:val="00F11B63"/>
    <w:rsid w:val="00F14FBF"/>
    <w:rsid w:val="00F211A9"/>
    <w:rsid w:val="00F21522"/>
    <w:rsid w:val="00F229F3"/>
    <w:rsid w:val="00F40DBE"/>
    <w:rsid w:val="00F467EA"/>
    <w:rsid w:val="00F60E50"/>
    <w:rsid w:val="00F66FDF"/>
    <w:rsid w:val="00F673E8"/>
    <w:rsid w:val="00F73E4C"/>
    <w:rsid w:val="00F7454C"/>
    <w:rsid w:val="00F82417"/>
    <w:rsid w:val="00F83097"/>
    <w:rsid w:val="00FE36D1"/>
    <w:rsid w:val="00FF6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74495F-D54A-42CE-9A25-D3AD13AB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53B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1053B7"/>
    <w:pPr>
      <w:keepNext/>
      <w:keepLines/>
      <w:spacing w:before="40"/>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53B7"/>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53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53B7"/>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053B7"/>
    <w:pPr>
      <w:tabs>
        <w:tab w:val="center" w:pos="4419"/>
        <w:tab w:val="right" w:pos="8838"/>
      </w:tabs>
    </w:pPr>
  </w:style>
  <w:style w:type="character" w:customStyle="1" w:styleId="EncabezadoCar">
    <w:name w:val="Encabezado Car"/>
    <w:basedOn w:val="Fuentedeprrafopredeter"/>
    <w:link w:val="Encabezado"/>
    <w:uiPriority w:val="99"/>
    <w:rsid w:val="001053B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053B7"/>
    <w:pPr>
      <w:tabs>
        <w:tab w:val="center" w:pos="4419"/>
        <w:tab w:val="right" w:pos="8838"/>
      </w:tabs>
    </w:pPr>
  </w:style>
  <w:style w:type="character" w:customStyle="1" w:styleId="PiedepginaCar">
    <w:name w:val="Pie de página Car"/>
    <w:basedOn w:val="Fuentedeprrafopredeter"/>
    <w:link w:val="Piedepgina"/>
    <w:uiPriority w:val="99"/>
    <w:rsid w:val="001053B7"/>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A91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6054">
      <w:bodyDiv w:val="1"/>
      <w:marLeft w:val="0"/>
      <w:marRight w:val="0"/>
      <w:marTop w:val="0"/>
      <w:marBottom w:val="0"/>
      <w:divBdr>
        <w:top w:val="none" w:sz="0" w:space="0" w:color="auto"/>
        <w:left w:val="none" w:sz="0" w:space="0" w:color="auto"/>
        <w:bottom w:val="none" w:sz="0" w:space="0" w:color="auto"/>
        <w:right w:val="none" w:sz="0" w:space="0" w:color="auto"/>
      </w:divBdr>
    </w:div>
    <w:div w:id="96366702">
      <w:bodyDiv w:val="1"/>
      <w:marLeft w:val="0"/>
      <w:marRight w:val="0"/>
      <w:marTop w:val="0"/>
      <w:marBottom w:val="0"/>
      <w:divBdr>
        <w:top w:val="none" w:sz="0" w:space="0" w:color="auto"/>
        <w:left w:val="none" w:sz="0" w:space="0" w:color="auto"/>
        <w:bottom w:val="none" w:sz="0" w:space="0" w:color="auto"/>
        <w:right w:val="none" w:sz="0" w:space="0" w:color="auto"/>
      </w:divBdr>
    </w:div>
    <w:div w:id="165829854">
      <w:bodyDiv w:val="1"/>
      <w:marLeft w:val="0"/>
      <w:marRight w:val="0"/>
      <w:marTop w:val="0"/>
      <w:marBottom w:val="0"/>
      <w:divBdr>
        <w:top w:val="none" w:sz="0" w:space="0" w:color="auto"/>
        <w:left w:val="none" w:sz="0" w:space="0" w:color="auto"/>
        <w:bottom w:val="none" w:sz="0" w:space="0" w:color="auto"/>
        <w:right w:val="none" w:sz="0" w:space="0" w:color="auto"/>
      </w:divBdr>
    </w:div>
    <w:div w:id="264773364">
      <w:bodyDiv w:val="1"/>
      <w:marLeft w:val="0"/>
      <w:marRight w:val="0"/>
      <w:marTop w:val="0"/>
      <w:marBottom w:val="0"/>
      <w:divBdr>
        <w:top w:val="none" w:sz="0" w:space="0" w:color="auto"/>
        <w:left w:val="none" w:sz="0" w:space="0" w:color="auto"/>
        <w:bottom w:val="none" w:sz="0" w:space="0" w:color="auto"/>
        <w:right w:val="none" w:sz="0" w:space="0" w:color="auto"/>
      </w:divBdr>
    </w:div>
    <w:div w:id="301740765">
      <w:bodyDiv w:val="1"/>
      <w:marLeft w:val="0"/>
      <w:marRight w:val="0"/>
      <w:marTop w:val="0"/>
      <w:marBottom w:val="0"/>
      <w:divBdr>
        <w:top w:val="none" w:sz="0" w:space="0" w:color="auto"/>
        <w:left w:val="none" w:sz="0" w:space="0" w:color="auto"/>
        <w:bottom w:val="none" w:sz="0" w:space="0" w:color="auto"/>
        <w:right w:val="none" w:sz="0" w:space="0" w:color="auto"/>
      </w:divBdr>
      <w:divsChild>
        <w:div w:id="800655931">
          <w:marLeft w:val="0"/>
          <w:marRight w:val="0"/>
          <w:marTop w:val="0"/>
          <w:marBottom w:val="0"/>
          <w:divBdr>
            <w:top w:val="none" w:sz="0" w:space="0" w:color="auto"/>
            <w:left w:val="none" w:sz="0" w:space="0" w:color="auto"/>
            <w:bottom w:val="none" w:sz="0" w:space="0" w:color="auto"/>
            <w:right w:val="none" w:sz="0" w:space="0" w:color="auto"/>
          </w:divBdr>
        </w:div>
      </w:divsChild>
    </w:div>
    <w:div w:id="330375653">
      <w:bodyDiv w:val="1"/>
      <w:marLeft w:val="0"/>
      <w:marRight w:val="0"/>
      <w:marTop w:val="0"/>
      <w:marBottom w:val="0"/>
      <w:divBdr>
        <w:top w:val="none" w:sz="0" w:space="0" w:color="auto"/>
        <w:left w:val="none" w:sz="0" w:space="0" w:color="auto"/>
        <w:bottom w:val="none" w:sz="0" w:space="0" w:color="auto"/>
        <w:right w:val="none" w:sz="0" w:space="0" w:color="auto"/>
      </w:divBdr>
    </w:div>
    <w:div w:id="523909641">
      <w:bodyDiv w:val="1"/>
      <w:marLeft w:val="0"/>
      <w:marRight w:val="0"/>
      <w:marTop w:val="0"/>
      <w:marBottom w:val="0"/>
      <w:divBdr>
        <w:top w:val="none" w:sz="0" w:space="0" w:color="auto"/>
        <w:left w:val="none" w:sz="0" w:space="0" w:color="auto"/>
        <w:bottom w:val="none" w:sz="0" w:space="0" w:color="auto"/>
        <w:right w:val="none" w:sz="0" w:space="0" w:color="auto"/>
      </w:divBdr>
    </w:div>
    <w:div w:id="551969439">
      <w:bodyDiv w:val="1"/>
      <w:marLeft w:val="0"/>
      <w:marRight w:val="0"/>
      <w:marTop w:val="0"/>
      <w:marBottom w:val="0"/>
      <w:divBdr>
        <w:top w:val="none" w:sz="0" w:space="0" w:color="auto"/>
        <w:left w:val="none" w:sz="0" w:space="0" w:color="auto"/>
        <w:bottom w:val="none" w:sz="0" w:space="0" w:color="auto"/>
        <w:right w:val="none" w:sz="0" w:space="0" w:color="auto"/>
      </w:divBdr>
    </w:div>
    <w:div w:id="653486114">
      <w:bodyDiv w:val="1"/>
      <w:marLeft w:val="0"/>
      <w:marRight w:val="0"/>
      <w:marTop w:val="0"/>
      <w:marBottom w:val="0"/>
      <w:divBdr>
        <w:top w:val="none" w:sz="0" w:space="0" w:color="auto"/>
        <w:left w:val="none" w:sz="0" w:space="0" w:color="auto"/>
        <w:bottom w:val="none" w:sz="0" w:space="0" w:color="auto"/>
        <w:right w:val="none" w:sz="0" w:space="0" w:color="auto"/>
      </w:divBdr>
    </w:div>
    <w:div w:id="670909009">
      <w:bodyDiv w:val="1"/>
      <w:marLeft w:val="0"/>
      <w:marRight w:val="0"/>
      <w:marTop w:val="0"/>
      <w:marBottom w:val="0"/>
      <w:divBdr>
        <w:top w:val="none" w:sz="0" w:space="0" w:color="auto"/>
        <w:left w:val="none" w:sz="0" w:space="0" w:color="auto"/>
        <w:bottom w:val="none" w:sz="0" w:space="0" w:color="auto"/>
        <w:right w:val="none" w:sz="0" w:space="0" w:color="auto"/>
      </w:divBdr>
      <w:divsChild>
        <w:div w:id="95057922">
          <w:marLeft w:val="0"/>
          <w:marRight w:val="0"/>
          <w:marTop w:val="0"/>
          <w:marBottom w:val="0"/>
          <w:divBdr>
            <w:top w:val="none" w:sz="0" w:space="0" w:color="auto"/>
            <w:left w:val="none" w:sz="0" w:space="0" w:color="auto"/>
            <w:bottom w:val="none" w:sz="0" w:space="0" w:color="auto"/>
            <w:right w:val="none" w:sz="0" w:space="0" w:color="auto"/>
          </w:divBdr>
        </w:div>
      </w:divsChild>
    </w:div>
    <w:div w:id="694771939">
      <w:bodyDiv w:val="1"/>
      <w:marLeft w:val="0"/>
      <w:marRight w:val="0"/>
      <w:marTop w:val="0"/>
      <w:marBottom w:val="0"/>
      <w:divBdr>
        <w:top w:val="none" w:sz="0" w:space="0" w:color="auto"/>
        <w:left w:val="none" w:sz="0" w:space="0" w:color="auto"/>
        <w:bottom w:val="none" w:sz="0" w:space="0" w:color="auto"/>
        <w:right w:val="none" w:sz="0" w:space="0" w:color="auto"/>
      </w:divBdr>
    </w:div>
    <w:div w:id="759641720">
      <w:bodyDiv w:val="1"/>
      <w:marLeft w:val="0"/>
      <w:marRight w:val="0"/>
      <w:marTop w:val="0"/>
      <w:marBottom w:val="0"/>
      <w:divBdr>
        <w:top w:val="none" w:sz="0" w:space="0" w:color="auto"/>
        <w:left w:val="none" w:sz="0" w:space="0" w:color="auto"/>
        <w:bottom w:val="none" w:sz="0" w:space="0" w:color="auto"/>
        <w:right w:val="none" w:sz="0" w:space="0" w:color="auto"/>
      </w:divBdr>
    </w:div>
    <w:div w:id="771827167">
      <w:bodyDiv w:val="1"/>
      <w:marLeft w:val="0"/>
      <w:marRight w:val="0"/>
      <w:marTop w:val="0"/>
      <w:marBottom w:val="0"/>
      <w:divBdr>
        <w:top w:val="none" w:sz="0" w:space="0" w:color="auto"/>
        <w:left w:val="none" w:sz="0" w:space="0" w:color="auto"/>
        <w:bottom w:val="none" w:sz="0" w:space="0" w:color="auto"/>
        <w:right w:val="none" w:sz="0" w:space="0" w:color="auto"/>
      </w:divBdr>
      <w:divsChild>
        <w:div w:id="358044130">
          <w:marLeft w:val="0"/>
          <w:marRight w:val="0"/>
          <w:marTop w:val="0"/>
          <w:marBottom w:val="0"/>
          <w:divBdr>
            <w:top w:val="none" w:sz="0" w:space="0" w:color="auto"/>
            <w:left w:val="none" w:sz="0" w:space="0" w:color="auto"/>
            <w:bottom w:val="none" w:sz="0" w:space="0" w:color="auto"/>
            <w:right w:val="none" w:sz="0" w:space="0" w:color="auto"/>
          </w:divBdr>
        </w:div>
      </w:divsChild>
    </w:div>
    <w:div w:id="963510899">
      <w:bodyDiv w:val="1"/>
      <w:marLeft w:val="0"/>
      <w:marRight w:val="0"/>
      <w:marTop w:val="0"/>
      <w:marBottom w:val="0"/>
      <w:divBdr>
        <w:top w:val="none" w:sz="0" w:space="0" w:color="auto"/>
        <w:left w:val="none" w:sz="0" w:space="0" w:color="auto"/>
        <w:bottom w:val="none" w:sz="0" w:space="0" w:color="auto"/>
        <w:right w:val="none" w:sz="0" w:space="0" w:color="auto"/>
      </w:divBdr>
    </w:div>
    <w:div w:id="1007442784">
      <w:bodyDiv w:val="1"/>
      <w:marLeft w:val="0"/>
      <w:marRight w:val="0"/>
      <w:marTop w:val="0"/>
      <w:marBottom w:val="0"/>
      <w:divBdr>
        <w:top w:val="none" w:sz="0" w:space="0" w:color="auto"/>
        <w:left w:val="none" w:sz="0" w:space="0" w:color="auto"/>
        <w:bottom w:val="none" w:sz="0" w:space="0" w:color="auto"/>
        <w:right w:val="none" w:sz="0" w:space="0" w:color="auto"/>
      </w:divBdr>
    </w:div>
    <w:div w:id="1106850487">
      <w:bodyDiv w:val="1"/>
      <w:marLeft w:val="0"/>
      <w:marRight w:val="0"/>
      <w:marTop w:val="0"/>
      <w:marBottom w:val="0"/>
      <w:divBdr>
        <w:top w:val="none" w:sz="0" w:space="0" w:color="auto"/>
        <w:left w:val="none" w:sz="0" w:space="0" w:color="auto"/>
        <w:bottom w:val="none" w:sz="0" w:space="0" w:color="auto"/>
        <w:right w:val="none" w:sz="0" w:space="0" w:color="auto"/>
      </w:divBdr>
    </w:div>
    <w:div w:id="1109088855">
      <w:bodyDiv w:val="1"/>
      <w:marLeft w:val="0"/>
      <w:marRight w:val="0"/>
      <w:marTop w:val="0"/>
      <w:marBottom w:val="0"/>
      <w:divBdr>
        <w:top w:val="none" w:sz="0" w:space="0" w:color="auto"/>
        <w:left w:val="none" w:sz="0" w:space="0" w:color="auto"/>
        <w:bottom w:val="none" w:sz="0" w:space="0" w:color="auto"/>
        <w:right w:val="none" w:sz="0" w:space="0" w:color="auto"/>
      </w:divBdr>
      <w:divsChild>
        <w:div w:id="1134058648">
          <w:marLeft w:val="0"/>
          <w:marRight w:val="0"/>
          <w:marTop w:val="0"/>
          <w:marBottom w:val="0"/>
          <w:divBdr>
            <w:top w:val="none" w:sz="0" w:space="0" w:color="auto"/>
            <w:left w:val="none" w:sz="0" w:space="0" w:color="auto"/>
            <w:bottom w:val="none" w:sz="0" w:space="0" w:color="auto"/>
            <w:right w:val="none" w:sz="0" w:space="0" w:color="auto"/>
          </w:divBdr>
        </w:div>
      </w:divsChild>
    </w:div>
    <w:div w:id="1173035591">
      <w:bodyDiv w:val="1"/>
      <w:marLeft w:val="0"/>
      <w:marRight w:val="0"/>
      <w:marTop w:val="0"/>
      <w:marBottom w:val="0"/>
      <w:divBdr>
        <w:top w:val="none" w:sz="0" w:space="0" w:color="auto"/>
        <w:left w:val="none" w:sz="0" w:space="0" w:color="auto"/>
        <w:bottom w:val="none" w:sz="0" w:space="0" w:color="auto"/>
        <w:right w:val="none" w:sz="0" w:space="0" w:color="auto"/>
      </w:divBdr>
    </w:div>
    <w:div w:id="1207371605">
      <w:bodyDiv w:val="1"/>
      <w:marLeft w:val="0"/>
      <w:marRight w:val="0"/>
      <w:marTop w:val="0"/>
      <w:marBottom w:val="0"/>
      <w:divBdr>
        <w:top w:val="none" w:sz="0" w:space="0" w:color="auto"/>
        <w:left w:val="none" w:sz="0" w:space="0" w:color="auto"/>
        <w:bottom w:val="none" w:sz="0" w:space="0" w:color="auto"/>
        <w:right w:val="none" w:sz="0" w:space="0" w:color="auto"/>
      </w:divBdr>
    </w:div>
    <w:div w:id="1217740818">
      <w:bodyDiv w:val="1"/>
      <w:marLeft w:val="0"/>
      <w:marRight w:val="0"/>
      <w:marTop w:val="0"/>
      <w:marBottom w:val="0"/>
      <w:divBdr>
        <w:top w:val="none" w:sz="0" w:space="0" w:color="auto"/>
        <w:left w:val="none" w:sz="0" w:space="0" w:color="auto"/>
        <w:bottom w:val="none" w:sz="0" w:space="0" w:color="auto"/>
        <w:right w:val="none" w:sz="0" w:space="0" w:color="auto"/>
      </w:divBdr>
    </w:div>
    <w:div w:id="1258714535">
      <w:bodyDiv w:val="1"/>
      <w:marLeft w:val="0"/>
      <w:marRight w:val="0"/>
      <w:marTop w:val="0"/>
      <w:marBottom w:val="0"/>
      <w:divBdr>
        <w:top w:val="none" w:sz="0" w:space="0" w:color="auto"/>
        <w:left w:val="none" w:sz="0" w:space="0" w:color="auto"/>
        <w:bottom w:val="none" w:sz="0" w:space="0" w:color="auto"/>
        <w:right w:val="none" w:sz="0" w:space="0" w:color="auto"/>
      </w:divBdr>
    </w:div>
    <w:div w:id="1296907915">
      <w:bodyDiv w:val="1"/>
      <w:marLeft w:val="0"/>
      <w:marRight w:val="0"/>
      <w:marTop w:val="0"/>
      <w:marBottom w:val="0"/>
      <w:divBdr>
        <w:top w:val="none" w:sz="0" w:space="0" w:color="auto"/>
        <w:left w:val="none" w:sz="0" w:space="0" w:color="auto"/>
        <w:bottom w:val="none" w:sz="0" w:space="0" w:color="auto"/>
        <w:right w:val="none" w:sz="0" w:space="0" w:color="auto"/>
      </w:divBdr>
      <w:divsChild>
        <w:div w:id="1385905880">
          <w:marLeft w:val="0"/>
          <w:marRight w:val="0"/>
          <w:marTop w:val="0"/>
          <w:marBottom w:val="0"/>
          <w:divBdr>
            <w:top w:val="none" w:sz="0" w:space="0" w:color="auto"/>
            <w:left w:val="none" w:sz="0" w:space="0" w:color="auto"/>
            <w:bottom w:val="none" w:sz="0" w:space="0" w:color="auto"/>
            <w:right w:val="none" w:sz="0" w:space="0" w:color="auto"/>
          </w:divBdr>
        </w:div>
      </w:divsChild>
    </w:div>
    <w:div w:id="1392386279">
      <w:bodyDiv w:val="1"/>
      <w:marLeft w:val="0"/>
      <w:marRight w:val="0"/>
      <w:marTop w:val="0"/>
      <w:marBottom w:val="0"/>
      <w:divBdr>
        <w:top w:val="none" w:sz="0" w:space="0" w:color="auto"/>
        <w:left w:val="none" w:sz="0" w:space="0" w:color="auto"/>
        <w:bottom w:val="none" w:sz="0" w:space="0" w:color="auto"/>
        <w:right w:val="none" w:sz="0" w:space="0" w:color="auto"/>
      </w:divBdr>
    </w:div>
    <w:div w:id="1506089309">
      <w:bodyDiv w:val="1"/>
      <w:marLeft w:val="0"/>
      <w:marRight w:val="0"/>
      <w:marTop w:val="0"/>
      <w:marBottom w:val="0"/>
      <w:divBdr>
        <w:top w:val="none" w:sz="0" w:space="0" w:color="auto"/>
        <w:left w:val="none" w:sz="0" w:space="0" w:color="auto"/>
        <w:bottom w:val="none" w:sz="0" w:space="0" w:color="auto"/>
        <w:right w:val="none" w:sz="0" w:space="0" w:color="auto"/>
      </w:divBdr>
    </w:div>
    <w:div w:id="1506938622">
      <w:bodyDiv w:val="1"/>
      <w:marLeft w:val="0"/>
      <w:marRight w:val="0"/>
      <w:marTop w:val="0"/>
      <w:marBottom w:val="0"/>
      <w:divBdr>
        <w:top w:val="none" w:sz="0" w:space="0" w:color="auto"/>
        <w:left w:val="none" w:sz="0" w:space="0" w:color="auto"/>
        <w:bottom w:val="none" w:sz="0" w:space="0" w:color="auto"/>
        <w:right w:val="none" w:sz="0" w:space="0" w:color="auto"/>
      </w:divBdr>
    </w:div>
    <w:div w:id="1643844483">
      <w:bodyDiv w:val="1"/>
      <w:marLeft w:val="0"/>
      <w:marRight w:val="0"/>
      <w:marTop w:val="0"/>
      <w:marBottom w:val="0"/>
      <w:divBdr>
        <w:top w:val="none" w:sz="0" w:space="0" w:color="auto"/>
        <w:left w:val="none" w:sz="0" w:space="0" w:color="auto"/>
        <w:bottom w:val="none" w:sz="0" w:space="0" w:color="auto"/>
        <w:right w:val="none" w:sz="0" w:space="0" w:color="auto"/>
      </w:divBdr>
    </w:div>
    <w:div w:id="1874343707">
      <w:bodyDiv w:val="1"/>
      <w:marLeft w:val="0"/>
      <w:marRight w:val="0"/>
      <w:marTop w:val="0"/>
      <w:marBottom w:val="0"/>
      <w:divBdr>
        <w:top w:val="none" w:sz="0" w:space="0" w:color="auto"/>
        <w:left w:val="none" w:sz="0" w:space="0" w:color="auto"/>
        <w:bottom w:val="none" w:sz="0" w:space="0" w:color="auto"/>
        <w:right w:val="none" w:sz="0" w:space="0" w:color="auto"/>
      </w:divBdr>
    </w:div>
    <w:div w:id="1989702909">
      <w:bodyDiv w:val="1"/>
      <w:marLeft w:val="0"/>
      <w:marRight w:val="0"/>
      <w:marTop w:val="0"/>
      <w:marBottom w:val="0"/>
      <w:divBdr>
        <w:top w:val="none" w:sz="0" w:space="0" w:color="auto"/>
        <w:left w:val="none" w:sz="0" w:space="0" w:color="auto"/>
        <w:bottom w:val="none" w:sz="0" w:space="0" w:color="auto"/>
        <w:right w:val="none" w:sz="0" w:space="0" w:color="auto"/>
      </w:divBdr>
    </w:div>
    <w:div w:id="2025472930">
      <w:bodyDiv w:val="1"/>
      <w:marLeft w:val="0"/>
      <w:marRight w:val="0"/>
      <w:marTop w:val="0"/>
      <w:marBottom w:val="0"/>
      <w:divBdr>
        <w:top w:val="none" w:sz="0" w:space="0" w:color="auto"/>
        <w:left w:val="none" w:sz="0" w:space="0" w:color="auto"/>
        <w:bottom w:val="none" w:sz="0" w:space="0" w:color="auto"/>
        <w:right w:val="none" w:sz="0" w:space="0" w:color="auto"/>
      </w:divBdr>
    </w:div>
    <w:div w:id="20495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21</Pages>
  <Words>5396</Words>
  <Characters>29680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54</cp:revision>
  <dcterms:created xsi:type="dcterms:W3CDTF">2025-10-16T19:37:00Z</dcterms:created>
  <dcterms:modified xsi:type="dcterms:W3CDTF">2025-12-15T19:15:00Z</dcterms:modified>
</cp:coreProperties>
</file>