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77E7" w14:textId="2D9A44E2" w:rsidR="00DA297E" w:rsidRPr="00C0775E" w:rsidRDefault="00DA297E" w:rsidP="007C1357">
      <w:pPr>
        <w:shd w:val="clear" w:color="auto" w:fill="FFFFFF"/>
        <w:spacing w:line="360" w:lineRule="auto"/>
        <w:jc w:val="both"/>
        <w:rPr>
          <w:rFonts w:ascii="Palatino Linotype" w:hAnsi="Palatino Linotype" w:cs="Arial"/>
          <w:lang w:val="es-ES_tradnl" w:eastAsia="es-MX"/>
        </w:rPr>
      </w:pPr>
      <w:r w:rsidRPr="00C0775E">
        <w:rPr>
          <w:rFonts w:ascii="Palatino Linotype" w:hAnsi="Palatino Linotype" w:cs="Arial"/>
          <w:lang w:val="es-ES_tradnl" w:eastAsia="es-MX"/>
        </w:rPr>
        <w:t>Resolución del Pleno del Instituto de Transparencia, Acceso a la Información Pública y Protección de Datos Personales del Estado de México y Municipios, con domicilio en Metepec, Estado de México, a</w:t>
      </w:r>
      <w:r w:rsidR="00735DC9" w:rsidRPr="00C0775E">
        <w:rPr>
          <w:rFonts w:ascii="Palatino Linotype" w:hAnsi="Palatino Linotype" w:cs="Arial"/>
          <w:lang w:val="es-ES_tradnl" w:eastAsia="es-MX"/>
        </w:rPr>
        <w:t xml:space="preserve"> </w:t>
      </w:r>
      <w:r w:rsidR="00840AD4">
        <w:rPr>
          <w:rFonts w:ascii="Palatino Linotype" w:hAnsi="Palatino Linotype" w:cs="Arial"/>
          <w:lang w:val="es-ES_tradnl" w:eastAsia="es-MX"/>
        </w:rPr>
        <w:t>veinte</w:t>
      </w:r>
      <w:r w:rsidR="00B566AB">
        <w:rPr>
          <w:rFonts w:ascii="Palatino Linotype" w:hAnsi="Palatino Linotype" w:cs="Arial"/>
          <w:lang w:val="es-ES_tradnl" w:eastAsia="es-MX"/>
        </w:rPr>
        <w:t xml:space="preserve"> de marzo</w:t>
      </w:r>
      <w:r w:rsidR="00C35DE1">
        <w:rPr>
          <w:rFonts w:ascii="Palatino Linotype" w:hAnsi="Palatino Linotype" w:cs="Arial"/>
          <w:lang w:val="es-ES_tradnl" w:eastAsia="es-MX"/>
        </w:rPr>
        <w:t xml:space="preserve"> de dos mil veinti</w:t>
      </w:r>
      <w:r w:rsidR="00B566AB">
        <w:rPr>
          <w:rFonts w:ascii="Palatino Linotype" w:hAnsi="Palatino Linotype" w:cs="Arial"/>
          <w:lang w:val="es-ES_tradnl" w:eastAsia="es-MX"/>
        </w:rPr>
        <w:t>cinco</w:t>
      </w:r>
      <w:r w:rsidRPr="00C0775E">
        <w:rPr>
          <w:rFonts w:ascii="Palatino Linotype" w:hAnsi="Palatino Linotype" w:cs="Arial"/>
          <w:lang w:val="es-ES_tradnl" w:eastAsia="es-MX"/>
        </w:rPr>
        <w:t>.</w:t>
      </w:r>
    </w:p>
    <w:p w14:paraId="6F06BAFF" w14:textId="77777777" w:rsidR="00DA297E" w:rsidRPr="00C0775E" w:rsidRDefault="00DA297E" w:rsidP="007C1357">
      <w:pPr>
        <w:tabs>
          <w:tab w:val="left" w:pos="1701"/>
        </w:tabs>
        <w:spacing w:line="360" w:lineRule="auto"/>
        <w:jc w:val="both"/>
        <w:rPr>
          <w:rFonts w:ascii="Palatino Linotype" w:eastAsia="Calibri" w:hAnsi="Palatino Linotype" w:cs="Arial"/>
          <w:b/>
          <w:lang w:val="es-ES_tradnl"/>
        </w:rPr>
      </w:pPr>
    </w:p>
    <w:p w14:paraId="7040BFEC" w14:textId="5665E721" w:rsidR="00DA297E" w:rsidRPr="00C0775E" w:rsidRDefault="00DA297E" w:rsidP="007C1357">
      <w:pPr>
        <w:tabs>
          <w:tab w:val="left" w:pos="1701"/>
        </w:tabs>
        <w:spacing w:line="360" w:lineRule="auto"/>
        <w:jc w:val="both"/>
        <w:rPr>
          <w:rFonts w:ascii="Palatino Linotype" w:eastAsia="Calibri" w:hAnsi="Palatino Linotype" w:cs="Arial"/>
        </w:rPr>
      </w:pPr>
      <w:r w:rsidRPr="28CAB825">
        <w:rPr>
          <w:rFonts w:ascii="Palatino Linotype" w:eastAsia="Calibri" w:hAnsi="Palatino Linotype" w:cs="Arial"/>
          <w:b/>
        </w:rPr>
        <w:t>VISTO</w:t>
      </w:r>
      <w:r w:rsidRPr="28CAB825">
        <w:rPr>
          <w:rFonts w:ascii="Palatino Linotype" w:eastAsia="Calibri" w:hAnsi="Palatino Linotype" w:cs="Arial"/>
        </w:rPr>
        <w:t xml:space="preserve"> el expediente electrónico formado con motivo del recurso de revisión número </w:t>
      </w:r>
      <w:r w:rsidR="0016555A" w:rsidRPr="28CAB825">
        <w:rPr>
          <w:rFonts w:ascii="Palatino Linotype" w:eastAsia="Calibri" w:hAnsi="Palatino Linotype" w:cs="Arial"/>
          <w:b/>
          <w:lang w:eastAsia="es-MX"/>
        </w:rPr>
        <w:t>00160/INFOEM/RD/RR/2025</w:t>
      </w:r>
      <w:r w:rsidR="00C35DE1" w:rsidRPr="28CAB825">
        <w:rPr>
          <w:rFonts w:ascii="Palatino Linotype" w:eastAsia="Calibri" w:hAnsi="Palatino Linotype" w:cs="Arial"/>
        </w:rPr>
        <w:t>, interpuesto por</w:t>
      </w:r>
      <w:r w:rsidR="00735DC9" w:rsidRPr="28CAB825">
        <w:rPr>
          <w:rFonts w:ascii="Palatino Linotype" w:eastAsia="Calibri" w:hAnsi="Palatino Linotype" w:cs="Arial"/>
          <w:b/>
        </w:rPr>
        <w:t xml:space="preserve"> </w:t>
      </w:r>
      <w:r w:rsidR="00A91E66">
        <w:rPr>
          <w:rFonts w:ascii="Palatino Linotype" w:eastAsia="Calibri" w:hAnsi="Palatino Linotype" w:cs="Arial"/>
          <w:b/>
        </w:rPr>
        <w:t>XXXXXXXXXXXXXXXXXXXX</w:t>
      </w:r>
      <w:r w:rsidRPr="28CAB825">
        <w:rPr>
          <w:rFonts w:ascii="Palatino Linotype" w:eastAsia="Calibri" w:hAnsi="Palatino Linotype" w:cs="Arial"/>
        </w:rPr>
        <w:t xml:space="preserve">, </w:t>
      </w:r>
      <w:r w:rsidR="00C35DE1" w:rsidRPr="28CAB825">
        <w:rPr>
          <w:rFonts w:ascii="Palatino Linotype" w:eastAsia="Calibri" w:hAnsi="Palatino Linotype"/>
        </w:rPr>
        <w:t>en lo sucesivo el</w:t>
      </w:r>
      <w:r w:rsidRPr="28CAB825">
        <w:rPr>
          <w:rFonts w:ascii="Palatino Linotype" w:eastAsia="Calibri" w:hAnsi="Palatino Linotype"/>
          <w:b/>
        </w:rPr>
        <w:t xml:space="preserve"> Recurrente</w:t>
      </w:r>
      <w:r w:rsidRPr="28CAB825">
        <w:rPr>
          <w:rFonts w:ascii="Palatino Linotype" w:eastAsia="Calibri" w:hAnsi="Palatino Linotype" w:cs="Arial"/>
        </w:rPr>
        <w:t xml:space="preserve"> en contra de la respuesta de</w:t>
      </w:r>
      <w:r w:rsidR="009B590A" w:rsidRPr="28CAB825">
        <w:rPr>
          <w:rFonts w:ascii="Palatino Linotype" w:eastAsia="Calibri" w:hAnsi="Palatino Linotype" w:cs="Arial"/>
        </w:rPr>
        <w:t>l</w:t>
      </w:r>
      <w:r w:rsidRPr="28CAB825">
        <w:rPr>
          <w:rFonts w:ascii="Palatino Linotype" w:eastAsia="Calibri" w:hAnsi="Palatino Linotype" w:cs="Arial"/>
          <w:b/>
        </w:rPr>
        <w:t xml:space="preserve"> </w:t>
      </w:r>
      <w:r w:rsidR="009B590A" w:rsidRPr="28CAB825">
        <w:rPr>
          <w:rFonts w:ascii="Palatino Linotype" w:eastAsia="Calibri" w:hAnsi="Palatino Linotype" w:cs="Arial"/>
          <w:b/>
        </w:rPr>
        <w:t>Ayuntamiento de Tlalnepantla de Baz</w:t>
      </w:r>
      <w:r w:rsidR="00072562" w:rsidRPr="28CAB825">
        <w:rPr>
          <w:rFonts w:ascii="Palatino Linotype" w:eastAsia="Calibri" w:hAnsi="Palatino Linotype" w:cs="Arial"/>
        </w:rPr>
        <w:t xml:space="preserve">, </w:t>
      </w:r>
      <w:r w:rsidRPr="28CAB825">
        <w:rPr>
          <w:rFonts w:ascii="Palatino Linotype" w:eastAsia="Calibri" w:hAnsi="Palatino Linotype" w:cs="Arial"/>
        </w:rPr>
        <w:t>en lo subsecuente el</w:t>
      </w:r>
      <w:r w:rsidRPr="28CAB825">
        <w:rPr>
          <w:rFonts w:ascii="Palatino Linotype" w:eastAsia="Calibri" w:hAnsi="Palatino Linotype" w:cs="Arial"/>
          <w:b/>
        </w:rPr>
        <w:t xml:space="preserve"> Sujeto Obligado</w:t>
      </w:r>
      <w:r w:rsidRPr="28CAB825">
        <w:rPr>
          <w:rFonts w:ascii="Palatino Linotype" w:eastAsia="Calibri" w:hAnsi="Palatino Linotype" w:cs="Arial"/>
        </w:rPr>
        <w:t>,</w:t>
      </w:r>
      <w:r w:rsidRPr="28CAB825">
        <w:rPr>
          <w:rFonts w:ascii="Palatino Linotype" w:eastAsia="Calibri" w:hAnsi="Palatino Linotype" w:cs="Arial"/>
          <w:b/>
        </w:rPr>
        <w:t xml:space="preserve"> </w:t>
      </w:r>
      <w:r w:rsidRPr="28CAB825">
        <w:rPr>
          <w:rFonts w:ascii="Palatino Linotype" w:eastAsia="Calibri" w:hAnsi="Palatino Linotype" w:cs="Arial"/>
        </w:rPr>
        <w:t>se procede a dictar la presente resolución.</w:t>
      </w:r>
    </w:p>
    <w:p w14:paraId="7F0FA12A" w14:textId="77777777" w:rsidR="00DA297E" w:rsidRPr="00C0775E" w:rsidRDefault="00DA297E" w:rsidP="007C1357">
      <w:pPr>
        <w:tabs>
          <w:tab w:val="left" w:pos="1701"/>
        </w:tabs>
        <w:spacing w:line="360" w:lineRule="auto"/>
        <w:jc w:val="both"/>
        <w:rPr>
          <w:rFonts w:ascii="Palatino Linotype" w:eastAsia="Calibri" w:hAnsi="Palatino Linotype" w:cs="Arial"/>
          <w:lang w:val="es-ES_tradnl"/>
        </w:rPr>
      </w:pPr>
    </w:p>
    <w:p w14:paraId="15A6BFC5" w14:textId="66E4C759" w:rsidR="00DA297E" w:rsidRPr="00C0775E" w:rsidRDefault="00DA297E" w:rsidP="007C1357">
      <w:pPr>
        <w:tabs>
          <w:tab w:val="left" w:pos="1701"/>
        </w:tabs>
        <w:spacing w:line="360" w:lineRule="auto"/>
        <w:jc w:val="center"/>
        <w:rPr>
          <w:rFonts w:ascii="Palatino Linotype" w:eastAsia="Calibri" w:hAnsi="Palatino Linotype" w:cs="Arial"/>
          <w:b/>
          <w:sz w:val="28"/>
          <w:szCs w:val="28"/>
          <w:lang w:val="es-ES_tradnl"/>
        </w:rPr>
      </w:pPr>
      <w:r w:rsidRPr="00C0775E">
        <w:rPr>
          <w:rFonts w:ascii="Palatino Linotype" w:eastAsia="Calibri" w:hAnsi="Palatino Linotype" w:cs="Arial"/>
          <w:b/>
          <w:sz w:val="28"/>
          <w:szCs w:val="28"/>
          <w:lang w:val="es-ES_tradnl"/>
        </w:rPr>
        <w:t>A N T E C E D E N T E S</w:t>
      </w:r>
    </w:p>
    <w:p w14:paraId="3917B79E" w14:textId="77777777" w:rsidR="00DA297E" w:rsidRPr="00C0775E" w:rsidRDefault="00DA297E" w:rsidP="007C1357">
      <w:pPr>
        <w:tabs>
          <w:tab w:val="left" w:pos="1701"/>
        </w:tabs>
        <w:spacing w:line="360" w:lineRule="auto"/>
        <w:jc w:val="center"/>
        <w:rPr>
          <w:rFonts w:ascii="Palatino Linotype" w:eastAsia="Calibri" w:hAnsi="Palatino Linotype" w:cs="Arial"/>
          <w:b/>
          <w:lang w:val="es-ES_tradnl"/>
        </w:rPr>
      </w:pPr>
    </w:p>
    <w:p w14:paraId="5DEBF413" w14:textId="4C5B3233" w:rsidR="00DA297E" w:rsidRPr="00C0775E" w:rsidRDefault="00DA297E" w:rsidP="007C1357">
      <w:pPr>
        <w:spacing w:line="360" w:lineRule="auto"/>
        <w:jc w:val="both"/>
        <w:rPr>
          <w:rFonts w:ascii="Palatino Linotype" w:eastAsia="Calibri" w:hAnsi="Palatino Linotype"/>
          <w:b/>
          <w:sz w:val="26"/>
          <w:szCs w:val="26"/>
          <w:lang w:val="es-ES_tradnl"/>
        </w:rPr>
      </w:pPr>
      <w:r w:rsidRPr="00C0775E">
        <w:rPr>
          <w:rFonts w:ascii="Palatino Linotype" w:eastAsia="Calibri" w:hAnsi="Palatino Linotype"/>
          <w:b/>
          <w:sz w:val="26"/>
          <w:szCs w:val="26"/>
          <w:lang w:val="es-ES_tradnl"/>
        </w:rPr>
        <w:t>PRIMERO. De</w:t>
      </w:r>
      <w:r w:rsidR="00267313">
        <w:rPr>
          <w:rFonts w:ascii="Palatino Linotype" w:eastAsia="Calibri" w:hAnsi="Palatino Linotype"/>
          <w:b/>
          <w:sz w:val="26"/>
          <w:szCs w:val="26"/>
          <w:lang w:val="es-ES_tradnl"/>
        </w:rPr>
        <w:t xml:space="preserve"> </w:t>
      </w:r>
      <w:r w:rsidRPr="00C0775E">
        <w:rPr>
          <w:rFonts w:ascii="Palatino Linotype" w:eastAsia="Calibri" w:hAnsi="Palatino Linotype"/>
          <w:b/>
          <w:sz w:val="26"/>
          <w:szCs w:val="26"/>
          <w:lang w:val="es-ES_tradnl"/>
        </w:rPr>
        <w:t>l</w:t>
      </w:r>
      <w:r w:rsidR="00267313">
        <w:rPr>
          <w:rFonts w:ascii="Palatino Linotype" w:eastAsia="Calibri" w:hAnsi="Palatino Linotype"/>
          <w:b/>
          <w:sz w:val="26"/>
          <w:szCs w:val="26"/>
          <w:lang w:val="es-ES_tradnl"/>
        </w:rPr>
        <w:t>a solicitud de rectificación de d</w:t>
      </w:r>
      <w:r w:rsidRPr="00C0775E">
        <w:rPr>
          <w:rFonts w:ascii="Palatino Linotype" w:eastAsia="Calibri" w:hAnsi="Palatino Linotype"/>
          <w:b/>
          <w:sz w:val="26"/>
          <w:szCs w:val="26"/>
          <w:lang w:val="es-ES_tradnl"/>
        </w:rPr>
        <w:t xml:space="preserve">atos </w:t>
      </w:r>
      <w:r w:rsidR="00267313">
        <w:rPr>
          <w:rFonts w:ascii="Palatino Linotype" w:eastAsia="Calibri" w:hAnsi="Palatino Linotype"/>
          <w:b/>
          <w:sz w:val="26"/>
          <w:szCs w:val="26"/>
          <w:lang w:val="es-ES_tradnl"/>
        </w:rPr>
        <w:t>p</w:t>
      </w:r>
      <w:r w:rsidRPr="00C0775E">
        <w:rPr>
          <w:rFonts w:ascii="Palatino Linotype" w:eastAsia="Calibri" w:hAnsi="Palatino Linotype"/>
          <w:b/>
          <w:sz w:val="26"/>
          <w:szCs w:val="26"/>
          <w:lang w:val="es-ES_tradnl"/>
        </w:rPr>
        <w:t>ersonales.</w:t>
      </w:r>
    </w:p>
    <w:p w14:paraId="3FFF6846" w14:textId="21D7687F" w:rsidR="00DA297E" w:rsidRPr="00C0775E" w:rsidRDefault="00DA297E" w:rsidP="007C1357">
      <w:pPr>
        <w:spacing w:line="360" w:lineRule="auto"/>
        <w:jc w:val="both"/>
        <w:rPr>
          <w:rFonts w:ascii="Palatino Linotype" w:eastAsia="Calibri" w:hAnsi="Palatino Linotype"/>
          <w:b/>
          <w:lang w:val="es-ES_tradnl"/>
        </w:rPr>
      </w:pPr>
      <w:r w:rsidRPr="00C0775E">
        <w:rPr>
          <w:rFonts w:ascii="Palatino Linotype" w:eastAsia="Calibri" w:hAnsi="Palatino Linotype"/>
          <w:lang w:val="es-ES_tradnl"/>
        </w:rPr>
        <w:t xml:space="preserve">Con fecha </w:t>
      </w:r>
      <w:r w:rsidR="00662C67">
        <w:rPr>
          <w:rFonts w:ascii="Palatino Linotype" w:eastAsia="Calibri" w:hAnsi="Palatino Linotype"/>
          <w:lang w:val="es-ES_tradnl"/>
        </w:rPr>
        <w:t>dieciséis de enero de dos mil veinticinco</w:t>
      </w:r>
      <w:r w:rsidRPr="00C0775E">
        <w:rPr>
          <w:rFonts w:ascii="Palatino Linotype" w:eastAsia="Calibri" w:hAnsi="Palatino Linotype"/>
          <w:lang w:val="es-ES_tradnl"/>
        </w:rPr>
        <w:t xml:space="preserve">, la </w:t>
      </w:r>
      <w:r w:rsidRPr="00C0775E">
        <w:rPr>
          <w:rFonts w:ascii="Palatino Linotype" w:eastAsia="Calibri" w:hAnsi="Palatino Linotype" w:cs="Arial"/>
          <w:bCs/>
          <w:lang w:val="es-ES_tradnl"/>
        </w:rPr>
        <w:t>Recurrente</w:t>
      </w:r>
      <w:r w:rsidRPr="00C0775E">
        <w:rPr>
          <w:rFonts w:ascii="Palatino Linotype" w:eastAsia="Calibri" w:hAnsi="Palatino Linotype"/>
          <w:bCs/>
          <w:lang w:val="es-ES_tradnl"/>
        </w:rPr>
        <w:t xml:space="preserve"> </w:t>
      </w:r>
      <w:r w:rsidRPr="00C0775E">
        <w:rPr>
          <w:rFonts w:ascii="Palatino Linotype" w:eastAsia="Calibri" w:hAnsi="Palatino Linotype"/>
          <w:lang w:val="es-ES_tradnl"/>
        </w:rPr>
        <w:t xml:space="preserve">presentó a través del Sistema de Acceso, Rectificación, Cancelación y Oposición de Datos Personales del Estado de México </w:t>
      </w:r>
      <w:r w:rsidRPr="00C0775E">
        <w:rPr>
          <w:rFonts w:ascii="Palatino Linotype" w:eastAsia="Calibri" w:hAnsi="Palatino Linotype"/>
          <w:b/>
          <w:lang w:val="es-ES_tradnl"/>
        </w:rPr>
        <w:t>(SARCOEM)</w:t>
      </w:r>
      <w:r w:rsidRPr="00C0775E">
        <w:rPr>
          <w:rFonts w:ascii="Palatino Linotype" w:eastAsia="Calibri" w:hAnsi="Palatino Linotype"/>
          <w:lang w:val="es-ES_tradnl"/>
        </w:rPr>
        <w:t xml:space="preserve"> ante el Sujeto Obligado</w:t>
      </w:r>
      <w:r w:rsidR="00DC55EE" w:rsidRPr="00C0775E">
        <w:rPr>
          <w:rFonts w:ascii="Palatino Linotype" w:eastAsia="Calibri" w:hAnsi="Palatino Linotype"/>
          <w:lang w:val="es-ES_tradnl"/>
        </w:rPr>
        <w:t xml:space="preserve"> la </w:t>
      </w:r>
      <w:r w:rsidRPr="00C0775E">
        <w:rPr>
          <w:rFonts w:ascii="Palatino Linotype" w:eastAsia="Calibri" w:hAnsi="Palatino Linotype" w:cs="Arial"/>
          <w:lang w:val="es-ES_tradnl"/>
        </w:rPr>
        <w:t xml:space="preserve">solicitud de </w:t>
      </w:r>
      <w:r w:rsidR="00AF340B">
        <w:rPr>
          <w:rFonts w:ascii="Palatino Linotype" w:eastAsia="Calibri" w:hAnsi="Palatino Linotype" w:cs="Arial"/>
          <w:lang w:val="es-ES_tradnl"/>
        </w:rPr>
        <w:t>rectificación de</w:t>
      </w:r>
      <w:r w:rsidRPr="00C0775E">
        <w:rPr>
          <w:rFonts w:ascii="Palatino Linotype" w:eastAsia="Calibri" w:hAnsi="Palatino Linotype" w:cs="Arial"/>
          <w:lang w:val="es-ES_tradnl"/>
        </w:rPr>
        <w:t xml:space="preserve"> datos personales registrada bajo el número de expediente</w:t>
      </w:r>
      <w:r w:rsidRPr="00C0775E">
        <w:rPr>
          <w:rFonts w:ascii="Palatino Linotype" w:eastAsia="Calibri" w:hAnsi="Palatino Linotype"/>
          <w:b/>
          <w:bCs/>
          <w:lang w:val="es-ES_tradnl"/>
        </w:rPr>
        <w:t xml:space="preserve"> </w:t>
      </w:r>
      <w:r w:rsidR="00D21BEB">
        <w:rPr>
          <w:rFonts w:ascii="Palatino Linotype" w:eastAsia="Calibri" w:hAnsi="Palatino Linotype" w:cs="Arial"/>
          <w:b/>
          <w:lang w:val="es-ES_tradnl"/>
        </w:rPr>
        <w:t>00001/TLALNEPA/RD/2025</w:t>
      </w:r>
      <w:r w:rsidRPr="00C0775E">
        <w:rPr>
          <w:rFonts w:ascii="Palatino Linotype" w:eastAsia="Calibri" w:hAnsi="Palatino Linotype" w:cs="Arial"/>
          <w:lang w:val="es-ES_tradnl" w:eastAsia="es-MX"/>
        </w:rPr>
        <w:t>,</w:t>
      </w:r>
      <w:r w:rsidRPr="00C0775E">
        <w:rPr>
          <w:rFonts w:ascii="Palatino Linotype" w:eastAsia="Calibri" w:hAnsi="Palatino Linotype" w:cs="Arial"/>
          <w:b/>
          <w:lang w:val="es-ES_tradnl" w:eastAsia="es-MX"/>
        </w:rPr>
        <w:t xml:space="preserve"> </w:t>
      </w:r>
      <w:r w:rsidRPr="00C0775E">
        <w:rPr>
          <w:rFonts w:ascii="Palatino Linotype" w:eastAsia="Calibri" w:hAnsi="Palatino Linotype"/>
          <w:lang w:val="es-ES_tradnl"/>
        </w:rPr>
        <w:t>mediante la cual requirió lo siguiente:</w:t>
      </w:r>
    </w:p>
    <w:p w14:paraId="44502A6F" w14:textId="77777777" w:rsidR="00DA297E" w:rsidRPr="00C0775E" w:rsidRDefault="00DA297E" w:rsidP="007C1357">
      <w:pPr>
        <w:spacing w:line="360" w:lineRule="auto"/>
        <w:ind w:left="567" w:right="51"/>
        <w:jc w:val="both"/>
        <w:rPr>
          <w:rFonts w:ascii="Palatino Linotype" w:eastAsia="Calibri" w:hAnsi="Palatino Linotype" w:cs="Arial"/>
          <w:i/>
          <w:lang w:val="es-ES_tradnl"/>
        </w:rPr>
      </w:pPr>
    </w:p>
    <w:p w14:paraId="5278B878" w14:textId="0F6B22E0" w:rsidR="00DA297E" w:rsidRPr="00C0775E" w:rsidRDefault="00DA297E" w:rsidP="007C1357">
      <w:pPr>
        <w:pStyle w:val="Sinespaciado"/>
        <w:rPr>
          <w:rFonts w:eastAsia="Calibri"/>
          <w:b/>
          <w:bCs/>
          <w:lang w:val="es-ES_tradnl"/>
        </w:rPr>
      </w:pPr>
      <w:r w:rsidRPr="00C0775E">
        <w:rPr>
          <w:rFonts w:eastAsia="Calibri"/>
          <w:b/>
          <w:bCs/>
          <w:lang w:val="es-ES_tradnl"/>
        </w:rPr>
        <w:t xml:space="preserve">DATOS PERSONALES </w:t>
      </w:r>
      <w:r w:rsidR="00B566AB">
        <w:rPr>
          <w:rFonts w:eastAsia="Calibri"/>
          <w:b/>
          <w:bCs/>
          <w:lang w:val="es-ES_tradnl"/>
        </w:rPr>
        <w:t>INCORRECTOS</w:t>
      </w:r>
    </w:p>
    <w:p w14:paraId="7C49ACC1" w14:textId="4A9D4AF3" w:rsidR="00DA297E" w:rsidRPr="00C0775E" w:rsidRDefault="00C65E1C" w:rsidP="007C1357">
      <w:pPr>
        <w:pStyle w:val="Sinespaciado"/>
        <w:rPr>
          <w:rFonts w:eastAsia="Calibri" w:cs="Arial"/>
        </w:rPr>
      </w:pPr>
      <w:r w:rsidRPr="28CAB825">
        <w:rPr>
          <w:rFonts w:eastAsia="Calibri"/>
        </w:rPr>
        <w:t>«</w:t>
      </w:r>
      <w:r w:rsidR="00A761FB" w:rsidRPr="28CAB825">
        <w:rPr>
          <w:rFonts w:eastAsia="Calibri" w:cs="Arial"/>
        </w:rPr>
        <w:t xml:space="preserve">Buenos días, quiero hacer una rectificación de mi CURP, ya que actualmente en el RENAPO aparece la siguiente </w:t>
      </w:r>
      <w:r w:rsidR="0040302F" w:rsidRPr="28CAB825">
        <w:rPr>
          <w:rFonts w:eastAsia="Calibri" w:cs="Arial"/>
        </w:rPr>
        <w:t>[…]</w:t>
      </w:r>
      <w:r w:rsidR="00A761FB" w:rsidRPr="28CAB825">
        <w:rPr>
          <w:rFonts w:eastAsia="Calibri" w:cs="Arial"/>
        </w:rPr>
        <w:t xml:space="preserve">, sin embargo está es incorrecta. Originalmente esa fue la CURP que se me asignó pero es incorrecta, por ello solicite su corrección en 2005, pues si bien es cierto yo fui registrada en el Estado de México, en el Municipio de Tlalnepantla de Baz, nací en el DF como consta en la propia acta que se anexa por lo que mi CURP correcta es </w:t>
      </w:r>
      <w:r w:rsidR="0040302F" w:rsidRPr="28CAB825">
        <w:rPr>
          <w:rFonts w:eastAsia="Calibri" w:cs="Arial"/>
        </w:rPr>
        <w:t>[…]</w:t>
      </w:r>
      <w:r w:rsidR="00A761FB" w:rsidRPr="28CAB825">
        <w:rPr>
          <w:rFonts w:eastAsia="Calibri" w:cs="Arial"/>
        </w:rPr>
        <w:t xml:space="preserve">, es decir la segunda que saque. Lo hago por este medio ya que radicó en Aguascalientes y no tengo medios para acudir al Estado de México a arreglar esta situación y de lo que he logrado </w:t>
      </w:r>
      <w:proofErr w:type="spellStart"/>
      <w:r w:rsidR="00A761FB" w:rsidRPr="28CAB825">
        <w:rPr>
          <w:rFonts w:eastAsia="Calibri" w:cs="Arial"/>
        </w:rPr>
        <w:t>ingadar</w:t>
      </w:r>
      <w:proofErr w:type="spellEnd"/>
      <w:r w:rsidR="00A761FB" w:rsidRPr="28CAB825">
        <w:rPr>
          <w:rFonts w:eastAsia="Calibri" w:cs="Arial"/>
        </w:rPr>
        <w:t xml:space="preserve"> </w:t>
      </w:r>
      <w:r w:rsidR="00A761FB" w:rsidRPr="28CAB825">
        <w:rPr>
          <w:rFonts w:eastAsia="Calibri" w:cs="Arial"/>
        </w:rPr>
        <w:lastRenderedPageBreak/>
        <w:t>me dicen que el Registro civil de Tlalnepantla debe corregir el dato que dio de alta ante RENAPO, para que así RENAPO haga que aparezca mi CURP correcta</w:t>
      </w:r>
      <w:r w:rsidRPr="28CAB825">
        <w:rPr>
          <w:rFonts w:eastAsia="Calibri" w:cs="Arial"/>
        </w:rPr>
        <w:t>»</w:t>
      </w:r>
      <w:r w:rsidR="00072562" w:rsidRPr="28CAB825">
        <w:rPr>
          <w:rFonts w:eastAsia="Calibri" w:cs="Arial"/>
        </w:rPr>
        <w:t>. (Sic)</w:t>
      </w:r>
    </w:p>
    <w:p w14:paraId="31756E29" w14:textId="77777777" w:rsidR="00B61730" w:rsidRPr="00C0775E" w:rsidRDefault="00B61730" w:rsidP="007C1357">
      <w:pPr>
        <w:spacing w:line="360" w:lineRule="auto"/>
        <w:ind w:left="567" w:right="567"/>
        <w:jc w:val="both"/>
        <w:rPr>
          <w:rFonts w:ascii="Palatino Linotype" w:eastAsia="Calibri" w:hAnsi="Palatino Linotype" w:cs="Arial"/>
          <w:b/>
          <w:lang w:val="es-ES_tradnl"/>
        </w:rPr>
      </w:pPr>
    </w:p>
    <w:p w14:paraId="010FF317" w14:textId="4BCE4FC0" w:rsidR="009E3747" w:rsidRPr="00C0775E" w:rsidRDefault="00DA297E" w:rsidP="007C1357">
      <w:pPr>
        <w:spacing w:line="360" w:lineRule="auto"/>
        <w:ind w:right="51"/>
        <w:jc w:val="both"/>
        <w:rPr>
          <w:rFonts w:ascii="Palatino Linotype" w:eastAsia="Calibri" w:hAnsi="Palatino Linotype" w:cs="Arial"/>
          <w:lang w:val="es-ES_tradnl"/>
        </w:rPr>
      </w:pPr>
      <w:r w:rsidRPr="00C0775E">
        <w:rPr>
          <w:rFonts w:ascii="Palatino Linotype" w:eastAsia="Calibri" w:hAnsi="Palatino Linotype" w:cs="Arial"/>
          <w:b/>
          <w:lang w:val="es-ES_tradnl"/>
        </w:rPr>
        <w:t>MODALIDAD DE ACCESO:</w:t>
      </w:r>
      <w:r w:rsidRPr="00C0775E">
        <w:rPr>
          <w:rFonts w:ascii="Palatino Linotype" w:eastAsia="Calibri" w:hAnsi="Palatino Linotype" w:cs="Arial"/>
          <w:lang w:val="es-ES_tradnl"/>
        </w:rPr>
        <w:t xml:space="preserve"> </w:t>
      </w:r>
      <w:r w:rsidR="002B22E5" w:rsidRPr="00C0775E">
        <w:rPr>
          <w:rFonts w:ascii="Palatino Linotype" w:eastAsia="Calibri" w:hAnsi="Palatino Linotype" w:cs="Arial"/>
          <w:lang w:val="es-ES_tradnl"/>
        </w:rPr>
        <w:t>SARCOEM</w:t>
      </w:r>
    </w:p>
    <w:p w14:paraId="4A5ABA72" w14:textId="77777777" w:rsidR="00041E4C" w:rsidRDefault="00041E4C" w:rsidP="007C1357">
      <w:pPr>
        <w:spacing w:line="360" w:lineRule="auto"/>
        <w:ind w:right="51"/>
        <w:jc w:val="both"/>
        <w:rPr>
          <w:rFonts w:ascii="Palatino Linotype" w:eastAsia="Calibri" w:hAnsi="Palatino Linotype" w:cs="Arial"/>
          <w:lang w:val="es-ES_tradnl"/>
        </w:rPr>
      </w:pPr>
    </w:p>
    <w:p w14:paraId="21BB6FA2" w14:textId="77777777" w:rsidR="00516EEF" w:rsidRDefault="00BE1183" w:rsidP="00BE1183">
      <w:pPr>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 la solicitud de acceso a datos se anexaron los </w:t>
      </w:r>
      <w:r w:rsidR="000245BF">
        <w:rPr>
          <w:rFonts w:ascii="Palatino Linotype" w:eastAsia="Calibri" w:hAnsi="Palatino Linotype" w:cs="Arial"/>
          <w:lang w:val="es-ES_tradnl"/>
        </w:rPr>
        <w:t>siguientes documentos:</w:t>
      </w:r>
    </w:p>
    <w:p w14:paraId="22B301D6" w14:textId="77777777" w:rsidR="00516EEF" w:rsidRDefault="00516EEF" w:rsidP="00BE1183">
      <w:pPr>
        <w:spacing w:line="360" w:lineRule="auto"/>
        <w:ind w:right="51"/>
        <w:jc w:val="both"/>
        <w:rPr>
          <w:rFonts w:ascii="Palatino Linotype" w:eastAsia="Calibri" w:hAnsi="Palatino Linotype" w:cs="Arial"/>
          <w:lang w:val="es-ES_tradnl"/>
        </w:rPr>
      </w:pPr>
    </w:p>
    <w:p w14:paraId="045B107B" w14:textId="1BCF95EF" w:rsidR="00FE088C" w:rsidRPr="00FE088C" w:rsidRDefault="00FE088C" w:rsidP="00FE088C">
      <w:pPr>
        <w:numPr>
          <w:ilvl w:val="0"/>
          <w:numId w:val="27"/>
        </w:numPr>
        <w:tabs>
          <w:tab w:val="left" w:pos="966"/>
        </w:tabs>
        <w:spacing w:line="360" w:lineRule="auto"/>
        <w:ind w:right="51"/>
        <w:jc w:val="both"/>
        <w:rPr>
          <w:rFonts w:ascii="Palatino Linotype" w:eastAsia="Calibri" w:hAnsi="Palatino Linotype" w:cs="Arial"/>
          <w:bCs/>
        </w:rPr>
      </w:pPr>
      <w:r w:rsidRPr="00FE088C">
        <w:rPr>
          <w:rFonts w:ascii="Palatino Linotype" w:eastAsia="Calibri" w:hAnsi="Palatino Linotype" w:cs="Arial"/>
          <w:b/>
          <w:bCs/>
          <w:lang w:val="es-MX"/>
        </w:rPr>
        <w:t xml:space="preserve">ACTA DE NACIMIENTO </w:t>
      </w:r>
      <w:r w:rsidR="00A91E66">
        <w:rPr>
          <w:rFonts w:ascii="Palatino Linotype" w:eastAsia="Calibri" w:hAnsi="Palatino Linotype" w:cs="Arial"/>
          <w:b/>
          <w:bCs/>
          <w:lang w:val="es-MX"/>
        </w:rPr>
        <w:t>XXXXX</w:t>
      </w:r>
      <w:r w:rsidRPr="00FE088C">
        <w:rPr>
          <w:rFonts w:ascii="Palatino Linotype" w:eastAsia="Calibri" w:hAnsi="Palatino Linotype" w:cs="Arial"/>
          <w:b/>
          <w:bCs/>
          <w:lang w:val="es-MX"/>
        </w:rPr>
        <w:t xml:space="preserve">.jpg. </w:t>
      </w:r>
      <w:r w:rsidRPr="00FE088C">
        <w:rPr>
          <w:rFonts w:ascii="Palatino Linotype" w:eastAsia="Calibri" w:hAnsi="Palatino Linotype" w:cs="Arial"/>
          <w:bCs/>
          <w:lang w:val="es-MX"/>
        </w:rPr>
        <w:t>Acta de nacimiento de la solicitante emitida en el Tlalnepantla de Baz.</w:t>
      </w:r>
    </w:p>
    <w:p w14:paraId="3493E366" w14:textId="282A2B21" w:rsidR="00FE088C" w:rsidRPr="00FE088C" w:rsidRDefault="00FE088C" w:rsidP="00FE088C">
      <w:pPr>
        <w:numPr>
          <w:ilvl w:val="0"/>
          <w:numId w:val="27"/>
        </w:numPr>
        <w:tabs>
          <w:tab w:val="left" w:pos="966"/>
        </w:tabs>
        <w:spacing w:line="360" w:lineRule="auto"/>
        <w:ind w:right="51"/>
        <w:jc w:val="both"/>
        <w:rPr>
          <w:rFonts w:ascii="Palatino Linotype" w:eastAsia="Calibri" w:hAnsi="Palatino Linotype" w:cs="Arial"/>
          <w:bCs/>
        </w:rPr>
      </w:pPr>
      <w:r w:rsidRPr="00FE088C">
        <w:rPr>
          <w:rFonts w:ascii="Palatino Linotype" w:eastAsia="Calibri" w:hAnsi="Palatino Linotype" w:cs="Arial"/>
          <w:b/>
          <w:bCs/>
        </w:rPr>
        <w:t xml:space="preserve">CURP </w:t>
      </w:r>
      <w:r w:rsidR="00A91E66">
        <w:rPr>
          <w:rFonts w:ascii="Palatino Linotype" w:eastAsia="Calibri" w:hAnsi="Palatino Linotype" w:cs="Arial"/>
          <w:b/>
          <w:bCs/>
        </w:rPr>
        <w:t>XXXX</w:t>
      </w:r>
      <w:r w:rsidRPr="00FE088C">
        <w:rPr>
          <w:rFonts w:ascii="Palatino Linotype" w:eastAsia="Calibri" w:hAnsi="Palatino Linotype" w:cs="Arial"/>
          <w:b/>
          <w:bCs/>
        </w:rPr>
        <w:t>.jpg</w:t>
      </w:r>
      <w:r w:rsidRPr="00FE088C">
        <w:rPr>
          <w:rFonts w:ascii="Palatino Linotype" w:eastAsia="Calibri" w:hAnsi="Palatino Linotype" w:cs="Arial"/>
          <w:bCs/>
        </w:rPr>
        <w:t>. Copia de la constancia de la Clave Única de Registro de Población de la Recurrente.</w:t>
      </w:r>
    </w:p>
    <w:p w14:paraId="7603ED3C" w14:textId="14DD2EDA" w:rsidR="00516EEF" w:rsidRPr="00FE088C" w:rsidRDefault="00516EEF" w:rsidP="00FE088C">
      <w:pPr>
        <w:tabs>
          <w:tab w:val="left" w:pos="966"/>
        </w:tabs>
        <w:spacing w:line="360" w:lineRule="auto"/>
        <w:ind w:right="51"/>
        <w:jc w:val="both"/>
        <w:rPr>
          <w:rFonts w:ascii="Palatino Linotype" w:eastAsia="Calibri" w:hAnsi="Palatino Linotype" w:cs="Arial"/>
        </w:rPr>
      </w:pPr>
    </w:p>
    <w:p w14:paraId="11150A47" w14:textId="3658B58C" w:rsidR="00DA297E" w:rsidRPr="00C0775E" w:rsidRDefault="00DA297E" w:rsidP="007C1357">
      <w:pPr>
        <w:spacing w:line="360" w:lineRule="auto"/>
        <w:ind w:right="334"/>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t xml:space="preserve">SEGUNDO. De la </w:t>
      </w:r>
      <w:r w:rsidR="002B22E5" w:rsidRPr="00C0775E">
        <w:rPr>
          <w:rFonts w:ascii="Palatino Linotype" w:eastAsia="Calibri" w:hAnsi="Palatino Linotype" w:cs="Arial"/>
          <w:b/>
          <w:sz w:val="26"/>
          <w:szCs w:val="26"/>
          <w:lang w:val="es-ES_tradnl"/>
        </w:rPr>
        <w:t>respuesta</w:t>
      </w:r>
      <w:r w:rsidRPr="00C0775E">
        <w:rPr>
          <w:rFonts w:ascii="Palatino Linotype" w:eastAsia="Calibri" w:hAnsi="Palatino Linotype" w:cs="Arial"/>
          <w:b/>
          <w:sz w:val="26"/>
          <w:szCs w:val="26"/>
          <w:lang w:val="es-ES_tradnl"/>
        </w:rPr>
        <w:t xml:space="preserve"> del Sujeto Obligado. </w:t>
      </w:r>
    </w:p>
    <w:p w14:paraId="6F380A46" w14:textId="42783DFA" w:rsidR="00DA297E" w:rsidRPr="00C0775E" w:rsidRDefault="00DA297E" w:rsidP="007C1357">
      <w:pPr>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De las constancias que obran en el expediente electrónico del SARCOEM se advierte que </w:t>
      </w:r>
      <w:r w:rsidR="00BE1183">
        <w:rPr>
          <w:rFonts w:ascii="Palatino Linotype" w:eastAsia="Calibri" w:hAnsi="Palatino Linotype" w:cs="Arial"/>
          <w:lang w:val="es-ES_tradnl"/>
        </w:rPr>
        <w:t xml:space="preserve">el </w:t>
      </w:r>
      <w:r w:rsidR="00EF4B9A">
        <w:rPr>
          <w:rFonts w:ascii="Palatino Linotype" w:eastAsia="Calibri" w:hAnsi="Palatino Linotype" w:cs="Arial"/>
          <w:lang w:val="es-ES_tradnl"/>
        </w:rPr>
        <w:t>veinte de enero de dos mil veinticinco</w:t>
      </w:r>
      <w:r w:rsidR="00BE1183">
        <w:rPr>
          <w:rFonts w:ascii="Palatino Linotype" w:eastAsia="Calibri" w:hAnsi="Palatino Linotype" w:cs="Arial"/>
          <w:lang w:val="es-ES_tradnl"/>
        </w:rPr>
        <w:t xml:space="preserve">, </w:t>
      </w:r>
      <w:r w:rsidRPr="00C0775E">
        <w:rPr>
          <w:rFonts w:ascii="Palatino Linotype" w:eastAsia="Calibri" w:hAnsi="Palatino Linotype" w:cs="Arial"/>
          <w:lang w:val="es-ES_tradnl"/>
        </w:rPr>
        <w:t>el Sujeto Obligado</w:t>
      </w:r>
      <w:r w:rsidR="00BE1183">
        <w:rPr>
          <w:rFonts w:ascii="Palatino Linotype" w:eastAsia="Calibri" w:hAnsi="Palatino Linotype" w:cs="Arial"/>
          <w:lang w:val="es-ES_tradnl"/>
        </w:rPr>
        <w:t xml:space="preserve"> </w:t>
      </w:r>
      <w:r w:rsidR="002B22E5" w:rsidRPr="00C0775E">
        <w:rPr>
          <w:rFonts w:ascii="Palatino Linotype" w:eastAsia="Calibri" w:hAnsi="Palatino Linotype" w:cs="Arial"/>
          <w:lang w:val="es-ES_tradnl"/>
        </w:rPr>
        <w:t>emitió su respuesta en los siguientes términos</w:t>
      </w:r>
      <w:r w:rsidRPr="00C0775E">
        <w:rPr>
          <w:rFonts w:ascii="Palatino Linotype" w:eastAsia="Calibri" w:hAnsi="Palatino Linotype" w:cs="Arial"/>
          <w:lang w:val="es-ES_tradnl"/>
        </w:rPr>
        <w:t>:</w:t>
      </w:r>
    </w:p>
    <w:p w14:paraId="3F80D822" w14:textId="77777777" w:rsidR="007C1357" w:rsidRPr="00C0775E" w:rsidRDefault="007C1357" w:rsidP="007C1357">
      <w:pPr>
        <w:spacing w:line="360" w:lineRule="auto"/>
        <w:jc w:val="both"/>
        <w:rPr>
          <w:rFonts w:ascii="Palatino Linotype" w:eastAsia="Calibri" w:hAnsi="Palatino Linotype"/>
          <w:color w:val="000000"/>
          <w:lang w:val="es-ES_tradnl"/>
        </w:rPr>
      </w:pPr>
    </w:p>
    <w:p w14:paraId="6E2849C5" w14:textId="77777777" w:rsidR="00971D46" w:rsidRDefault="006945D9" w:rsidP="001065E0">
      <w:pPr>
        <w:pStyle w:val="Sinespaciado"/>
        <w:rPr>
          <w:rFonts w:eastAsia="Calibri"/>
          <w:lang w:val="es-ES_tradnl"/>
        </w:rPr>
      </w:pPr>
      <w:r>
        <w:rPr>
          <w:rFonts w:eastAsia="Calibri"/>
          <w:lang w:val="es-ES_tradnl"/>
        </w:rPr>
        <w:t>«</w:t>
      </w:r>
      <w:r w:rsidR="001065E0" w:rsidRPr="001065E0">
        <w:rPr>
          <w:rFonts w:eastAsia="Calibri"/>
          <w:lang w:val="es-ES_tradnl"/>
        </w:rPr>
        <w:t>Se notifica acuerdo de incompetencia</w:t>
      </w:r>
    </w:p>
    <w:p w14:paraId="78BC1D85" w14:textId="77777777" w:rsidR="00971D46" w:rsidRDefault="00971D46" w:rsidP="001065E0">
      <w:pPr>
        <w:pStyle w:val="Sinespaciado"/>
        <w:rPr>
          <w:rFonts w:eastAsia="Calibri"/>
          <w:lang w:val="es-ES_tradnl"/>
        </w:rPr>
      </w:pPr>
    </w:p>
    <w:p w14:paraId="34024515" w14:textId="749808FA" w:rsidR="00DA297E" w:rsidRPr="00C0775E" w:rsidRDefault="00971D46" w:rsidP="001065E0">
      <w:pPr>
        <w:pStyle w:val="Sinespaciado"/>
        <w:rPr>
          <w:rFonts w:eastAsia="Calibri"/>
          <w:lang w:val="es-ES_tradnl"/>
        </w:rPr>
      </w:pPr>
      <w:r>
        <w:rPr>
          <w:rFonts w:eastAsia="Calibri"/>
          <w:lang w:val="es-ES_tradnl"/>
        </w:rPr>
        <w:t>ATENTAMENTE</w:t>
      </w:r>
      <w:r w:rsidR="006945D9">
        <w:rPr>
          <w:rFonts w:eastAsia="Calibri"/>
          <w:lang w:val="es-ES_tradnl"/>
        </w:rPr>
        <w:t>»</w:t>
      </w:r>
      <w:r w:rsidR="00DA297E" w:rsidRPr="00C0775E">
        <w:rPr>
          <w:rFonts w:eastAsia="Calibri"/>
          <w:lang w:val="es-ES_tradnl"/>
        </w:rPr>
        <w:t xml:space="preserve"> (Sic).</w:t>
      </w:r>
    </w:p>
    <w:p w14:paraId="56210035" w14:textId="02C27471" w:rsidR="00DA297E" w:rsidRPr="00C0775E" w:rsidRDefault="00DA297E" w:rsidP="007C1357">
      <w:pPr>
        <w:spacing w:line="360" w:lineRule="auto"/>
        <w:jc w:val="both"/>
        <w:rPr>
          <w:rFonts w:ascii="Palatino Linotype" w:eastAsia="Calibri" w:hAnsi="Palatino Linotype" w:cs="Arial"/>
          <w:bCs/>
          <w:lang w:val="es-ES_tradnl"/>
        </w:rPr>
      </w:pPr>
    </w:p>
    <w:p w14:paraId="78F9C3AD" w14:textId="127C37E0" w:rsidR="002B22E5" w:rsidRPr="00C0775E" w:rsidRDefault="00FB7E31" w:rsidP="007C1357">
      <w:pPr>
        <w:spacing w:line="360" w:lineRule="auto"/>
        <w:jc w:val="both"/>
        <w:rPr>
          <w:rFonts w:ascii="Palatino Linotype" w:eastAsia="Calibri" w:hAnsi="Palatino Linotype" w:cs="Arial"/>
          <w:bCs/>
          <w:lang w:val="es-ES_tradnl"/>
        </w:rPr>
      </w:pPr>
      <w:r w:rsidRPr="00C0775E">
        <w:rPr>
          <w:rFonts w:ascii="Palatino Linotype" w:eastAsia="Calibri" w:hAnsi="Palatino Linotype" w:cs="Arial"/>
          <w:bCs/>
          <w:lang w:val="es-ES_tradnl"/>
        </w:rPr>
        <w:t xml:space="preserve">El Sujeto Obligado anexó a su respuesta </w:t>
      </w:r>
      <w:r w:rsidR="001065E0">
        <w:rPr>
          <w:rFonts w:ascii="Palatino Linotype" w:eastAsia="Calibri" w:hAnsi="Palatino Linotype" w:cs="Arial"/>
          <w:bCs/>
          <w:lang w:val="es-ES_tradnl"/>
        </w:rPr>
        <w:t>la carpeta electrónica d</w:t>
      </w:r>
      <w:r w:rsidRPr="00C0775E">
        <w:rPr>
          <w:rFonts w:ascii="Palatino Linotype" w:eastAsia="Calibri" w:hAnsi="Palatino Linotype" w:cs="Arial"/>
          <w:bCs/>
          <w:lang w:val="es-ES_tradnl"/>
        </w:rPr>
        <w:t>enominad</w:t>
      </w:r>
      <w:r w:rsidR="001065E0">
        <w:rPr>
          <w:rFonts w:ascii="Palatino Linotype" w:eastAsia="Calibri" w:hAnsi="Palatino Linotype" w:cs="Arial"/>
          <w:bCs/>
          <w:lang w:val="es-ES_tradnl"/>
        </w:rPr>
        <w:t>a</w:t>
      </w:r>
      <w:r w:rsidRPr="00C0775E">
        <w:rPr>
          <w:rFonts w:ascii="Palatino Linotype" w:eastAsia="Calibri" w:hAnsi="Palatino Linotype" w:cs="Arial"/>
          <w:bCs/>
          <w:lang w:val="es-ES_tradnl"/>
        </w:rPr>
        <w:t xml:space="preserve"> </w:t>
      </w:r>
      <w:r w:rsidR="00C65E1C">
        <w:rPr>
          <w:rFonts w:ascii="Palatino Linotype" w:eastAsia="Calibri" w:hAnsi="Palatino Linotype" w:cs="Arial"/>
          <w:b/>
          <w:lang w:val="es-ES_tradnl"/>
        </w:rPr>
        <w:t>«</w:t>
      </w:r>
      <w:r w:rsidR="001065E0">
        <w:rPr>
          <w:rFonts w:ascii="Palatino Linotype" w:eastAsia="Calibri" w:hAnsi="Palatino Linotype" w:cs="Arial"/>
          <w:b/>
          <w:lang w:val="es-ES_tradnl"/>
        </w:rPr>
        <w:t>INCOMPETENCIA SARCOEM</w:t>
      </w:r>
      <w:r w:rsidR="00971D46">
        <w:rPr>
          <w:rFonts w:ascii="Palatino Linotype" w:eastAsia="Calibri" w:hAnsi="Palatino Linotype" w:cs="Arial"/>
          <w:b/>
          <w:lang w:val="es-ES_tradnl"/>
        </w:rPr>
        <w:t xml:space="preserve"> 01.zip</w:t>
      </w:r>
      <w:r w:rsidR="00C65E1C">
        <w:rPr>
          <w:rFonts w:ascii="Palatino Linotype" w:eastAsia="Calibri" w:hAnsi="Palatino Linotype" w:cs="Arial"/>
          <w:b/>
          <w:lang w:val="es-ES_tradnl"/>
        </w:rPr>
        <w:t>»</w:t>
      </w:r>
      <w:r w:rsidRPr="00C0775E">
        <w:rPr>
          <w:rFonts w:ascii="Palatino Linotype" w:eastAsia="Calibri" w:hAnsi="Palatino Linotype" w:cs="Arial"/>
          <w:bCs/>
          <w:lang w:val="es-ES_tradnl"/>
        </w:rPr>
        <w:t>, cuyo contenido no se reproduce por ser del conocimiento de las partes; no obstante, se realizará el análisis de su contenido en el estudio correspondiente.</w:t>
      </w:r>
    </w:p>
    <w:p w14:paraId="4828F081" w14:textId="77777777" w:rsidR="00DA297E" w:rsidRPr="00C0775E" w:rsidRDefault="00DA297E" w:rsidP="00FD40A3">
      <w:pPr>
        <w:spacing w:line="360" w:lineRule="auto"/>
        <w:jc w:val="both"/>
        <w:rPr>
          <w:rFonts w:ascii="Palatino Linotype" w:eastAsia="Calibri" w:hAnsi="Palatino Linotype"/>
          <w:iCs/>
          <w:lang w:val="es-ES_tradnl"/>
        </w:rPr>
      </w:pPr>
    </w:p>
    <w:p w14:paraId="659F72C8" w14:textId="1A161EE9" w:rsidR="00DA297E" w:rsidRPr="00C0775E" w:rsidRDefault="005264CE" w:rsidP="007C1357">
      <w:pPr>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t>TERCERO</w:t>
      </w:r>
      <w:r w:rsidR="00DA297E" w:rsidRPr="00C0775E">
        <w:rPr>
          <w:rFonts w:ascii="Palatino Linotype" w:eastAsia="Calibri" w:hAnsi="Palatino Linotype" w:cs="Arial"/>
          <w:b/>
          <w:sz w:val="26"/>
          <w:szCs w:val="26"/>
          <w:lang w:val="es-ES_tradnl"/>
        </w:rPr>
        <w:t>. Del Recurso de Revisión.</w:t>
      </w:r>
    </w:p>
    <w:p w14:paraId="31034E68" w14:textId="5F70DC59" w:rsidR="00DA297E" w:rsidRPr="00C0775E" w:rsidRDefault="00DA297E" w:rsidP="007C1357">
      <w:pPr>
        <w:spacing w:line="360" w:lineRule="auto"/>
        <w:jc w:val="both"/>
        <w:rPr>
          <w:rFonts w:ascii="Palatino Linotype" w:eastAsia="Calibri" w:hAnsi="Palatino Linotype" w:cs="Arial"/>
          <w:lang w:val="es-ES_tradnl"/>
        </w:rPr>
      </w:pPr>
      <w:r w:rsidRPr="00C0775E">
        <w:rPr>
          <w:rFonts w:ascii="Palatino Linotype" w:eastAsia="Calibri" w:hAnsi="Palatino Linotype"/>
          <w:lang w:val="es-ES_tradnl"/>
        </w:rPr>
        <w:t xml:space="preserve">El </w:t>
      </w:r>
      <w:r w:rsidR="00BE1183">
        <w:rPr>
          <w:rFonts w:ascii="Palatino Linotype" w:eastAsia="Calibri" w:hAnsi="Palatino Linotype"/>
          <w:lang w:val="es-ES_tradnl"/>
        </w:rPr>
        <w:t>veint</w:t>
      </w:r>
      <w:r w:rsidR="009A34B8">
        <w:rPr>
          <w:rFonts w:ascii="Palatino Linotype" w:eastAsia="Calibri" w:hAnsi="Palatino Linotype"/>
          <w:lang w:val="es-ES_tradnl"/>
        </w:rPr>
        <w:t>idós de enero de dos mil veinticinco</w:t>
      </w:r>
      <w:r w:rsidR="00C65E1C">
        <w:rPr>
          <w:rFonts w:ascii="Palatino Linotype" w:eastAsia="Calibri" w:hAnsi="Palatino Linotype"/>
          <w:lang w:val="es-ES_tradnl"/>
        </w:rPr>
        <w:t xml:space="preserve">, </w:t>
      </w:r>
      <w:r w:rsidR="009A34B8">
        <w:rPr>
          <w:rFonts w:ascii="Palatino Linotype" w:eastAsia="Calibri" w:hAnsi="Palatino Linotype"/>
          <w:lang w:val="es-ES_tradnl"/>
        </w:rPr>
        <w:t>la</w:t>
      </w:r>
      <w:r w:rsidRPr="00C0775E">
        <w:rPr>
          <w:rFonts w:ascii="Palatino Linotype" w:eastAsia="Calibri" w:hAnsi="Palatino Linotype"/>
          <w:lang w:val="es-ES_tradnl"/>
        </w:rPr>
        <w:t xml:space="preserve"> Recurrente interpuso el recurso de revisión al que se le asignó el número de expediente con número de folio </w:t>
      </w:r>
      <w:r w:rsidR="0016555A">
        <w:rPr>
          <w:rFonts w:ascii="Palatino Linotype" w:eastAsia="Calibri" w:hAnsi="Palatino Linotype"/>
          <w:b/>
          <w:lang w:val="es-ES_tradnl"/>
        </w:rPr>
        <w:t>00160/INFOEM/RD/RR/2025</w:t>
      </w:r>
      <w:r w:rsidRPr="00C0775E">
        <w:rPr>
          <w:rFonts w:ascii="Palatino Linotype" w:eastAsia="Calibri" w:hAnsi="Palatino Linotype"/>
          <w:lang w:val="es-ES_tradnl"/>
        </w:rPr>
        <w:t xml:space="preserve">, señalando </w:t>
      </w:r>
      <w:r w:rsidR="00C65E1C">
        <w:rPr>
          <w:rFonts w:ascii="Palatino Linotype" w:eastAsia="Calibri" w:hAnsi="Palatino Linotype"/>
          <w:lang w:val="es-ES_tradnl"/>
        </w:rPr>
        <w:t>lo siguiente</w:t>
      </w:r>
      <w:r w:rsidRPr="00C0775E">
        <w:rPr>
          <w:rFonts w:ascii="Palatino Linotype" w:eastAsia="Calibri" w:hAnsi="Palatino Linotype" w:cs="Arial"/>
          <w:lang w:val="es-ES_tradnl"/>
        </w:rPr>
        <w:t>:</w:t>
      </w:r>
    </w:p>
    <w:p w14:paraId="66E3A6E6" w14:textId="77777777" w:rsidR="00DA297E" w:rsidRPr="00C0775E" w:rsidRDefault="00DA297E" w:rsidP="007C1357">
      <w:pPr>
        <w:spacing w:line="360" w:lineRule="auto"/>
        <w:rPr>
          <w:rFonts w:ascii="Palatino Linotype" w:eastAsia="Calibri" w:hAnsi="Palatino Linotype"/>
          <w:lang w:val="es-ES_tradnl"/>
        </w:rPr>
      </w:pPr>
    </w:p>
    <w:p w14:paraId="4686AB75" w14:textId="4756B3AE" w:rsidR="00DA297E" w:rsidRPr="00C0775E" w:rsidRDefault="00DA297E" w:rsidP="00D53925">
      <w:pPr>
        <w:spacing w:line="360" w:lineRule="auto"/>
        <w:jc w:val="both"/>
        <w:rPr>
          <w:rFonts w:ascii="Palatino Linotype" w:eastAsia="Calibri" w:hAnsi="Palatino Linotype" w:cs="Arial"/>
          <w:b/>
          <w:lang w:val="es-ES_tradnl"/>
        </w:rPr>
      </w:pPr>
      <w:r w:rsidRPr="00C0775E">
        <w:rPr>
          <w:rFonts w:ascii="Palatino Linotype" w:eastAsia="Calibri" w:hAnsi="Palatino Linotype" w:cs="Arial"/>
          <w:b/>
          <w:lang w:val="es-ES_tradnl"/>
        </w:rPr>
        <w:t>Acto Impugnado</w:t>
      </w:r>
      <w:r w:rsidR="00355F0A" w:rsidRPr="00C0775E">
        <w:rPr>
          <w:rFonts w:ascii="Palatino Linotype" w:eastAsia="Calibri" w:hAnsi="Palatino Linotype" w:cs="Arial"/>
          <w:b/>
          <w:lang w:val="es-ES_tradnl"/>
        </w:rPr>
        <w:t>:</w:t>
      </w:r>
    </w:p>
    <w:p w14:paraId="376C828B" w14:textId="65947D5A" w:rsidR="00DA297E" w:rsidRPr="00C0775E" w:rsidRDefault="00C65E1C" w:rsidP="00355F0A">
      <w:pPr>
        <w:pStyle w:val="Sinespaciado"/>
        <w:rPr>
          <w:rFonts w:eastAsia="Calibri"/>
          <w:lang w:val="es-ES_tradnl"/>
        </w:rPr>
      </w:pPr>
      <w:r>
        <w:rPr>
          <w:rFonts w:eastAsia="Calibri"/>
          <w:lang w:val="es-ES_tradnl"/>
        </w:rPr>
        <w:t>«</w:t>
      </w:r>
      <w:r w:rsidR="00BC1391" w:rsidRPr="00BC1391">
        <w:rPr>
          <w:rFonts w:eastAsia="Calibri"/>
          <w:lang w:val="es-ES_tradnl"/>
        </w:rPr>
        <w:t>La negativa a corregir mi dato personal, pues en su poder constan los datos de mi nacimiento y ellos los brindaron a RENAPO para certificar mi CURP</w:t>
      </w:r>
      <w:r>
        <w:rPr>
          <w:rFonts w:eastAsia="Calibri"/>
          <w:lang w:val="es-ES_tradnl"/>
        </w:rPr>
        <w:t>»</w:t>
      </w:r>
      <w:r w:rsidR="00DA297E" w:rsidRPr="00C0775E">
        <w:rPr>
          <w:rFonts w:eastAsia="Calibri"/>
          <w:lang w:val="es-ES_tradnl"/>
        </w:rPr>
        <w:t xml:space="preserve"> (Sic)</w:t>
      </w:r>
    </w:p>
    <w:p w14:paraId="58D8DC92" w14:textId="77777777" w:rsidR="00DA297E" w:rsidRPr="00C0775E" w:rsidRDefault="00DA297E" w:rsidP="00D53925">
      <w:pPr>
        <w:spacing w:line="360" w:lineRule="auto"/>
        <w:rPr>
          <w:rFonts w:ascii="Palatino Linotype" w:eastAsia="Calibri" w:hAnsi="Palatino Linotype" w:cs="Arial"/>
          <w:bCs/>
          <w:iCs/>
          <w:lang w:val="es-ES_tradnl"/>
        </w:rPr>
      </w:pPr>
    </w:p>
    <w:p w14:paraId="20A58591" w14:textId="6437ECDB" w:rsidR="00DA297E" w:rsidRPr="00C0775E" w:rsidRDefault="00DA297E" w:rsidP="00D53925">
      <w:pPr>
        <w:spacing w:line="360" w:lineRule="auto"/>
        <w:jc w:val="both"/>
        <w:rPr>
          <w:rFonts w:ascii="Palatino Linotype" w:eastAsia="Calibri" w:hAnsi="Palatino Linotype" w:cs="Arial"/>
          <w:b/>
          <w:lang w:val="es-ES_tradnl"/>
        </w:rPr>
      </w:pPr>
      <w:r w:rsidRPr="00C0775E">
        <w:rPr>
          <w:rFonts w:ascii="Palatino Linotype" w:eastAsia="Calibri" w:hAnsi="Palatino Linotype" w:cs="Arial"/>
          <w:b/>
          <w:lang w:val="es-ES_tradnl"/>
        </w:rPr>
        <w:t>Razones o motivos de inconformidad</w:t>
      </w:r>
      <w:r w:rsidR="00355F0A" w:rsidRPr="00C0775E">
        <w:rPr>
          <w:rFonts w:ascii="Palatino Linotype" w:eastAsia="Calibri" w:hAnsi="Palatino Linotype" w:cs="Arial"/>
          <w:b/>
          <w:lang w:val="es-ES_tradnl"/>
        </w:rPr>
        <w:t>:</w:t>
      </w:r>
    </w:p>
    <w:p w14:paraId="0901C573" w14:textId="473663DF" w:rsidR="00DA297E" w:rsidRPr="00C0775E" w:rsidRDefault="00C65E1C" w:rsidP="00355F0A">
      <w:pPr>
        <w:pStyle w:val="Sinespaciado"/>
        <w:rPr>
          <w:rFonts w:eastAsia="Calibri"/>
          <w:sz w:val="24"/>
        </w:rPr>
      </w:pPr>
      <w:r w:rsidRPr="28CAB825">
        <w:rPr>
          <w:rFonts w:eastAsia="Calibri"/>
          <w:sz w:val="24"/>
        </w:rPr>
        <w:t>«</w:t>
      </w:r>
      <w:proofErr w:type="spellStart"/>
      <w:r w:rsidR="002E4B08" w:rsidRPr="28CAB825">
        <w:rPr>
          <w:rFonts w:eastAsia="Calibri"/>
        </w:rPr>
        <w:t>Aún</w:t>
      </w:r>
      <w:proofErr w:type="spellEnd"/>
      <w:r w:rsidR="002E4B08" w:rsidRPr="28CAB825">
        <w:rPr>
          <w:rFonts w:eastAsia="Calibri"/>
        </w:rPr>
        <w:t xml:space="preserve"> cuando se manifiestan incompetentes, lo cierto es que si son competentes, pues si bien la CURP no es generada por el Registro Civil, es el </w:t>
      </w:r>
      <w:proofErr w:type="spellStart"/>
      <w:r w:rsidR="002E4B08" w:rsidRPr="28CAB825">
        <w:rPr>
          <w:rFonts w:eastAsia="Calibri"/>
        </w:rPr>
        <w:t>el</w:t>
      </w:r>
      <w:proofErr w:type="spellEnd"/>
      <w:r w:rsidR="002E4B08" w:rsidRPr="28CAB825">
        <w:rPr>
          <w:rFonts w:eastAsia="Calibri"/>
        </w:rPr>
        <w:t xml:space="preserve"> registro civil el que brinda o con quien se corroboran los datos de registro ante RENAPO (RENAPO no registra nacimientos) para que este certifique la CURP, y el Registro si cuenta en su poder con mi acta de nacimiento y cuando me expidieron una, en esta constaba la CURP errónea. por ello solicito rectifiquen mi dato personal y que me proporcionen las constancias de las que se desprenda como reportaron mis datos de nacimiento a RENAPO para la certificación de CURP pues de esta manera podré corroborar si el error está en RENAPO, o viene desde el registro civil, pues RENAPO argumenta que el acta que está en su sistema es de la que se desprenden los datos por los que mi CURP está mal y que esa acta se las dio el Registro Civil, por ello compete al Registro Civil dar aviso de manera correcta a RENAPO para que se corrijan mis datos, y brindarme las constancias de las que se desprende como dieron aviso a RENAPO. Pido todo de manera gratuita por esta vía pues no cuento con recursos para trasladarme a la cd mx, y en el Registro Civil de Tlalnepantla no dan atención telefónica ni vía </w:t>
      </w:r>
      <w:proofErr w:type="spellStart"/>
      <w:r w:rsidR="002E4B08" w:rsidRPr="28CAB825">
        <w:rPr>
          <w:rFonts w:eastAsia="Calibri"/>
        </w:rPr>
        <w:t>wats</w:t>
      </w:r>
      <w:proofErr w:type="spellEnd"/>
      <w:r w:rsidR="002E4B08" w:rsidRPr="28CAB825">
        <w:rPr>
          <w:rFonts w:eastAsia="Calibri"/>
        </w:rPr>
        <w:t xml:space="preserve"> app, llevo meses queriendo comunicarme con ellos y no hay manera</w:t>
      </w:r>
      <w:r w:rsidRPr="28CAB825">
        <w:rPr>
          <w:rFonts w:eastAsia="Calibri"/>
        </w:rPr>
        <w:t>.</w:t>
      </w:r>
      <w:r w:rsidRPr="28CAB825">
        <w:rPr>
          <w:rFonts w:eastAsia="Calibri"/>
          <w:sz w:val="24"/>
        </w:rPr>
        <w:t>»</w:t>
      </w:r>
      <w:r w:rsidR="00DA297E" w:rsidRPr="28CAB825">
        <w:rPr>
          <w:rFonts w:eastAsia="Calibri"/>
          <w:sz w:val="24"/>
        </w:rPr>
        <w:t xml:space="preserve"> (Sic)</w:t>
      </w:r>
    </w:p>
    <w:p w14:paraId="390304E3" w14:textId="77777777" w:rsidR="00355F0A" w:rsidRPr="00C0775E" w:rsidRDefault="00355F0A" w:rsidP="007C1357">
      <w:pPr>
        <w:spacing w:line="360" w:lineRule="auto"/>
        <w:jc w:val="both"/>
        <w:rPr>
          <w:rFonts w:ascii="Palatino Linotype" w:eastAsia="Calibri" w:hAnsi="Palatino Linotype" w:cs="Arial"/>
          <w:bCs/>
          <w:lang w:val="es-ES_tradnl"/>
        </w:rPr>
      </w:pPr>
    </w:p>
    <w:p w14:paraId="42872C50" w14:textId="3A6BE2D6" w:rsidR="00DA297E" w:rsidRPr="00C0775E" w:rsidRDefault="00A37476" w:rsidP="007C1357">
      <w:pPr>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t>CUAR</w:t>
      </w:r>
      <w:r w:rsidR="00DA297E" w:rsidRPr="00C0775E">
        <w:rPr>
          <w:rFonts w:ascii="Palatino Linotype" w:eastAsia="Calibri" w:hAnsi="Palatino Linotype" w:cs="Arial"/>
          <w:b/>
          <w:sz w:val="26"/>
          <w:szCs w:val="26"/>
          <w:lang w:val="es-ES_tradnl"/>
        </w:rPr>
        <w:t>TO. Del turno del recurso de revisión.</w:t>
      </w:r>
    </w:p>
    <w:p w14:paraId="56BBC065" w14:textId="75F1D561" w:rsidR="00DA297E" w:rsidRDefault="00DA297E" w:rsidP="007C1357">
      <w:pPr>
        <w:spacing w:line="360" w:lineRule="auto"/>
        <w:jc w:val="both"/>
        <w:rPr>
          <w:rFonts w:ascii="Palatino Linotype" w:eastAsia="Calibri" w:hAnsi="Palatino Linotype" w:cs="Arial"/>
        </w:rPr>
      </w:pPr>
      <w:r w:rsidRPr="28CAB825">
        <w:rPr>
          <w:rFonts w:ascii="Palatino Linotype" w:eastAsia="Calibri" w:hAnsi="Palatino Linotype" w:cs="Arial"/>
        </w:rPr>
        <w:t>E</w:t>
      </w:r>
      <w:r w:rsidR="00C06262" w:rsidRPr="28CAB825">
        <w:rPr>
          <w:rFonts w:ascii="Palatino Linotype" w:eastAsia="Calibri" w:hAnsi="Palatino Linotype" w:cs="Arial"/>
        </w:rPr>
        <w:t xml:space="preserve">l </w:t>
      </w:r>
      <w:r w:rsidRPr="28CAB825">
        <w:rPr>
          <w:rFonts w:ascii="Palatino Linotype" w:eastAsia="Calibri" w:hAnsi="Palatino Linotype" w:cs="Arial"/>
        </w:rPr>
        <w:t xml:space="preserve">recurso </w:t>
      </w:r>
      <w:r w:rsidR="008E1D68" w:rsidRPr="28CAB825">
        <w:rPr>
          <w:rFonts w:ascii="Palatino Linotype" w:eastAsia="Calibri" w:hAnsi="Palatino Linotype" w:cs="Arial"/>
        </w:rPr>
        <w:t xml:space="preserve">de revisión de mérito </w:t>
      </w:r>
      <w:r w:rsidRPr="28CAB825">
        <w:rPr>
          <w:rFonts w:ascii="Palatino Linotype" w:eastAsia="Calibri" w:hAnsi="Palatino Linotype" w:cs="Arial"/>
        </w:rPr>
        <w:t>se registró en el SARCOEM</w:t>
      </w:r>
      <w:r w:rsidR="003B36D7" w:rsidRPr="28CAB825">
        <w:rPr>
          <w:rFonts w:ascii="Palatino Linotype" w:eastAsia="Calibri" w:hAnsi="Palatino Linotype" w:cs="Arial"/>
        </w:rPr>
        <w:t xml:space="preserve"> y fue turnado al </w:t>
      </w:r>
      <w:r w:rsidR="003B36D7" w:rsidRPr="28CAB825">
        <w:rPr>
          <w:rFonts w:ascii="Palatino Linotype" w:eastAsia="Calibri" w:hAnsi="Palatino Linotype" w:cs="Arial"/>
          <w:b/>
        </w:rPr>
        <w:t>Comisionado</w:t>
      </w:r>
      <w:r w:rsidR="00C06262" w:rsidRPr="28CAB825">
        <w:rPr>
          <w:rFonts w:ascii="Palatino Linotype" w:eastAsia="Calibri" w:hAnsi="Palatino Linotype" w:cs="Arial"/>
          <w:b/>
        </w:rPr>
        <w:t xml:space="preserve"> </w:t>
      </w:r>
      <w:r w:rsidR="003B36D7" w:rsidRPr="28CAB825">
        <w:rPr>
          <w:rFonts w:ascii="Palatino Linotype" w:eastAsia="Calibri" w:hAnsi="Palatino Linotype" w:cs="Arial"/>
          <w:b/>
        </w:rPr>
        <w:t>José Martínez Vilchis</w:t>
      </w:r>
      <w:r w:rsidRPr="28CAB825">
        <w:rPr>
          <w:rFonts w:ascii="Palatino Linotype" w:eastAsia="Calibri" w:hAnsi="Palatino Linotype" w:cs="Arial"/>
        </w:rPr>
        <w:t xml:space="preserve">, a efecto de que decretara su admisión o </w:t>
      </w:r>
      <w:r w:rsidRPr="28CAB825">
        <w:rPr>
          <w:rFonts w:ascii="Palatino Linotype" w:eastAsia="Calibri" w:hAnsi="Palatino Linotype" w:cs="Arial"/>
        </w:rPr>
        <w:lastRenderedPageBreak/>
        <w:t xml:space="preserve">desechamiento, ello en términos de los artículos 11 y 127 de la Ley de Protección de Datos Personales en Posesión de Sujetos Obligados del Estado de México y Municipios, </w:t>
      </w:r>
      <w:r w:rsidR="008E1D68" w:rsidRPr="28CAB825">
        <w:rPr>
          <w:rFonts w:ascii="Palatino Linotype" w:eastAsia="Calibri" w:hAnsi="Palatino Linotype" w:cs="Arial"/>
        </w:rPr>
        <w:t>con</w:t>
      </w:r>
      <w:r w:rsidRPr="28CAB825">
        <w:rPr>
          <w:rFonts w:ascii="Palatino Linotype" w:eastAsia="Calibri" w:hAnsi="Palatino Linotype" w:cs="Arial"/>
        </w:rPr>
        <w:t xml:space="preserve"> relación </w:t>
      </w:r>
      <w:r w:rsidR="008E1D68" w:rsidRPr="28CAB825">
        <w:rPr>
          <w:rFonts w:ascii="Palatino Linotype" w:eastAsia="Calibri" w:hAnsi="Palatino Linotype" w:cs="Arial"/>
        </w:rPr>
        <w:t>a</w:t>
      </w:r>
      <w:r w:rsidRPr="28CAB825">
        <w:rPr>
          <w:rFonts w:ascii="Palatino Linotype" w:eastAsia="Calibri" w:hAnsi="Palatino Linotype" w:cs="Arial"/>
        </w:rPr>
        <w:t xml:space="preserve">l diverso 185, fracción I, de la </w:t>
      </w:r>
      <w:r w:rsidRPr="28CAB825">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28CAB825">
        <w:rPr>
          <w:rFonts w:ascii="Palatino Linotype" w:eastAsia="Calibri" w:hAnsi="Palatino Linotype" w:cs="Arial"/>
        </w:rPr>
        <w:t>.</w:t>
      </w:r>
    </w:p>
    <w:p w14:paraId="273C0AF7" w14:textId="77777777" w:rsidR="00056743" w:rsidRDefault="00056743" w:rsidP="007C1357">
      <w:pPr>
        <w:spacing w:line="360" w:lineRule="auto"/>
        <w:jc w:val="both"/>
        <w:rPr>
          <w:rFonts w:ascii="Palatino Linotype" w:eastAsia="Calibri" w:hAnsi="Palatino Linotype" w:cs="Arial"/>
          <w:lang w:val="es-ES_tradnl"/>
        </w:rPr>
      </w:pPr>
    </w:p>
    <w:p w14:paraId="60D817F9" w14:textId="372DFDF6" w:rsidR="00056743" w:rsidRPr="00C0775E" w:rsidRDefault="00056743" w:rsidP="00056743">
      <w:pPr>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cs="Arial"/>
          <w:b/>
          <w:sz w:val="26"/>
          <w:szCs w:val="26"/>
          <w:lang w:val="es-ES_tradnl"/>
        </w:rPr>
        <w:t>QUINTO. De la</w:t>
      </w:r>
      <w:r>
        <w:rPr>
          <w:rFonts w:ascii="Palatino Linotype" w:eastAsia="Calibri" w:hAnsi="Palatino Linotype" w:cs="Arial"/>
          <w:b/>
          <w:sz w:val="26"/>
          <w:szCs w:val="26"/>
          <w:lang w:val="es-ES_tradnl"/>
        </w:rPr>
        <w:t xml:space="preserve"> prevención a la Recurrente</w:t>
      </w:r>
      <w:r w:rsidR="00102099">
        <w:rPr>
          <w:rFonts w:ascii="Palatino Linotype" w:eastAsia="Calibri" w:hAnsi="Palatino Linotype" w:cs="Arial"/>
          <w:b/>
          <w:sz w:val="26"/>
          <w:szCs w:val="26"/>
          <w:lang w:val="es-ES_tradnl"/>
        </w:rPr>
        <w:t xml:space="preserve"> y su desahogo</w:t>
      </w:r>
      <w:r w:rsidRPr="00C0775E">
        <w:rPr>
          <w:rFonts w:ascii="Palatino Linotype" w:eastAsia="Calibri" w:hAnsi="Palatino Linotype" w:cs="Arial"/>
          <w:b/>
          <w:sz w:val="26"/>
          <w:szCs w:val="26"/>
          <w:lang w:val="es-ES_tradnl"/>
        </w:rPr>
        <w:t>.</w:t>
      </w:r>
    </w:p>
    <w:p w14:paraId="79774283" w14:textId="50FCD611" w:rsidR="00056743" w:rsidRDefault="0084536E" w:rsidP="007C1357">
      <w:pPr>
        <w:spacing w:line="360" w:lineRule="auto"/>
        <w:jc w:val="both"/>
        <w:rPr>
          <w:rFonts w:ascii="Palatino Linotype" w:eastAsia="Calibri" w:hAnsi="Palatino Linotype" w:cs="Arial"/>
          <w:lang w:val="es-ES_tradnl"/>
        </w:rPr>
      </w:pPr>
      <w:r>
        <w:rPr>
          <w:rFonts w:ascii="Palatino Linotype" w:eastAsia="Calibri" w:hAnsi="Palatino Linotype" w:cs="Arial"/>
          <w:lang w:val="es-ES_tradnl"/>
        </w:rPr>
        <w:t xml:space="preserve">En fecha veintisiete de enero de dos mil veinticinco, se previno a la Recurrente para que </w:t>
      </w:r>
      <w:r w:rsidR="00915BAE">
        <w:rPr>
          <w:rFonts w:ascii="Palatino Linotype" w:eastAsia="Calibri" w:hAnsi="Palatino Linotype" w:cs="Arial"/>
          <w:lang w:val="es-ES_tradnl"/>
        </w:rPr>
        <w:t xml:space="preserve">presentara el documento con que acredite su identidad en el presente recurso de revisión, conforme a lo dispuesto en </w:t>
      </w:r>
      <w:r w:rsidR="00F32559">
        <w:rPr>
          <w:rFonts w:ascii="Palatino Linotype" w:eastAsia="Calibri" w:hAnsi="Palatino Linotype" w:cs="Arial"/>
          <w:lang w:val="es-ES_tradnl"/>
        </w:rPr>
        <w:t>los artículos 130 fracción VI</w:t>
      </w:r>
      <w:r w:rsidR="00EF7107">
        <w:rPr>
          <w:rFonts w:ascii="Palatino Linotype" w:eastAsia="Calibri" w:hAnsi="Palatino Linotype" w:cs="Arial"/>
          <w:lang w:val="es-ES_tradnl"/>
        </w:rPr>
        <w:t xml:space="preserve"> y 136 de la Ley de Protección de Datos Personales estatal</w:t>
      </w:r>
      <w:r w:rsidR="005144A0">
        <w:rPr>
          <w:rFonts w:ascii="Palatino Linotype" w:eastAsia="Calibri" w:hAnsi="Palatino Linotype" w:cs="Arial"/>
          <w:lang w:val="es-ES_tradnl"/>
        </w:rPr>
        <w:t xml:space="preserve">. Así, el día </w:t>
      </w:r>
      <w:r w:rsidR="000E6474">
        <w:rPr>
          <w:rFonts w:ascii="Palatino Linotype" w:eastAsia="Calibri" w:hAnsi="Palatino Linotype" w:cs="Arial"/>
          <w:lang w:val="es-ES_tradnl"/>
        </w:rPr>
        <w:t xml:space="preserve">veintiocho </w:t>
      </w:r>
      <w:r w:rsidR="00C53071">
        <w:rPr>
          <w:rFonts w:ascii="Palatino Linotype" w:eastAsia="Calibri" w:hAnsi="Palatino Linotype" w:cs="Arial"/>
          <w:lang w:val="es-ES_tradnl"/>
        </w:rPr>
        <w:t>de enero del año en curso, la Recurrente desahogó la prevención en los siguientes términos:</w:t>
      </w:r>
    </w:p>
    <w:p w14:paraId="0EAD3A0C" w14:textId="77777777" w:rsidR="00C53071" w:rsidRDefault="00C53071" w:rsidP="007C1357">
      <w:pPr>
        <w:spacing w:line="360" w:lineRule="auto"/>
        <w:jc w:val="both"/>
        <w:rPr>
          <w:rFonts w:ascii="Palatino Linotype" w:eastAsia="Calibri" w:hAnsi="Palatino Linotype" w:cs="Arial"/>
          <w:lang w:val="es-ES_tradnl"/>
        </w:rPr>
      </w:pPr>
    </w:p>
    <w:p w14:paraId="07E77A0D" w14:textId="33895B78" w:rsidR="00C53071" w:rsidRPr="00C0775E" w:rsidRDefault="00C53071" w:rsidP="28CAB825">
      <w:pPr>
        <w:pStyle w:val="Sinespaciado"/>
        <w:rPr>
          <w:rFonts w:eastAsia="Calibri"/>
          <w:sz w:val="24"/>
        </w:rPr>
      </w:pPr>
      <w:r w:rsidRPr="28CAB825">
        <w:rPr>
          <w:rFonts w:eastAsia="Calibri"/>
          <w:sz w:val="24"/>
        </w:rPr>
        <w:t>«</w:t>
      </w:r>
      <w:r w:rsidRPr="28CAB825">
        <w:rPr>
          <w:rFonts w:eastAsia="Calibri"/>
        </w:rPr>
        <w:t xml:space="preserve">Hola buenos días, he querido desahogar la prevención pero no me es imposible abrir los archivos o comunicarme con Ustedes, así que no sé </w:t>
      </w:r>
      <w:proofErr w:type="spellStart"/>
      <w:r w:rsidRPr="28CAB825">
        <w:rPr>
          <w:rFonts w:eastAsia="Calibri"/>
        </w:rPr>
        <w:t>que</w:t>
      </w:r>
      <w:proofErr w:type="spellEnd"/>
      <w:r w:rsidRPr="28CAB825">
        <w:rPr>
          <w:rFonts w:eastAsia="Calibri"/>
        </w:rPr>
        <w:t xml:space="preserve"> dicen los acuerdos, anexo las </w:t>
      </w:r>
      <w:proofErr w:type="spellStart"/>
      <w:r w:rsidRPr="28CAB825">
        <w:rPr>
          <w:rFonts w:eastAsia="Calibri"/>
        </w:rPr>
        <w:t>constacias</w:t>
      </w:r>
      <w:proofErr w:type="spellEnd"/>
      <w:r w:rsidRPr="28CAB825">
        <w:rPr>
          <w:rFonts w:eastAsia="Calibri"/>
        </w:rPr>
        <w:t xml:space="preserve"> que considero pudieran necesitar y las constancias de que no me han podido notificar el acuerdo, espero que me hagan llegar estos acuerdos para lo que proporciono mi celular y mi correo </w:t>
      </w:r>
      <w:proofErr w:type="spellStart"/>
      <w:r w:rsidRPr="28CAB825">
        <w:rPr>
          <w:rFonts w:eastAsia="Calibri"/>
        </w:rPr>
        <w:t>electronico</w:t>
      </w:r>
      <w:proofErr w:type="spellEnd"/>
      <w:r w:rsidRPr="28CAB825">
        <w:rPr>
          <w:rFonts w:eastAsia="Calibri"/>
        </w:rPr>
        <w:t xml:space="preserve">, […]@gmail.com cel. […], de no ser posible al menos que contesten mi correo y me digan que hacer, y espero que lo hagan dentro del plazo para acatar la prevención, pues estoy dentro del mismo y quiero hacerlo, sin embargo no he podido saber </w:t>
      </w:r>
      <w:proofErr w:type="spellStart"/>
      <w:r w:rsidRPr="28CAB825">
        <w:rPr>
          <w:rFonts w:eastAsia="Calibri"/>
        </w:rPr>
        <w:t>que</w:t>
      </w:r>
      <w:proofErr w:type="spellEnd"/>
      <w:r w:rsidRPr="28CAB825">
        <w:rPr>
          <w:rFonts w:eastAsia="Calibri"/>
        </w:rPr>
        <w:t xml:space="preserve"> es lo que necesitan, En esta </w:t>
      </w:r>
      <w:proofErr w:type="spellStart"/>
      <w:r w:rsidRPr="28CAB825">
        <w:rPr>
          <w:rFonts w:eastAsia="Calibri"/>
        </w:rPr>
        <w:t>ocsión</w:t>
      </w:r>
      <w:proofErr w:type="spellEnd"/>
      <w:r w:rsidRPr="28CAB825">
        <w:rPr>
          <w:rFonts w:eastAsia="Calibri"/>
        </w:rPr>
        <w:t xml:space="preserve"> anexo INE y CONSTANCIA DE CORRECCIÓN DE LA CURP</w:t>
      </w:r>
      <w:r w:rsidRPr="28CAB825">
        <w:rPr>
          <w:rFonts w:eastAsia="Calibri"/>
          <w:sz w:val="24"/>
        </w:rPr>
        <w:t>» (Sic)</w:t>
      </w:r>
    </w:p>
    <w:p w14:paraId="2698991B" w14:textId="77777777" w:rsidR="00C53071" w:rsidRDefault="00C53071" w:rsidP="007C1357">
      <w:pPr>
        <w:spacing w:line="360" w:lineRule="auto"/>
        <w:jc w:val="both"/>
        <w:rPr>
          <w:rFonts w:ascii="Palatino Linotype" w:eastAsia="Calibri" w:hAnsi="Palatino Linotype" w:cs="Arial"/>
          <w:lang w:val="es-ES_tradnl"/>
        </w:rPr>
      </w:pPr>
    </w:p>
    <w:p w14:paraId="23ED4761" w14:textId="7AB5ABEF" w:rsidR="00056743" w:rsidRPr="00C0775E" w:rsidRDefault="00C53071" w:rsidP="007C1357">
      <w:pPr>
        <w:spacing w:line="360" w:lineRule="auto"/>
        <w:jc w:val="both"/>
        <w:rPr>
          <w:rFonts w:ascii="Palatino Linotype" w:eastAsia="Calibri" w:hAnsi="Palatino Linotype" w:cs="Arial"/>
          <w:lang w:val="es-ES_tradnl"/>
        </w:rPr>
      </w:pPr>
      <w:r>
        <w:rPr>
          <w:rFonts w:ascii="Palatino Linotype" w:eastAsia="Calibri" w:hAnsi="Palatino Linotype" w:cs="Arial"/>
          <w:lang w:val="es-ES_tradnl"/>
        </w:rPr>
        <w:t>La Recurrente adjuntó a su desahogo los siguientes documentos:</w:t>
      </w:r>
    </w:p>
    <w:p w14:paraId="2691DDC0" w14:textId="77777777" w:rsidR="00C53071" w:rsidRDefault="00C53071" w:rsidP="007C1357">
      <w:pPr>
        <w:spacing w:line="360" w:lineRule="auto"/>
        <w:jc w:val="both"/>
        <w:rPr>
          <w:rFonts w:ascii="Palatino Linotype" w:eastAsia="Calibri" w:hAnsi="Palatino Linotype" w:cs="Arial"/>
          <w:lang w:val="es-ES_tradnl"/>
        </w:rPr>
      </w:pPr>
    </w:p>
    <w:p w14:paraId="24A2FDB4" w14:textId="096B3288" w:rsidR="00C53071" w:rsidRPr="00FE088C" w:rsidRDefault="00C53071" w:rsidP="00C53071">
      <w:pPr>
        <w:numPr>
          <w:ilvl w:val="0"/>
          <w:numId w:val="27"/>
        </w:numPr>
        <w:tabs>
          <w:tab w:val="left" w:pos="966"/>
        </w:tabs>
        <w:spacing w:line="360" w:lineRule="auto"/>
        <w:ind w:right="51"/>
        <w:jc w:val="both"/>
        <w:rPr>
          <w:rFonts w:ascii="Palatino Linotype" w:eastAsia="Calibri" w:hAnsi="Palatino Linotype" w:cs="Arial"/>
          <w:bCs/>
        </w:rPr>
      </w:pPr>
      <w:r>
        <w:rPr>
          <w:rFonts w:ascii="Palatino Linotype" w:eastAsia="Calibri" w:hAnsi="Palatino Linotype" w:cs="Arial"/>
          <w:b/>
          <w:bCs/>
          <w:lang w:val="es-MX"/>
        </w:rPr>
        <w:t xml:space="preserve">TODO JUNTO.pdf. </w:t>
      </w:r>
      <w:r>
        <w:rPr>
          <w:rFonts w:ascii="Palatino Linotype" w:eastAsia="Calibri" w:hAnsi="Palatino Linotype" w:cs="Arial"/>
          <w:bCs/>
          <w:lang w:val="es-MX"/>
        </w:rPr>
        <w:t xml:space="preserve">Documento que contiene el </w:t>
      </w:r>
      <w:r w:rsidRPr="00FE088C">
        <w:rPr>
          <w:rFonts w:ascii="Palatino Linotype" w:eastAsia="Calibri" w:hAnsi="Palatino Linotype" w:cs="Arial"/>
          <w:bCs/>
          <w:lang w:val="es-MX"/>
        </w:rPr>
        <w:t>Acta de nacimiento</w:t>
      </w:r>
      <w:r>
        <w:rPr>
          <w:rFonts w:ascii="Palatino Linotype" w:eastAsia="Calibri" w:hAnsi="Palatino Linotype" w:cs="Arial"/>
          <w:bCs/>
          <w:lang w:val="es-MX"/>
        </w:rPr>
        <w:t xml:space="preserve"> y Reconocimiento</w:t>
      </w:r>
      <w:r w:rsidRPr="00FE088C">
        <w:rPr>
          <w:rFonts w:ascii="Palatino Linotype" w:eastAsia="Calibri" w:hAnsi="Palatino Linotype" w:cs="Arial"/>
          <w:bCs/>
          <w:lang w:val="es-MX"/>
        </w:rPr>
        <w:t xml:space="preserve"> de la solicitante em</w:t>
      </w:r>
      <w:r>
        <w:rPr>
          <w:rFonts w:ascii="Palatino Linotype" w:eastAsia="Calibri" w:hAnsi="Palatino Linotype" w:cs="Arial"/>
          <w:bCs/>
          <w:lang w:val="es-MX"/>
        </w:rPr>
        <w:t xml:space="preserve">itida en el Tlalnepantla de Baz; escrito con </w:t>
      </w:r>
      <w:r>
        <w:rPr>
          <w:rFonts w:ascii="Palatino Linotype" w:eastAsia="Calibri" w:hAnsi="Palatino Linotype" w:cs="Arial"/>
          <w:bCs/>
          <w:lang w:val="es-MX"/>
        </w:rPr>
        <w:lastRenderedPageBreak/>
        <w:t>número de folio 77747214 suscrito por el Director General del Registro Nacional de Población e Identificación Personal dirigido a la Recurrente</w:t>
      </w:r>
      <w:r w:rsidR="00583E4A">
        <w:rPr>
          <w:rFonts w:ascii="Palatino Linotype" w:eastAsia="Calibri" w:hAnsi="Palatino Linotype" w:cs="Arial"/>
          <w:bCs/>
          <w:lang w:val="es-MX"/>
        </w:rPr>
        <w:t xml:space="preserve"> relativo al trámite de asignación y expedición de la constancia de la CURP; CURP de la Recurrente y anverso y reverso de la credencial de elector emitida por el Instituto Nacional Electoral</w:t>
      </w:r>
    </w:p>
    <w:p w14:paraId="1BEBB078" w14:textId="3168E391" w:rsidR="00C53071" w:rsidRPr="00FE088C" w:rsidRDefault="00583E4A" w:rsidP="00C53071">
      <w:pPr>
        <w:numPr>
          <w:ilvl w:val="0"/>
          <w:numId w:val="27"/>
        </w:numPr>
        <w:tabs>
          <w:tab w:val="left" w:pos="966"/>
        </w:tabs>
        <w:spacing w:line="360" w:lineRule="auto"/>
        <w:ind w:right="51"/>
        <w:jc w:val="both"/>
        <w:rPr>
          <w:rFonts w:ascii="Palatino Linotype" w:eastAsia="Calibri" w:hAnsi="Palatino Linotype" w:cs="Arial"/>
          <w:bCs/>
        </w:rPr>
      </w:pPr>
      <w:r>
        <w:rPr>
          <w:rFonts w:ascii="Palatino Linotype" w:eastAsia="Calibri" w:hAnsi="Palatino Linotype" w:cs="Arial"/>
          <w:b/>
          <w:bCs/>
        </w:rPr>
        <w:t>CONSTANCIAS.docx</w:t>
      </w:r>
      <w:r>
        <w:rPr>
          <w:rFonts w:ascii="Palatino Linotype" w:eastAsia="Calibri" w:hAnsi="Palatino Linotype" w:cs="Arial"/>
          <w:bCs/>
        </w:rPr>
        <w:t>. Documento en formato Word en el que se observan diversas capturas de pantalla de la plataforma SARCOEM con las que señala que no puede acceder al contenido de los acuerdos correspondientes al expediente del presente recurso.</w:t>
      </w:r>
    </w:p>
    <w:p w14:paraId="7BD0B988" w14:textId="77777777" w:rsidR="00DA297E" w:rsidRPr="00C53071" w:rsidRDefault="00DA297E" w:rsidP="007C1357">
      <w:pPr>
        <w:spacing w:line="360" w:lineRule="auto"/>
        <w:jc w:val="both"/>
        <w:rPr>
          <w:rFonts w:ascii="Palatino Linotype" w:eastAsia="Calibri" w:hAnsi="Palatino Linotype" w:cs="Arial"/>
          <w:lang w:val="es-ES_tradnl"/>
        </w:rPr>
      </w:pPr>
    </w:p>
    <w:p w14:paraId="116A8441" w14:textId="3C03DD34" w:rsidR="00DA297E" w:rsidRPr="00C0775E" w:rsidRDefault="00300132" w:rsidP="007C1357">
      <w:pPr>
        <w:spacing w:line="360" w:lineRule="auto"/>
        <w:jc w:val="both"/>
        <w:rPr>
          <w:rFonts w:ascii="Palatino Linotype" w:eastAsia="Calibri" w:hAnsi="Palatino Linotype" w:cs="Arial"/>
          <w:b/>
          <w:sz w:val="26"/>
          <w:szCs w:val="26"/>
          <w:lang w:val="es-ES_tradnl"/>
        </w:rPr>
      </w:pPr>
      <w:r>
        <w:rPr>
          <w:rFonts w:ascii="Palatino Linotype" w:eastAsia="Calibri" w:hAnsi="Palatino Linotype" w:cs="Arial"/>
          <w:b/>
          <w:sz w:val="26"/>
          <w:szCs w:val="26"/>
          <w:lang w:val="es-ES_tradnl"/>
        </w:rPr>
        <w:t>SEX</w:t>
      </w:r>
      <w:r w:rsidR="00A37476" w:rsidRPr="00C0775E">
        <w:rPr>
          <w:rFonts w:ascii="Palatino Linotype" w:eastAsia="Calibri" w:hAnsi="Palatino Linotype" w:cs="Arial"/>
          <w:b/>
          <w:sz w:val="26"/>
          <w:szCs w:val="26"/>
          <w:lang w:val="es-ES_tradnl"/>
        </w:rPr>
        <w:t>TO</w:t>
      </w:r>
      <w:r w:rsidR="00583E4A">
        <w:rPr>
          <w:rFonts w:ascii="Palatino Linotype" w:eastAsia="Calibri" w:hAnsi="Palatino Linotype" w:cs="Arial"/>
          <w:b/>
          <w:sz w:val="26"/>
          <w:szCs w:val="26"/>
          <w:lang w:val="es-ES_tradnl"/>
        </w:rPr>
        <w:t>.</w:t>
      </w:r>
      <w:r w:rsidR="00DA297E" w:rsidRPr="00C0775E">
        <w:rPr>
          <w:rFonts w:ascii="Palatino Linotype" w:eastAsia="Calibri" w:hAnsi="Palatino Linotype" w:cs="Arial"/>
          <w:b/>
          <w:sz w:val="26"/>
          <w:szCs w:val="26"/>
          <w:lang w:val="es-ES_tradnl"/>
        </w:rPr>
        <w:t xml:space="preserve"> De la </w:t>
      </w:r>
      <w:r w:rsidR="00583E4A">
        <w:rPr>
          <w:rFonts w:ascii="Palatino Linotype" w:eastAsia="Calibri" w:hAnsi="Palatino Linotype" w:cs="Arial"/>
          <w:b/>
          <w:sz w:val="26"/>
          <w:szCs w:val="26"/>
          <w:lang w:val="es-ES_tradnl"/>
        </w:rPr>
        <w:t>a</w:t>
      </w:r>
      <w:r w:rsidR="00DA297E" w:rsidRPr="00C0775E">
        <w:rPr>
          <w:rFonts w:ascii="Palatino Linotype" w:eastAsia="Calibri" w:hAnsi="Palatino Linotype" w:cs="Arial"/>
          <w:b/>
          <w:sz w:val="26"/>
          <w:szCs w:val="26"/>
          <w:lang w:val="es-ES_tradnl"/>
        </w:rPr>
        <w:t>dmisión del recurso de revisión.</w:t>
      </w:r>
    </w:p>
    <w:p w14:paraId="3E60702E" w14:textId="083A016C" w:rsidR="00DA297E" w:rsidRPr="00C0775E" w:rsidRDefault="00583E4A" w:rsidP="007C1357">
      <w:pPr>
        <w:spacing w:line="360" w:lineRule="auto"/>
        <w:jc w:val="both"/>
        <w:rPr>
          <w:rFonts w:ascii="Palatino Linotype" w:eastAsia="Calibri" w:hAnsi="Palatino Linotype" w:cs="Arial"/>
          <w:lang w:val="es-ES_tradnl"/>
        </w:rPr>
      </w:pPr>
      <w:r>
        <w:rPr>
          <w:rFonts w:ascii="Palatino Linotype" w:eastAsia="Calibri" w:hAnsi="Palatino Linotype" w:cs="Arial"/>
          <w:lang w:val="es-ES_tradnl"/>
        </w:rPr>
        <w:t>Debido al correcto desahogo de la prevención, e</w:t>
      </w:r>
      <w:r w:rsidR="00DA297E" w:rsidRPr="00C0775E">
        <w:rPr>
          <w:rFonts w:ascii="Palatino Linotype" w:eastAsia="Calibri" w:hAnsi="Palatino Linotype" w:cs="Arial"/>
          <w:lang w:val="es-ES_tradnl"/>
        </w:rPr>
        <w:t xml:space="preserve">n fecha </w:t>
      </w:r>
      <w:r>
        <w:rPr>
          <w:rFonts w:ascii="Palatino Linotype" w:eastAsia="Calibri" w:hAnsi="Palatino Linotype"/>
          <w:lang w:val="es-ES_tradnl"/>
        </w:rPr>
        <w:t>treinta y uno de enero</w:t>
      </w:r>
      <w:r w:rsidR="00C24B94">
        <w:rPr>
          <w:rFonts w:ascii="Palatino Linotype" w:eastAsia="Calibri" w:hAnsi="Palatino Linotype"/>
          <w:lang w:val="es-ES_tradnl"/>
        </w:rPr>
        <w:t xml:space="preserve"> de dos mil </w:t>
      </w:r>
      <w:r>
        <w:rPr>
          <w:rFonts w:ascii="Palatino Linotype" w:eastAsia="Calibri" w:hAnsi="Palatino Linotype"/>
          <w:lang w:val="es-ES_tradnl"/>
        </w:rPr>
        <w:t>veinticinco</w:t>
      </w:r>
      <w:r w:rsidR="00DA297E">
        <w:rPr>
          <w:rFonts w:ascii="Palatino Linotype" w:eastAsia="Calibri" w:hAnsi="Palatino Linotype"/>
          <w:lang w:val="es-ES_tradnl"/>
        </w:rPr>
        <w:t xml:space="preserve">, </w:t>
      </w:r>
      <w:r w:rsidR="008E1D68" w:rsidRPr="00C0775E">
        <w:rPr>
          <w:rFonts w:ascii="Palatino Linotype" w:eastAsia="Calibri" w:hAnsi="Palatino Linotype" w:cs="Arial"/>
          <w:lang w:val="es-ES_tradnl"/>
        </w:rPr>
        <w:t>conforme</w:t>
      </w:r>
      <w:r w:rsidR="00DA297E" w:rsidRPr="00C0775E">
        <w:rPr>
          <w:rFonts w:ascii="Palatino Linotype" w:eastAsia="Calibri" w:hAnsi="Palatino Linotype" w:cs="Arial"/>
          <w:lang w:val="es-ES_tradnl"/>
        </w:rPr>
        <w:t xml:space="preserve">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14BC61E4" w14:textId="6B5AD64C" w:rsidR="00DA297E" w:rsidRPr="00C0775E" w:rsidRDefault="00DA297E" w:rsidP="007C1357">
      <w:pPr>
        <w:spacing w:line="360" w:lineRule="auto"/>
        <w:jc w:val="both"/>
        <w:rPr>
          <w:rFonts w:ascii="Palatino Linotype" w:eastAsia="Calibri" w:hAnsi="Palatino Linotype" w:cs="Arial"/>
          <w:lang w:val="es-ES_tradnl"/>
        </w:rPr>
      </w:pPr>
    </w:p>
    <w:p w14:paraId="16DC13A7" w14:textId="0D310052" w:rsidR="007F1EF9" w:rsidRPr="00C0775E" w:rsidRDefault="00300132" w:rsidP="007C1357">
      <w:pPr>
        <w:spacing w:line="360" w:lineRule="auto"/>
        <w:jc w:val="both"/>
        <w:rPr>
          <w:rFonts w:ascii="Palatino Linotype" w:eastAsia="Calibri" w:hAnsi="Palatino Linotype" w:cs="Arial"/>
          <w:b/>
          <w:bCs/>
          <w:sz w:val="26"/>
          <w:szCs w:val="26"/>
          <w:lang w:val="es-ES_tradnl"/>
        </w:rPr>
      </w:pPr>
      <w:r>
        <w:rPr>
          <w:rFonts w:ascii="Palatino Linotype" w:eastAsia="Calibri" w:hAnsi="Palatino Linotype" w:cs="Arial"/>
          <w:b/>
          <w:bCs/>
          <w:sz w:val="26"/>
          <w:szCs w:val="26"/>
          <w:lang w:val="es-ES_tradnl"/>
        </w:rPr>
        <w:t>SÉPTIM</w:t>
      </w:r>
      <w:r w:rsidR="007F1EF9" w:rsidRPr="00C0775E">
        <w:rPr>
          <w:rFonts w:ascii="Palatino Linotype" w:eastAsia="Calibri" w:hAnsi="Palatino Linotype" w:cs="Arial"/>
          <w:b/>
          <w:bCs/>
          <w:sz w:val="26"/>
          <w:szCs w:val="26"/>
          <w:lang w:val="es-ES_tradnl"/>
        </w:rPr>
        <w:t>O. De la exhortación a conciliar.</w:t>
      </w:r>
    </w:p>
    <w:p w14:paraId="2B1C8B0F" w14:textId="5AFB9DA4" w:rsidR="00DA297E" w:rsidRDefault="007F1EF9" w:rsidP="007C1357">
      <w:pPr>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El día </w:t>
      </w:r>
      <w:r w:rsidR="00583E4A" w:rsidRPr="00583E4A">
        <w:rPr>
          <w:rFonts w:ascii="Palatino Linotype" w:eastAsia="Calibri" w:hAnsi="Palatino Linotype" w:cs="Arial"/>
          <w:lang w:val="es-ES_tradnl"/>
        </w:rPr>
        <w:t>treinta y uno</w:t>
      </w:r>
      <w:r w:rsidRPr="00C0775E">
        <w:rPr>
          <w:rFonts w:ascii="Palatino Linotype" w:eastAsia="Calibri" w:hAnsi="Palatino Linotype" w:cs="Arial"/>
          <w:lang w:val="es-ES_tradnl"/>
        </w:rPr>
        <w:t xml:space="preserve"> de </w:t>
      </w:r>
      <w:r w:rsidR="00583E4A" w:rsidRPr="00583E4A">
        <w:rPr>
          <w:rFonts w:ascii="Palatino Linotype" w:eastAsia="Calibri" w:hAnsi="Palatino Linotype" w:cs="Arial"/>
          <w:lang w:val="es-ES_tradnl"/>
        </w:rPr>
        <w:t>enero</w:t>
      </w:r>
      <w:r w:rsidRPr="00C0775E">
        <w:rPr>
          <w:rFonts w:ascii="Palatino Linotype" w:eastAsia="Calibri" w:hAnsi="Palatino Linotype" w:cs="Arial"/>
          <w:lang w:val="es-ES_tradnl"/>
        </w:rPr>
        <w:t xml:space="preserve"> de dos mil </w:t>
      </w:r>
      <w:r w:rsidR="00583E4A" w:rsidRPr="00583E4A">
        <w:rPr>
          <w:rFonts w:ascii="Palatino Linotype" w:eastAsia="Calibri" w:hAnsi="Palatino Linotype" w:cs="Arial"/>
          <w:lang w:val="es-ES_tradnl"/>
        </w:rPr>
        <w:t>veinticinco</w:t>
      </w:r>
      <w:r w:rsidRPr="00C0775E">
        <w:rPr>
          <w:rFonts w:ascii="Palatino Linotype" w:eastAsia="Calibri" w:hAnsi="Palatino Linotype" w:cs="Arial"/>
          <w:lang w:val="es-ES_tradnl"/>
        </w:rPr>
        <w:t>, se emitió el acuerdo para exhortar a</w:t>
      </w:r>
      <w:r w:rsidR="00C24B94">
        <w:rPr>
          <w:rFonts w:ascii="Palatino Linotype" w:eastAsia="Calibri" w:hAnsi="Palatino Linotype" w:cs="Arial"/>
          <w:lang w:val="es-ES_tradnl"/>
        </w:rPr>
        <w:t xml:space="preserve"> las partes a una conciliación, </w:t>
      </w:r>
      <w:r w:rsidR="00583E4A">
        <w:rPr>
          <w:rFonts w:ascii="Palatino Linotype" w:eastAsia="Calibri" w:hAnsi="Palatino Linotype" w:cs="Arial"/>
          <w:lang w:val="es-ES_tradnl"/>
        </w:rPr>
        <w:t>a lo que ambas partes aceptaron llevar a cabo la audiencia de conciliación</w:t>
      </w:r>
      <w:r w:rsidR="00C24B94">
        <w:rPr>
          <w:rFonts w:ascii="Palatino Linotype" w:eastAsia="Calibri" w:hAnsi="Palatino Linotype" w:cs="Arial"/>
          <w:lang w:val="es-ES_tradnl"/>
        </w:rPr>
        <w:t xml:space="preserve"> </w:t>
      </w:r>
      <w:r w:rsidR="008E1D68" w:rsidRPr="00C0775E">
        <w:rPr>
          <w:rFonts w:ascii="Palatino Linotype" w:eastAsia="Calibri" w:hAnsi="Palatino Linotype" w:cs="Arial"/>
          <w:lang w:val="es-ES_tradnl"/>
        </w:rPr>
        <w:t xml:space="preserve">como se observa en </w:t>
      </w:r>
      <w:r w:rsidR="00C24B94">
        <w:rPr>
          <w:rFonts w:ascii="Palatino Linotype" w:eastAsia="Calibri" w:hAnsi="Palatino Linotype" w:cs="Arial"/>
          <w:lang w:val="es-ES_tradnl"/>
        </w:rPr>
        <w:t>la siguiente imagen:</w:t>
      </w:r>
    </w:p>
    <w:p w14:paraId="0C8ED6CD" w14:textId="77777777" w:rsidR="00C24B94" w:rsidRPr="00C0775E" w:rsidRDefault="00C24B94" w:rsidP="007C1357">
      <w:pPr>
        <w:spacing w:line="360" w:lineRule="auto"/>
        <w:jc w:val="both"/>
        <w:rPr>
          <w:rFonts w:ascii="Palatino Linotype" w:eastAsia="Calibri" w:hAnsi="Palatino Linotype" w:cs="Arial"/>
          <w:lang w:val="es-ES_tradnl"/>
        </w:rPr>
      </w:pPr>
    </w:p>
    <w:p w14:paraId="113E7D8E" w14:textId="41AE3E9C" w:rsidR="007F1EF9" w:rsidRPr="00C0775E" w:rsidRDefault="00C97FC7" w:rsidP="00611591">
      <w:pPr>
        <w:spacing w:line="360" w:lineRule="auto"/>
        <w:jc w:val="center"/>
        <w:rPr>
          <w:rFonts w:ascii="Palatino Linotype" w:eastAsia="Calibri" w:hAnsi="Palatino Linotype" w:cs="Arial"/>
          <w:lang w:val="es-ES_tradnl"/>
        </w:rPr>
      </w:pPr>
      <w:r>
        <w:rPr>
          <w:rFonts w:ascii="Palatino Linotype" w:eastAsia="Calibri" w:hAnsi="Palatino Linotype" w:cs="Arial"/>
          <w:noProof/>
          <w:lang w:val="es-MX" w:eastAsia="es-MX"/>
        </w:rPr>
        <w:lastRenderedPageBreak/>
        <w:pict w14:anchorId="45418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5pt;height:534.1pt">
            <v:imagedata r:id="rId8" o:title="1"/>
          </v:shape>
        </w:pict>
      </w:r>
      <w:bookmarkStart w:id="0" w:name="_GoBack"/>
      <w:bookmarkEnd w:id="0"/>
    </w:p>
    <w:p w14:paraId="010F9A17" w14:textId="76105BB5" w:rsidR="00DA297E" w:rsidRPr="00C0775E" w:rsidRDefault="00DA297E" w:rsidP="007C1357">
      <w:pPr>
        <w:spacing w:line="360" w:lineRule="auto"/>
        <w:jc w:val="both"/>
        <w:rPr>
          <w:rFonts w:ascii="Palatino Linotype" w:eastAsia="Calibri" w:hAnsi="Palatino Linotype" w:cs="Arial"/>
          <w:lang w:val="es-ES_tradnl"/>
        </w:rPr>
      </w:pPr>
    </w:p>
    <w:p w14:paraId="569A9560" w14:textId="020301E1" w:rsidR="00DA297E" w:rsidRPr="00C0775E" w:rsidRDefault="00D37632" w:rsidP="007C1357">
      <w:pPr>
        <w:spacing w:line="360" w:lineRule="auto"/>
        <w:jc w:val="both"/>
        <w:rPr>
          <w:rFonts w:ascii="Palatino Linotype" w:eastAsia="Calibri" w:hAnsi="Palatino Linotype" w:cs="Arial"/>
        </w:rPr>
      </w:pPr>
      <w:r w:rsidRPr="28CAB825">
        <w:rPr>
          <w:rFonts w:ascii="Palatino Linotype" w:eastAsia="Calibri" w:hAnsi="Palatino Linotype" w:cs="Arial"/>
        </w:rPr>
        <w:lastRenderedPageBreak/>
        <w:t xml:space="preserve">Sin embargo, la Recurrente no se presentó el día de la celebración de la audiencia, por lo que se le otorgó un término de tres días para justificar su ausencia, apercibida que de no hacerlo, el recurso de revisión continuaría. Así, ante la falta de pronunciamiento de la particular se determinó cerrar la etapa de conciliación </w:t>
      </w:r>
      <w:r w:rsidR="00300132" w:rsidRPr="28CAB825">
        <w:rPr>
          <w:rFonts w:ascii="Palatino Linotype" w:eastAsia="Calibri" w:hAnsi="Palatino Linotype" w:cs="Arial"/>
        </w:rPr>
        <w:t>y abril la etapa de manifestaciones mediante acuerdo de fecha</w:t>
      </w:r>
      <w:r w:rsidRPr="28CAB825">
        <w:rPr>
          <w:rFonts w:ascii="Palatino Linotype" w:eastAsia="Calibri" w:hAnsi="Palatino Linotype" w:cs="Arial"/>
        </w:rPr>
        <w:t xml:space="preserve"> veinticinco de febrero de dos mil veinticinco.</w:t>
      </w:r>
    </w:p>
    <w:p w14:paraId="0361662F" w14:textId="77777777" w:rsidR="00793C1A" w:rsidRPr="00C0775E" w:rsidRDefault="00793C1A" w:rsidP="007C1357">
      <w:pPr>
        <w:spacing w:line="360" w:lineRule="auto"/>
        <w:jc w:val="both"/>
        <w:rPr>
          <w:rFonts w:ascii="Palatino Linotype" w:eastAsia="Calibri" w:hAnsi="Palatino Linotype" w:cs="Arial"/>
          <w:b/>
          <w:lang w:val="es-ES_tradnl"/>
        </w:rPr>
      </w:pPr>
    </w:p>
    <w:p w14:paraId="4A99D88A" w14:textId="2C524532" w:rsidR="00DA297E" w:rsidRPr="00C0775E" w:rsidRDefault="00300132" w:rsidP="007C1357">
      <w:pPr>
        <w:spacing w:line="360" w:lineRule="auto"/>
        <w:jc w:val="both"/>
        <w:rPr>
          <w:rFonts w:ascii="Palatino Linotype" w:eastAsia="Calibri" w:hAnsi="Palatino Linotype" w:cs="Arial"/>
          <w:b/>
          <w:sz w:val="26"/>
          <w:szCs w:val="26"/>
          <w:lang w:val="es-ES_tradnl"/>
        </w:rPr>
      </w:pPr>
      <w:r>
        <w:rPr>
          <w:rFonts w:ascii="Palatino Linotype" w:eastAsia="Calibri" w:hAnsi="Palatino Linotype" w:cs="Arial"/>
          <w:b/>
          <w:sz w:val="26"/>
          <w:szCs w:val="26"/>
          <w:lang w:val="es-ES_tradnl"/>
        </w:rPr>
        <w:t>OCTAVO</w:t>
      </w:r>
      <w:r w:rsidR="00DA297E" w:rsidRPr="00C0775E">
        <w:rPr>
          <w:rFonts w:ascii="Palatino Linotype" w:eastAsia="Calibri" w:hAnsi="Palatino Linotype" w:cs="Arial"/>
          <w:b/>
          <w:sz w:val="26"/>
          <w:szCs w:val="26"/>
          <w:lang w:val="es-ES_tradnl"/>
        </w:rPr>
        <w:t>. De la etapa de instrucción.</w:t>
      </w:r>
    </w:p>
    <w:p w14:paraId="0B14FA35" w14:textId="40EAC515" w:rsidR="00DA297E" w:rsidRPr="00C0775E" w:rsidRDefault="00C24B94" w:rsidP="007C1357">
      <w:pPr>
        <w:spacing w:line="360" w:lineRule="auto"/>
        <w:jc w:val="both"/>
        <w:rPr>
          <w:rFonts w:ascii="Palatino Linotype" w:eastAsia="Calibri" w:hAnsi="Palatino Linotype" w:cs="Arial"/>
          <w:b/>
          <w:lang w:val="es-ES_tradnl"/>
        </w:rPr>
      </w:pPr>
      <w:r>
        <w:rPr>
          <w:rFonts w:ascii="Palatino Linotype" w:eastAsia="Calibri" w:hAnsi="Palatino Linotype" w:cs="Arial"/>
          <w:lang w:val="es-ES_tradnl"/>
        </w:rPr>
        <w:t xml:space="preserve">Durante </w:t>
      </w:r>
      <w:r w:rsidRPr="00D53925">
        <w:rPr>
          <w:rFonts w:ascii="Palatino Linotype" w:eastAsia="Calibri" w:hAnsi="Palatino Linotype" w:cs="Arial"/>
          <w:lang w:val="es-ES_tradnl"/>
        </w:rPr>
        <w:t xml:space="preserve">la etapa de </w:t>
      </w:r>
      <w:r>
        <w:rPr>
          <w:rFonts w:ascii="Palatino Linotype" w:eastAsia="Calibri" w:hAnsi="Palatino Linotype" w:cs="Arial"/>
          <w:lang w:val="es-ES_tradnl"/>
        </w:rPr>
        <w:t>m</w:t>
      </w:r>
      <w:r w:rsidRPr="00D53925">
        <w:rPr>
          <w:rFonts w:ascii="Palatino Linotype" w:eastAsia="Calibri" w:hAnsi="Palatino Linotype" w:cs="Arial"/>
          <w:lang w:val="es-ES_tradnl"/>
        </w:rPr>
        <w:t>anifestaciones,</w:t>
      </w:r>
      <w:r w:rsidRPr="00D53925">
        <w:rPr>
          <w:rFonts w:ascii="Palatino Linotype" w:eastAsia="Calibri" w:hAnsi="Palatino Linotype" w:cs="Arial"/>
          <w:b/>
          <w:lang w:val="es-ES_tradnl"/>
        </w:rPr>
        <w:t xml:space="preserve"> </w:t>
      </w:r>
      <w:r w:rsidRPr="00D53925">
        <w:rPr>
          <w:rFonts w:ascii="Palatino Linotype" w:eastAsia="Calibri" w:hAnsi="Palatino Linotype" w:cs="Arial"/>
          <w:lang w:val="es-ES_tradnl"/>
        </w:rPr>
        <w:t xml:space="preserve">de las constancias que obran </w:t>
      </w:r>
      <w:r w:rsidRPr="00132067">
        <w:rPr>
          <w:rFonts w:ascii="Palatino Linotype" w:eastAsia="Calibri" w:hAnsi="Palatino Linotype" w:cs="Arial"/>
          <w:lang w:val="es-ES_tradnl"/>
        </w:rPr>
        <w:t xml:space="preserve">en el SARCOEM, se advierte que </w:t>
      </w:r>
      <w:r w:rsidRPr="00D53925">
        <w:rPr>
          <w:rFonts w:ascii="Palatino Linotype" w:eastAsia="Calibri" w:hAnsi="Palatino Linotype" w:cs="Arial"/>
          <w:lang w:val="es-ES_tradnl"/>
        </w:rPr>
        <w:t xml:space="preserve">en fecha </w:t>
      </w:r>
      <w:r w:rsidR="00080E7F">
        <w:rPr>
          <w:rFonts w:ascii="Palatino Linotype" w:eastAsia="Calibri" w:hAnsi="Palatino Linotype" w:cs="Arial"/>
          <w:lang w:val="es-ES_tradnl"/>
        </w:rPr>
        <w:t>seis</w:t>
      </w:r>
      <w:r>
        <w:rPr>
          <w:rFonts w:ascii="Palatino Linotype" w:eastAsia="Calibri" w:hAnsi="Palatino Linotype" w:cs="Arial"/>
          <w:lang w:val="es-ES_tradnl"/>
        </w:rPr>
        <w:t xml:space="preserve"> de </w:t>
      </w:r>
      <w:r w:rsidR="00080E7F">
        <w:rPr>
          <w:rFonts w:ascii="Palatino Linotype" w:eastAsia="Calibri" w:hAnsi="Palatino Linotype" w:cs="Arial"/>
          <w:lang w:val="es-ES_tradnl"/>
        </w:rPr>
        <w:t>marzo</w:t>
      </w:r>
      <w:r>
        <w:rPr>
          <w:rFonts w:ascii="Palatino Linotype" w:eastAsia="Calibri" w:hAnsi="Palatino Linotype" w:cs="Arial"/>
          <w:lang w:val="es-ES_tradnl"/>
        </w:rPr>
        <w:t xml:space="preserve"> de dos mil </w:t>
      </w:r>
      <w:r w:rsidR="00080E7F">
        <w:rPr>
          <w:rFonts w:ascii="Palatino Linotype" w:eastAsia="Calibri" w:hAnsi="Palatino Linotype" w:cs="Arial"/>
          <w:lang w:val="es-ES_tradnl"/>
        </w:rPr>
        <w:t>veinticinco</w:t>
      </w:r>
      <w:r>
        <w:rPr>
          <w:rFonts w:ascii="Palatino Linotype" w:eastAsia="Calibri" w:hAnsi="Palatino Linotype" w:cs="Arial"/>
          <w:lang w:val="es-ES_tradnl"/>
        </w:rPr>
        <w:t>,</w:t>
      </w:r>
      <w:r w:rsidRPr="00132067">
        <w:rPr>
          <w:rFonts w:ascii="Palatino Linotype" w:eastAsia="Calibri" w:hAnsi="Palatino Linotype" w:cs="Arial"/>
          <w:lang w:val="es-ES_tradnl"/>
        </w:rPr>
        <w:t xml:space="preserve"> el Sujeto Obligado</w:t>
      </w:r>
      <w:r w:rsidRPr="00D53925">
        <w:rPr>
          <w:rFonts w:ascii="Palatino Linotype" w:eastAsia="Calibri" w:hAnsi="Palatino Linotype" w:cs="Arial"/>
          <w:lang w:val="es-ES_tradnl"/>
        </w:rPr>
        <w:t xml:space="preserve"> presentó su informe justificado a través del archivo electrónico denominado </w:t>
      </w:r>
      <w:r>
        <w:rPr>
          <w:rFonts w:ascii="Palatino Linotype" w:eastAsia="Calibri" w:hAnsi="Palatino Linotype" w:cs="Arial"/>
          <w:b/>
          <w:bCs/>
          <w:iCs/>
          <w:lang w:val="es-ES_tradnl"/>
        </w:rPr>
        <w:t>«</w:t>
      </w:r>
      <w:r w:rsidR="00080E7F">
        <w:rPr>
          <w:rFonts w:ascii="Palatino Linotype" w:eastAsia="Calibri" w:hAnsi="Palatino Linotype" w:cs="Arial"/>
          <w:b/>
          <w:bCs/>
          <w:iCs/>
          <w:lang w:val="es-ES_tradnl"/>
        </w:rPr>
        <w:t>MANIFESTACIONES TRANSPARENCIA.pdf</w:t>
      </w:r>
      <w:r>
        <w:rPr>
          <w:rFonts w:ascii="Palatino Linotype" w:eastAsia="Calibri" w:hAnsi="Palatino Linotype" w:cs="Arial"/>
          <w:b/>
          <w:bCs/>
          <w:iCs/>
          <w:lang w:val="es-ES_tradnl"/>
        </w:rPr>
        <w:t>»</w:t>
      </w:r>
      <w:r w:rsidRPr="00080E7F">
        <w:rPr>
          <w:rFonts w:ascii="Palatino Linotype" w:eastAsia="Calibri" w:hAnsi="Palatino Linotype" w:cs="Arial"/>
          <w:b/>
          <w:i/>
          <w:lang w:val="es-ES_tradnl"/>
        </w:rPr>
        <w:t>;</w:t>
      </w:r>
      <w:r w:rsidRPr="00D53925">
        <w:rPr>
          <w:rFonts w:ascii="Palatino Linotype" w:eastAsia="Calibri" w:hAnsi="Palatino Linotype" w:cs="Arial"/>
          <w:lang w:val="es-ES_tradnl"/>
        </w:rPr>
        <w:t xml:space="preserve"> por lo </w:t>
      </w:r>
      <w:r>
        <w:rPr>
          <w:rFonts w:ascii="Palatino Linotype" w:eastAsia="Calibri" w:hAnsi="Palatino Linotype" w:cs="Arial"/>
          <w:lang w:val="es-ES_tradnl"/>
        </w:rPr>
        <w:t>que en atención al artículo 185</w:t>
      </w:r>
      <w:r w:rsidRPr="00D53925">
        <w:rPr>
          <w:rFonts w:ascii="Palatino Linotype" w:eastAsia="Calibri" w:hAnsi="Palatino Linotype" w:cs="Arial"/>
          <w:lang w:val="es-ES_tradnl"/>
        </w:rPr>
        <w:t xml:space="preserve"> fracción III, de la Ley de Transparencia local, </w:t>
      </w:r>
      <w:r w:rsidRPr="00D53925">
        <w:rPr>
          <w:rFonts w:ascii="Palatino Linotype" w:eastAsia="Calibri" w:hAnsi="Palatino Linotype"/>
          <w:lang w:val="es-ES_tradnl" w:eastAsia="es-ES_tradnl"/>
        </w:rPr>
        <w:t>de aplicación supletoria</w:t>
      </w:r>
      <w:r w:rsidRPr="00D53925">
        <w:rPr>
          <w:rFonts w:ascii="Palatino Linotype" w:eastAsia="Calibri" w:hAnsi="Palatino Linotype" w:cs="Arial"/>
          <w:lang w:val="es-ES_tradnl"/>
        </w:rPr>
        <w:t xml:space="preserve"> a la ya citada Ley de Protección de Datos Personales en Posesión de Sujetos Obligados por disposición de su artículo 11</w:t>
      </w:r>
      <w:r>
        <w:rPr>
          <w:rFonts w:ascii="Palatino Linotype" w:eastAsia="Calibri" w:hAnsi="Palatino Linotype" w:cs="Arial"/>
          <w:lang w:val="es-ES_tradnl"/>
        </w:rPr>
        <w:t xml:space="preserve">, se puso a disposición del Recurrente en fecha diez de </w:t>
      </w:r>
      <w:r w:rsidR="00080E7F">
        <w:rPr>
          <w:rFonts w:ascii="Palatino Linotype" w:eastAsia="Calibri" w:hAnsi="Palatino Linotype" w:cs="Arial"/>
          <w:lang w:val="es-ES_tradnl"/>
        </w:rPr>
        <w:t>marzo</w:t>
      </w:r>
      <w:r>
        <w:rPr>
          <w:rFonts w:ascii="Palatino Linotype" w:eastAsia="Calibri" w:hAnsi="Palatino Linotype" w:cs="Arial"/>
          <w:lang w:val="es-ES_tradnl"/>
        </w:rPr>
        <w:t xml:space="preserve"> del año en curso.</w:t>
      </w:r>
    </w:p>
    <w:p w14:paraId="7943AABA" w14:textId="17645F9B" w:rsidR="00793C1A" w:rsidRPr="00C0775E" w:rsidRDefault="00793C1A" w:rsidP="007C1357">
      <w:pPr>
        <w:spacing w:line="360" w:lineRule="auto"/>
        <w:rPr>
          <w:rFonts w:ascii="Palatino Linotype" w:hAnsi="Palatino Linotype"/>
          <w:lang w:val="es-ES_tradnl"/>
        </w:rPr>
      </w:pPr>
    </w:p>
    <w:p w14:paraId="33F98BBF" w14:textId="167C52F9" w:rsidR="00DA297E" w:rsidRPr="00C0775E" w:rsidRDefault="00300132" w:rsidP="007C1357">
      <w:pPr>
        <w:spacing w:line="360" w:lineRule="auto"/>
        <w:jc w:val="both"/>
        <w:rPr>
          <w:rFonts w:ascii="Palatino Linotype" w:hAnsi="Palatino Linotype"/>
          <w:b/>
          <w:sz w:val="26"/>
          <w:szCs w:val="26"/>
          <w:lang w:val="es-ES_tradnl"/>
        </w:rPr>
      </w:pPr>
      <w:r>
        <w:rPr>
          <w:rFonts w:ascii="Palatino Linotype" w:hAnsi="Palatino Linotype" w:cs="Arial"/>
          <w:b/>
          <w:sz w:val="26"/>
          <w:szCs w:val="26"/>
          <w:lang w:val="es-ES_tradnl"/>
        </w:rPr>
        <w:t>NOVENO</w:t>
      </w:r>
      <w:r w:rsidR="00DA297E" w:rsidRPr="00C0775E">
        <w:rPr>
          <w:rFonts w:ascii="Palatino Linotype" w:hAnsi="Palatino Linotype"/>
          <w:b/>
          <w:sz w:val="26"/>
          <w:szCs w:val="26"/>
          <w:lang w:val="es-ES_tradnl"/>
        </w:rPr>
        <w:t>. Del cierre de instrucción.</w:t>
      </w:r>
    </w:p>
    <w:p w14:paraId="0772E0B4" w14:textId="10F7ECFA" w:rsidR="00DA297E" w:rsidRPr="00C0775E" w:rsidRDefault="00C24B94" w:rsidP="007C1357">
      <w:pPr>
        <w:spacing w:line="360" w:lineRule="auto"/>
        <w:jc w:val="both"/>
        <w:rPr>
          <w:rFonts w:ascii="Palatino Linotype" w:hAnsi="Palatino Linotype"/>
        </w:rPr>
      </w:pPr>
      <w:r w:rsidRPr="2B0D0589">
        <w:rPr>
          <w:rFonts w:ascii="Palatino Linotype" w:hAnsi="Palatino Linotype"/>
        </w:rPr>
        <w:t xml:space="preserve">Por lo anterior, en fecha </w:t>
      </w:r>
      <w:r w:rsidR="0771A70E" w:rsidRPr="2B0D0589">
        <w:rPr>
          <w:rFonts w:ascii="Palatino Linotype" w:hAnsi="Palatino Linotype"/>
        </w:rPr>
        <w:t>dieciocho</w:t>
      </w:r>
      <w:r w:rsidRPr="2B0D0589">
        <w:rPr>
          <w:rFonts w:ascii="Palatino Linotype" w:hAnsi="Palatino Linotype"/>
        </w:rPr>
        <w:t xml:space="preserve"> de </w:t>
      </w:r>
      <w:r w:rsidR="00080E7F" w:rsidRPr="2B0D0589">
        <w:rPr>
          <w:rFonts w:ascii="Palatino Linotype" w:hAnsi="Palatino Linotype"/>
        </w:rPr>
        <w:t>marzo</w:t>
      </w:r>
      <w:r w:rsidRPr="2B0D0589">
        <w:rPr>
          <w:rFonts w:ascii="Palatino Linotype" w:hAnsi="Palatino Linotype"/>
        </w:rPr>
        <w:t xml:space="preserve"> de dos mil </w:t>
      </w:r>
      <w:r w:rsidR="00080E7F" w:rsidRPr="2B0D0589">
        <w:rPr>
          <w:rFonts w:ascii="Palatino Linotype" w:hAnsi="Palatino Linotype"/>
        </w:rPr>
        <w:t>veinticinco</w:t>
      </w:r>
      <w:r w:rsidR="00DA297E" w:rsidRPr="2B0D0589">
        <w:rPr>
          <w:rFonts w:ascii="Palatino Linotype" w:hAnsi="Palatino Linotype"/>
        </w:rPr>
        <w:t>, mediante acuerdo de</w:t>
      </w:r>
      <w:r w:rsidR="00793C1A" w:rsidRPr="2B0D0589">
        <w:rPr>
          <w:rFonts w:ascii="Palatino Linotype" w:hAnsi="Palatino Linotype"/>
        </w:rPr>
        <w:t>l</w:t>
      </w:r>
      <w:r w:rsidR="00DA297E" w:rsidRPr="2B0D0589">
        <w:rPr>
          <w:rFonts w:ascii="Palatino Linotype" w:hAnsi="Palatino Linotype"/>
        </w:rPr>
        <w:t xml:space="preserve"> </w:t>
      </w:r>
      <w:r w:rsidR="00793C1A" w:rsidRPr="2B0D0589">
        <w:rPr>
          <w:rFonts w:ascii="Palatino Linotype" w:hAnsi="Palatino Linotype"/>
          <w:b/>
          <w:bCs/>
        </w:rPr>
        <w:t>Comisionad</w:t>
      </w:r>
      <w:r w:rsidR="002E6789" w:rsidRPr="2B0D0589">
        <w:rPr>
          <w:rFonts w:ascii="Palatino Linotype" w:hAnsi="Palatino Linotype"/>
          <w:b/>
          <w:bCs/>
        </w:rPr>
        <w:t xml:space="preserve">o </w:t>
      </w:r>
      <w:r w:rsidR="00793C1A" w:rsidRPr="2B0D0589">
        <w:rPr>
          <w:rFonts w:ascii="Palatino Linotype" w:hAnsi="Palatino Linotype"/>
          <w:b/>
          <w:bCs/>
        </w:rPr>
        <w:t>Presidente</w:t>
      </w:r>
      <w:r w:rsidR="00DA297E" w:rsidRPr="2B0D0589">
        <w:rPr>
          <w:rFonts w:ascii="Palatino Linotype" w:hAnsi="Palatino Linotype"/>
          <w:b/>
          <w:bCs/>
        </w:rPr>
        <w:t xml:space="preserve"> </w:t>
      </w:r>
      <w:r w:rsidR="00793C1A" w:rsidRPr="2B0D0589">
        <w:rPr>
          <w:rFonts w:ascii="Palatino Linotype" w:hAnsi="Palatino Linotype"/>
          <w:b/>
          <w:bCs/>
        </w:rPr>
        <w:t>José Martínez Vilchis</w:t>
      </w:r>
      <w:r w:rsidR="00DA297E" w:rsidRPr="2B0D0589">
        <w:rPr>
          <w:rFonts w:ascii="Palatino Linotype" w:hAnsi="Palatino Linotype"/>
        </w:rPr>
        <w:t>, una vez transcurrido el plazo otorgado a las partes para que manifestaran lo que a su derecho conviniera, ofrecieran pruebas que estimaran convenientes y rindieran alegatos, se decretó el cierre de instrucción,</w:t>
      </w:r>
      <w:r w:rsidRPr="2B0D0589">
        <w:rPr>
          <w:rFonts w:ascii="Palatino Linotype" w:hAnsi="Palatino Linotype"/>
        </w:rPr>
        <w:t xml:space="preserve"> en términos del artículo 185 f</w:t>
      </w:r>
      <w:r w:rsidR="00DA297E" w:rsidRPr="2B0D0589">
        <w:rPr>
          <w:rFonts w:ascii="Palatino Linotype" w:hAnsi="Palatino Linotype"/>
        </w:rPr>
        <w:t>racción VI, de la Ley de Transparencia y Acceso a la Información Pública del Estado de México y Municipios.</w:t>
      </w:r>
    </w:p>
    <w:p w14:paraId="4283FB13" w14:textId="2EF6055E" w:rsidR="00F1795F" w:rsidRPr="00C0775E" w:rsidRDefault="00F1795F" w:rsidP="007C1357">
      <w:pPr>
        <w:spacing w:line="360" w:lineRule="auto"/>
        <w:jc w:val="both"/>
        <w:rPr>
          <w:rFonts w:ascii="Palatino Linotype" w:hAnsi="Palatino Linotype"/>
          <w:lang w:val="es-ES_tradnl"/>
        </w:rPr>
      </w:pPr>
    </w:p>
    <w:p w14:paraId="55144A14" w14:textId="77777777" w:rsidR="00DA297E" w:rsidRPr="00C0775E" w:rsidRDefault="00DA297E" w:rsidP="007C1357">
      <w:pPr>
        <w:spacing w:line="360" w:lineRule="auto"/>
        <w:jc w:val="center"/>
        <w:rPr>
          <w:rFonts w:ascii="Palatino Linotype" w:eastAsia="Calibri" w:hAnsi="Palatino Linotype" w:cs="Arial"/>
          <w:b/>
          <w:sz w:val="28"/>
          <w:szCs w:val="28"/>
          <w:lang w:val="es-ES_tradnl"/>
        </w:rPr>
      </w:pPr>
      <w:r w:rsidRPr="00C0775E">
        <w:rPr>
          <w:rFonts w:ascii="Palatino Linotype" w:eastAsia="Calibri" w:hAnsi="Palatino Linotype" w:cs="Arial"/>
          <w:b/>
          <w:sz w:val="28"/>
          <w:szCs w:val="28"/>
          <w:lang w:val="es-ES_tradnl"/>
        </w:rPr>
        <w:t>C O N S I D E R A N D O</w:t>
      </w:r>
    </w:p>
    <w:p w14:paraId="066AB56A" w14:textId="77777777" w:rsidR="00DA297E" w:rsidRPr="00C0775E" w:rsidRDefault="00DA297E" w:rsidP="007C1357">
      <w:pPr>
        <w:spacing w:line="360" w:lineRule="auto"/>
        <w:jc w:val="both"/>
        <w:rPr>
          <w:rFonts w:ascii="Palatino Linotype" w:eastAsia="Calibri" w:hAnsi="Palatino Linotype"/>
          <w:b/>
          <w:lang w:val="es-ES_tradnl"/>
        </w:rPr>
      </w:pPr>
    </w:p>
    <w:p w14:paraId="46BE564F" w14:textId="77777777" w:rsidR="00DA297E" w:rsidRPr="00C0775E" w:rsidRDefault="00DA297E" w:rsidP="007C1357">
      <w:pPr>
        <w:spacing w:line="360" w:lineRule="auto"/>
        <w:jc w:val="both"/>
        <w:rPr>
          <w:rFonts w:ascii="Palatino Linotype" w:eastAsia="Calibri" w:hAnsi="Palatino Linotype"/>
          <w:sz w:val="26"/>
          <w:szCs w:val="26"/>
          <w:lang w:val="es-ES_tradnl"/>
        </w:rPr>
      </w:pPr>
      <w:r w:rsidRPr="00C0775E">
        <w:rPr>
          <w:rFonts w:ascii="Palatino Linotype" w:eastAsia="Calibri" w:hAnsi="Palatino Linotype"/>
          <w:b/>
          <w:sz w:val="26"/>
          <w:szCs w:val="26"/>
          <w:lang w:val="es-ES_tradnl"/>
        </w:rPr>
        <w:t>PRIMERO.</w:t>
      </w:r>
      <w:r w:rsidRPr="00C0775E">
        <w:rPr>
          <w:rFonts w:ascii="Palatino Linotype" w:eastAsia="Calibri" w:hAnsi="Palatino Linotype"/>
          <w:sz w:val="26"/>
          <w:szCs w:val="26"/>
          <w:lang w:val="es-ES_tradnl"/>
        </w:rPr>
        <w:t xml:space="preserve"> </w:t>
      </w:r>
      <w:r w:rsidRPr="00C0775E">
        <w:rPr>
          <w:rFonts w:ascii="Palatino Linotype" w:eastAsia="Calibri" w:hAnsi="Palatino Linotype"/>
          <w:b/>
          <w:sz w:val="26"/>
          <w:szCs w:val="26"/>
          <w:lang w:val="es-ES_tradnl"/>
        </w:rPr>
        <w:t>De la Competencia</w:t>
      </w:r>
      <w:r w:rsidRPr="00C0775E">
        <w:rPr>
          <w:rFonts w:ascii="Palatino Linotype" w:eastAsia="Calibri" w:hAnsi="Palatino Linotype"/>
          <w:sz w:val="26"/>
          <w:szCs w:val="26"/>
          <w:lang w:val="es-ES_tradnl"/>
        </w:rPr>
        <w:t xml:space="preserve">. </w:t>
      </w:r>
    </w:p>
    <w:p w14:paraId="0F01F463" w14:textId="405D7542" w:rsidR="00DA297E" w:rsidRPr="00C0775E" w:rsidRDefault="00793C1A" w:rsidP="007C1357">
      <w:pPr>
        <w:spacing w:line="360" w:lineRule="auto"/>
        <w:jc w:val="both"/>
        <w:rPr>
          <w:rFonts w:ascii="Palatino Linotype" w:eastAsia="Calibri" w:hAnsi="Palatino Linotype" w:cs="Arial"/>
          <w:lang w:val="es-ES_tradnl"/>
        </w:rPr>
      </w:pPr>
      <w:r w:rsidRPr="00C0775E">
        <w:rPr>
          <w:rFonts w:ascii="Palatino Linotype" w:eastAsia="Calibri" w:hAnsi="Palatino Linotype"/>
          <w:lang w:val="es-ES_tradnl"/>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w:t>
      </w:r>
      <w:r w:rsidR="00C24B94">
        <w:rPr>
          <w:rFonts w:ascii="Palatino Linotype" w:eastAsia="Calibri" w:hAnsi="Palatino Linotype"/>
          <w:lang w:val="es-ES_tradnl"/>
        </w:rPr>
        <w:t>igésimo tercero y trigésimo cuarto</w:t>
      </w:r>
      <w:r w:rsidRPr="00C0775E">
        <w:rPr>
          <w:rFonts w:ascii="Palatino Linotype" w:eastAsia="Calibri" w:hAnsi="Palatino Linotype"/>
          <w:lang w:val="es-ES_tradnl"/>
        </w:rPr>
        <w:t>, fracciones IV y V, de la Constitución Política del Estado Libre y Soberano de México; artículos 1, 2 fracción II, 13, 29, 36 fracciones I y II, 176, 178, 179, 181 párrafo tercero</w:t>
      </w:r>
      <w:r w:rsidR="00DA297E" w:rsidRPr="00C0775E">
        <w:rPr>
          <w:rFonts w:ascii="Palatino Linotype" w:eastAsia="Calibri" w:hAnsi="Palatino Linotype"/>
          <w:lang w:val="es-ES_tradnl"/>
        </w:rPr>
        <w:t xml:space="preserve">; concatenado con los artículos 1, 81, 82 fracciones I y III, 119, 127, 128 y 129, de la Ley de Protección de Datos Personales en Posesión de Sujetos Obligados del Estado de México y Municipios; 1, 2, fracción II, 13, 29, </w:t>
      </w:r>
      <w:r w:rsidR="00DA297E" w:rsidRPr="00C0775E">
        <w:rPr>
          <w:rFonts w:ascii="Palatino Linotype" w:eastAsia="Calibri" w:hAnsi="Palatino Linotype" w:cs="Arial"/>
          <w:lang w:val="es-ES_tradnl"/>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59092BB7" w14:textId="77777777" w:rsidR="00DA297E" w:rsidRPr="00C0775E" w:rsidRDefault="00DA297E" w:rsidP="007C1357">
      <w:pPr>
        <w:spacing w:line="360" w:lineRule="auto"/>
        <w:jc w:val="both"/>
        <w:rPr>
          <w:rFonts w:ascii="Palatino Linotype" w:eastAsia="Calibri" w:hAnsi="Palatino Linotype" w:cs="Arial"/>
          <w:lang w:val="es-ES_tradnl"/>
        </w:rPr>
      </w:pPr>
    </w:p>
    <w:p w14:paraId="4FDEFCB2" w14:textId="77777777" w:rsidR="00DA297E" w:rsidRPr="00C0775E" w:rsidRDefault="00DA297E" w:rsidP="007C1357">
      <w:pPr>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Aunado a lo anterior, este Órgano Garante estima pertinente realizar un pronunciamiento ya que consientes de la situación que se vive en la actualidad a fin de otorgarle a los ciudadanos herramientas ágiles y accesibles para el ejercicio de los </w:t>
      </w:r>
      <w:r w:rsidRPr="00C0775E">
        <w:rPr>
          <w:rFonts w:ascii="Palatino Linotype" w:eastAsia="Calibri" w:hAnsi="Palatino Linotype" w:cs="Arial"/>
          <w:lang w:val="es-ES_tradnl"/>
        </w:rPr>
        <w:lastRenderedPageBreak/>
        <w:t>derechos humanos que se tutelan, se considera que a pesar de las condiciones a las que nos enfrentamos, se cuentan con las herramientas técnicas y tecnológicas necesarias que eviten mermar el ejercicio de los derechos correspondientes, sin que ello implique el poner en riesgo el diverso derecho a la salud de todos los partícipes en los procesos que conllevan.</w:t>
      </w:r>
    </w:p>
    <w:p w14:paraId="3891241D" w14:textId="77777777" w:rsidR="00DA297E" w:rsidRPr="00C0775E" w:rsidRDefault="00DA297E" w:rsidP="007C1357">
      <w:pPr>
        <w:spacing w:line="360" w:lineRule="auto"/>
        <w:jc w:val="both"/>
        <w:rPr>
          <w:rFonts w:ascii="Palatino Linotype" w:eastAsia="Calibri" w:hAnsi="Palatino Linotype" w:cs="Arial"/>
          <w:lang w:val="es-ES_tradnl"/>
        </w:rPr>
      </w:pPr>
    </w:p>
    <w:p w14:paraId="33233225" w14:textId="77777777" w:rsidR="00DA297E" w:rsidRPr="00C0775E" w:rsidRDefault="00DA297E" w:rsidP="007C1357">
      <w:pPr>
        <w:widowControl w:val="0"/>
        <w:autoSpaceDE w:val="0"/>
        <w:autoSpaceDN w:val="0"/>
        <w:adjustRightInd w:val="0"/>
        <w:spacing w:line="360" w:lineRule="auto"/>
        <w:jc w:val="both"/>
        <w:rPr>
          <w:rFonts w:ascii="Palatino Linotype" w:eastAsia="Calibri" w:hAnsi="Palatino Linotype" w:cs="Arial"/>
          <w:b/>
          <w:sz w:val="26"/>
          <w:szCs w:val="26"/>
          <w:lang w:val="es-ES_tradnl"/>
        </w:rPr>
      </w:pPr>
      <w:r w:rsidRPr="00C0775E">
        <w:rPr>
          <w:rFonts w:ascii="Palatino Linotype" w:eastAsia="Calibri" w:hAnsi="Palatino Linotype"/>
          <w:b/>
          <w:sz w:val="26"/>
          <w:szCs w:val="26"/>
          <w:lang w:val="es-ES_tradnl"/>
        </w:rPr>
        <w:t>SEGUNDO</w:t>
      </w:r>
      <w:r w:rsidRPr="00C0775E">
        <w:rPr>
          <w:rFonts w:ascii="Palatino Linotype" w:eastAsia="Calibri" w:hAnsi="Palatino Linotype" w:cs="Arial"/>
          <w:b/>
          <w:sz w:val="26"/>
          <w:szCs w:val="26"/>
          <w:lang w:val="es-ES_tradnl"/>
        </w:rPr>
        <w:t>. Sobre los alcances del recurso de revisión.</w:t>
      </w:r>
    </w:p>
    <w:p w14:paraId="68478576" w14:textId="5BCF36FA" w:rsidR="00DA297E" w:rsidRPr="00C0775E"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El </w:t>
      </w:r>
      <w:r w:rsidRPr="00C0775E">
        <w:rPr>
          <w:rFonts w:ascii="Palatino Linotype" w:eastAsia="Calibri" w:hAnsi="Palatino Linotype"/>
          <w:lang w:val="es-ES_tradnl"/>
        </w:rPr>
        <w:t>recurso</w:t>
      </w:r>
      <w:r w:rsidRPr="00C0775E">
        <w:rPr>
          <w:rFonts w:ascii="Palatino Linotype" w:eastAsia="Calibri" w:hAnsi="Palatino Linotype" w:cs="Arial"/>
          <w:lang w:val="es-ES_tradn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377D0D3B" w14:textId="77777777" w:rsidR="00F808D3" w:rsidRPr="00C0775E" w:rsidRDefault="00F808D3" w:rsidP="007C1357">
      <w:pPr>
        <w:widowControl w:val="0"/>
        <w:autoSpaceDE w:val="0"/>
        <w:autoSpaceDN w:val="0"/>
        <w:adjustRightInd w:val="0"/>
        <w:spacing w:line="360" w:lineRule="auto"/>
        <w:jc w:val="both"/>
        <w:rPr>
          <w:rFonts w:ascii="Palatino Linotype" w:eastAsia="Calibri" w:hAnsi="Palatino Linotype" w:cs="Arial"/>
          <w:lang w:val="es-ES_tradnl"/>
        </w:rPr>
      </w:pPr>
    </w:p>
    <w:p w14:paraId="1AD7FFC6" w14:textId="5371664D" w:rsidR="00DA297E" w:rsidRPr="00C0775E" w:rsidRDefault="00DA297E" w:rsidP="00F808D3">
      <w:pPr>
        <w:pStyle w:val="Sinespaciado"/>
        <w:rPr>
          <w:rFonts w:eastAsia="Calibri"/>
          <w:lang w:val="es-ES_tradnl"/>
        </w:rPr>
      </w:pPr>
      <w:r w:rsidRPr="00C0775E">
        <w:rPr>
          <w:rFonts w:eastAsia="Calibri"/>
          <w:b/>
          <w:lang w:val="es-ES_tradnl"/>
        </w:rPr>
        <w:t xml:space="preserve">Artículo 128. </w:t>
      </w:r>
      <w:r w:rsidRPr="00C0775E">
        <w:rPr>
          <w:rFonts w:eastAsia="Calibri"/>
          <w:u w:val="single"/>
          <w:lang w:val="es-ES_tradnl"/>
        </w:rPr>
        <w:t>El titular, por sí mismo o a través de su representante, podrán interponer un recurso de revisión ante el Instituto</w:t>
      </w:r>
      <w:r w:rsidRPr="00C0775E">
        <w:rPr>
          <w:rFonts w:eastAsia="Calibri"/>
          <w:lang w:val="es-ES_tradnl"/>
        </w:rPr>
        <w:t xml:space="preserve"> o la Unidad de Transparencia del responsable que haya conocido de la solicitud para el ejercicio de los derechos ARCO, </w:t>
      </w:r>
      <w:r w:rsidRPr="00C0775E">
        <w:rPr>
          <w:rFonts w:eastAsia="Calibri"/>
          <w:b/>
          <w:u w:val="single"/>
          <w:lang w:val="es-ES_tradnl"/>
        </w:rPr>
        <w:t>dentro de un plazo que no podrá exceder de quince días contados a partir del siguiente a la fecha de la notificación de la respuesta</w:t>
      </w:r>
      <w:r w:rsidRPr="00C0775E">
        <w:rPr>
          <w:rFonts w:eastAsia="Calibri"/>
          <w:lang w:val="es-ES_tradnl"/>
        </w:rPr>
        <w:t xml:space="preserve">. </w:t>
      </w:r>
    </w:p>
    <w:p w14:paraId="6B7C04BA" w14:textId="77777777" w:rsidR="00DA297E" w:rsidRPr="00C0775E" w:rsidRDefault="00DA297E" w:rsidP="00F808D3">
      <w:pPr>
        <w:pStyle w:val="Sinespaciado"/>
        <w:rPr>
          <w:rFonts w:eastAsia="Calibri"/>
          <w:lang w:val="es-ES_tradnl"/>
        </w:rPr>
      </w:pPr>
    </w:p>
    <w:p w14:paraId="0FCE3D72" w14:textId="43506439" w:rsidR="00DA297E" w:rsidRPr="00C0775E" w:rsidRDefault="00DA297E" w:rsidP="00F808D3">
      <w:pPr>
        <w:pStyle w:val="Sinespaciado"/>
        <w:rPr>
          <w:rFonts w:eastAsia="Calibri"/>
        </w:rPr>
      </w:pPr>
      <w:r w:rsidRPr="28CAB825">
        <w:rPr>
          <w:rFonts w:eastAsia="Calibri"/>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3731DCA" w14:textId="77777777" w:rsidR="00DA297E" w:rsidRPr="00C0775E"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p>
    <w:p w14:paraId="424A9BEF" w14:textId="31C67ADC" w:rsidR="00DA297E" w:rsidRPr="00C0775E"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En esa tesitura, atendiendo a que </w:t>
      </w:r>
      <w:r w:rsidR="00F808D3" w:rsidRPr="00C0775E">
        <w:rPr>
          <w:rFonts w:ascii="Palatino Linotype" w:eastAsia="Calibri" w:hAnsi="Palatino Linotype" w:cs="Arial"/>
          <w:lang w:val="es-ES_tradnl"/>
        </w:rPr>
        <w:t>e</w:t>
      </w:r>
      <w:r w:rsidRPr="00C0775E">
        <w:rPr>
          <w:rFonts w:ascii="Palatino Linotype" w:eastAsia="Calibri" w:hAnsi="Palatino Linotype" w:cs="Arial"/>
          <w:lang w:val="es-ES_tradnl"/>
        </w:rPr>
        <w:t xml:space="preserve">l Sujeto Obligado notificó la respuesta a la </w:t>
      </w:r>
      <w:r w:rsidRPr="00C0775E">
        <w:rPr>
          <w:rFonts w:ascii="Palatino Linotype" w:eastAsia="Calibri" w:hAnsi="Palatino Linotype"/>
          <w:lang w:val="es-ES_tradnl"/>
        </w:rPr>
        <w:t>solicitud de acceso a datos personales</w:t>
      </w:r>
      <w:r w:rsidRPr="00C0775E">
        <w:rPr>
          <w:rFonts w:ascii="Palatino Linotype" w:eastAsia="Calibri" w:hAnsi="Palatino Linotype" w:cs="Arial"/>
          <w:lang w:val="es-ES_tradnl"/>
        </w:rPr>
        <w:t xml:space="preserve"> el </w:t>
      </w:r>
      <w:r w:rsidRPr="005573CE">
        <w:rPr>
          <w:rFonts w:ascii="Palatino Linotype" w:eastAsia="Calibri" w:hAnsi="Palatino Linotype" w:cs="Arial"/>
          <w:lang w:val="es-ES_tradnl"/>
        </w:rPr>
        <w:t>día</w:t>
      </w:r>
      <w:r w:rsidRPr="005573CE">
        <w:rPr>
          <w:rFonts w:ascii="Palatino Linotype" w:eastAsia="Calibri" w:hAnsi="Palatino Linotype" w:cs="Arial"/>
          <w:b/>
          <w:lang w:val="es-ES_tradnl"/>
        </w:rPr>
        <w:t xml:space="preserve"> </w:t>
      </w:r>
      <w:r w:rsidR="00F808D3" w:rsidRPr="005573CE">
        <w:rPr>
          <w:rFonts w:ascii="Palatino Linotype" w:eastAsia="Calibri" w:hAnsi="Palatino Linotype" w:cs="Arial"/>
          <w:b/>
          <w:lang w:val="es-ES_tradnl"/>
        </w:rPr>
        <w:t>veint</w:t>
      </w:r>
      <w:r w:rsidR="007A63E3" w:rsidRPr="005573CE">
        <w:rPr>
          <w:rFonts w:ascii="Palatino Linotype" w:eastAsia="Calibri" w:hAnsi="Palatino Linotype" w:cs="Arial"/>
          <w:b/>
          <w:lang w:val="es-ES_tradnl"/>
        </w:rPr>
        <w:t>e de enero de dos mil veinticinco</w:t>
      </w:r>
      <w:r w:rsidRPr="005573CE">
        <w:rPr>
          <w:rFonts w:ascii="Palatino Linotype" w:eastAsia="Calibri" w:hAnsi="Palatino Linotype" w:cs="Arial"/>
          <w:lang w:val="es-ES_tradnl"/>
        </w:rPr>
        <w:t>, el</w:t>
      </w:r>
      <w:r w:rsidRPr="00C0775E">
        <w:rPr>
          <w:rFonts w:ascii="Palatino Linotype" w:eastAsia="Calibri" w:hAnsi="Palatino Linotype" w:cs="Arial"/>
          <w:lang w:val="es-ES_tradnl"/>
        </w:rPr>
        <w:t xml:space="preserve"> plazo de quince días hábiles previsto en el artículo 128, de la Ley de Protección de Datos Personales en Posesión de Sujetos Obligados del Estado de México y Municipios; en ese </w:t>
      </w:r>
      <w:r w:rsidRPr="00C0775E">
        <w:rPr>
          <w:rFonts w:ascii="Palatino Linotype" w:eastAsia="Calibri" w:hAnsi="Palatino Linotype" w:cs="Arial"/>
          <w:lang w:val="es-ES_tradnl"/>
        </w:rPr>
        <w:lastRenderedPageBreak/>
        <w:t xml:space="preserve">tenor, si el recurso de revisión que nos ocupa, se interpuso </w:t>
      </w:r>
      <w:r w:rsidR="00F808D3" w:rsidRPr="00C0775E">
        <w:rPr>
          <w:rFonts w:ascii="Palatino Linotype" w:eastAsia="Calibri" w:hAnsi="Palatino Linotype" w:cs="Arial"/>
          <w:lang w:val="es-ES_tradnl"/>
        </w:rPr>
        <w:t xml:space="preserve">el mismo día de la emisión </w:t>
      </w:r>
      <w:r w:rsidRPr="00C0775E">
        <w:rPr>
          <w:rFonts w:ascii="Palatino Linotype" w:eastAsia="Calibri" w:hAnsi="Palatino Linotype" w:cs="Arial"/>
          <w:lang w:val="es-ES_tradnl"/>
        </w:rPr>
        <w:t>de la respuesta por parte del Sujeto Obligado, éste se encuentra dentro de los márgenes temporales previstos en el artículo antes mencionado.</w:t>
      </w:r>
    </w:p>
    <w:p w14:paraId="434CF997" w14:textId="77777777" w:rsidR="00DA297E" w:rsidRPr="00C0775E"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p>
    <w:p w14:paraId="23F62D3F"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b/>
          <w:sz w:val="28"/>
          <w:szCs w:val="28"/>
          <w:lang w:val="es-ES_tradnl"/>
        </w:rPr>
      </w:pPr>
      <w:r w:rsidRPr="006B3676">
        <w:rPr>
          <w:rFonts w:ascii="Palatino Linotype" w:hAnsi="Palatino Linotype" w:cs="Arial"/>
          <w:b/>
          <w:sz w:val="28"/>
          <w:szCs w:val="28"/>
          <w:lang w:val="es-ES_tradnl"/>
        </w:rPr>
        <w:t xml:space="preserve">TERCERO. Estudio de improcedencia y sobreseimiento. </w:t>
      </w:r>
    </w:p>
    <w:p w14:paraId="363287B4"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Este Instituto, previo al análisis de fondo del presente asunto, realizará el estudio preferente y oficioso de las causales de sobreseimiento e improcedencia, en lo que corresponde a las causales de improcedencia, el artículo 112, de la Ley General de Protección de Datos en Posesión de Sujetos Obligados, indica las siguientes:</w:t>
      </w:r>
    </w:p>
    <w:p w14:paraId="4B8CD89C"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755EB8CD"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bCs/>
          <w:i/>
          <w:sz w:val="22"/>
          <w:szCs w:val="28"/>
          <w:lang w:val="es-ES_tradnl"/>
        </w:rPr>
      </w:pPr>
      <w:r w:rsidRPr="006B3676">
        <w:rPr>
          <w:rFonts w:ascii="Palatino Linotype" w:hAnsi="Palatino Linotype" w:cs="Arial"/>
          <w:b/>
          <w:i/>
          <w:sz w:val="22"/>
          <w:szCs w:val="28"/>
          <w:lang w:val="es-ES_tradnl"/>
        </w:rPr>
        <w:t xml:space="preserve">Artículo 112. </w:t>
      </w:r>
      <w:r w:rsidRPr="006B3676">
        <w:rPr>
          <w:rFonts w:ascii="Palatino Linotype" w:hAnsi="Palatino Linotype" w:cs="Arial"/>
          <w:bCs/>
          <w:i/>
          <w:sz w:val="22"/>
          <w:szCs w:val="28"/>
          <w:lang w:val="es-ES_tradnl"/>
        </w:rPr>
        <w:t>El recurso de revisión podrá ser desechado por improcedente cuando:</w:t>
      </w:r>
    </w:p>
    <w:p w14:paraId="4DE49266"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I. Sea extemporáneo por haber transcurrido el plazo establecido en el artículo 103 de la presente Ley;</w:t>
      </w:r>
    </w:p>
    <w:p w14:paraId="54D12BB2"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II. El titular o su representante no acrediten debidamente su identidad y personalidad de este último;</w:t>
      </w:r>
    </w:p>
    <w:p w14:paraId="778620EE" w14:textId="43552D70"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2"/>
        </w:rPr>
      </w:pPr>
      <w:r w:rsidRPr="28CAB825">
        <w:rPr>
          <w:rFonts w:ascii="Palatino Linotype" w:hAnsi="Palatino Linotype" w:cs="Arial"/>
          <w:i/>
          <w:sz w:val="22"/>
          <w:szCs w:val="22"/>
        </w:rPr>
        <w:t>III. El Instituto o, en su caso, los Organismos garantes hayan resuelto anteriormente en definitiva sobre la materia del mismo;</w:t>
      </w:r>
    </w:p>
    <w:p w14:paraId="6FAA3F6C" w14:textId="35BCF4B6"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IV. No se actualice alguna de las causales del recurso de revisión previstas en el artículo 104 de la presente Ley;</w:t>
      </w:r>
    </w:p>
    <w:p w14:paraId="715000E7" w14:textId="2D04A77C"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V. Se esté tramitando ante los tribunales competentes algún recurso o medio de defensa interpuesto por el recurrente, o en su caso, por el tercero interesado, en contra del acto recurrido ante el Instituto o los Organismos garantes, según corresponda;</w:t>
      </w:r>
    </w:p>
    <w:p w14:paraId="253F82B3" w14:textId="269A10D2"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VI. El recurrente modifique o amplíe su petición en el recurso de revisión, únicamente respecto de los nuevos contenidos, o </w:t>
      </w:r>
    </w:p>
    <w:p w14:paraId="1085CC58"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VII. El recurrente no acredite interés jurídico.</w:t>
      </w:r>
    </w:p>
    <w:p w14:paraId="77FD1219"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42AC49E2" w14:textId="50082CCC"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Con base en lo establecido en el precepto de referencia, a la fecha que se resuelve no se actualizan las caus</w:t>
      </w:r>
      <w:r w:rsidR="00672752">
        <w:rPr>
          <w:rFonts w:ascii="Palatino Linotype" w:hAnsi="Palatino Linotype" w:cs="Arial"/>
          <w:szCs w:val="28"/>
          <w:lang w:val="es-ES_tradnl"/>
        </w:rPr>
        <w:t>ales de improcedencia; ya que el</w:t>
      </w:r>
      <w:r w:rsidRPr="006B3676">
        <w:rPr>
          <w:rFonts w:ascii="Palatino Linotype" w:hAnsi="Palatino Linotype" w:cs="Arial"/>
          <w:szCs w:val="28"/>
          <w:lang w:val="es-ES_tradnl"/>
        </w:rPr>
        <w:t xml:space="preserve"> Recurrente presentó su recurso dentro del término de quince días otorgado por la Ley; no se tiene conocimiento de que </w:t>
      </w:r>
      <w:r w:rsidRPr="006B3676">
        <w:rPr>
          <w:rFonts w:ascii="Palatino Linotype" w:hAnsi="Palatino Linotype" w:cs="Arial"/>
          <w:szCs w:val="28"/>
          <w:lang w:val="es-ES_tradnl"/>
        </w:rPr>
        <w:lastRenderedPageBreak/>
        <w:t xml:space="preserve">el Instituto o, en su caso, los Organismos garantes hayan resuelto anteriormente en definitiva sobre la materia del mismo; se actualizó la causal de procedencia establecida en la fracción II, del artículo 103, de la Ley General de Protección de Datos en Posesión de Sujetos  Obligados: no se tiene conocimiento de que se esté tramitando ante los tribunales competentes algún recurso o medio de defensa interpuesto por la Recurrente, o en su caso, por el tercero interesado, en contra del acto recurrido ante el Instituto o los Organismos garantes, el particular no amplió su solicitud a través de su medio de impugnación y no fue necesario que la </w:t>
      </w:r>
      <w:r w:rsidRPr="006B3676">
        <w:rPr>
          <w:rFonts w:ascii="Palatino Linotype" w:hAnsi="Palatino Linotype" w:cs="Arial"/>
          <w:b/>
          <w:szCs w:val="28"/>
          <w:lang w:val="es-ES_tradnl"/>
        </w:rPr>
        <w:t>Recurrente</w:t>
      </w:r>
      <w:r w:rsidRPr="006B3676">
        <w:rPr>
          <w:rFonts w:ascii="Palatino Linotype" w:hAnsi="Palatino Linotype" w:cs="Arial"/>
          <w:szCs w:val="28"/>
          <w:lang w:val="es-ES_tradnl"/>
        </w:rPr>
        <w:t xml:space="preserve"> acreditara su interés jurídico, ya que es la titular de los datos personales solicitados.</w:t>
      </w:r>
    </w:p>
    <w:p w14:paraId="669B463B"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6DE22B2F"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Por otra parte, el artículo 113, de la Ley General de Protección de Datos en Posesión de Sujetos Obligados, consagra lo relativo al sobreseimiento, en los términos siguientes:</w:t>
      </w:r>
    </w:p>
    <w:p w14:paraId="189F9D8B"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3E6B8D87"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b/>
          <w:i/>
          <w:sz w:val="22"/>
          <w:szCs w:val="28"/>
          <w:lang w:val="es-ES_tradnl"/>
        </w:rPr>
        <w:t xml:space="preserve">Artículo 113. </w:t>
      </w:r>
      <w:r w:rsidRPr="006B3676">
        <w:rPr>
          <w:rFonts w:ascii="Palatino Linotype" w:hAnsi="Palatino Linotype" w:cs="Arial"/>
          <w:i/>
          <w:sz w:val="22"/>
          <w:szCs w:val="28"/>
          <w:lang w:val="es-ES_tradnl"/>
        </w:rPr>
        <w:t xml:space="preserve">El recurso de revisión solo podrá ser sobreseído cuando: </w:t>
      </w:r>
    </w:p>
    <w:p w14:paraId="3F213814"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 El recurrente se desista expresamente; </w:t>
      </w:r>
    </w:p>
    <w:p w14:paraId="78712E67"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II. El recurrente fallezca; </w:t>
      </w:r>
    </w:p>
    <w:p w14:paraId="290E2F23"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III. Admitido el recurso de revisión, se actualice alguna causal de improcedencia en los términos de la presente Ley; </w:t>
      </w:r>
    </w:p>
    <w:p w14:paraId="20332629"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 xml:space="preserve">IV. El responsable modifique o revoque su respuesta de tal manera que el recurso de revisión quede sin materia, o </w:t>
      </w:r>
    </w:p>
    <w:p w14:paraId="654BC191" w14:textId="77777777" w:rsidR="006B3676" w:rsidRPr="006B3676" w:rsidRDefault="006B3676" w:rsidP="006B3676">
      <w:pPr>
        <w:widowControl w:val="0"/>
        <w:autoSpaceDE w:val="0"/>
        <w:autoSpaceDN w:val="0"/>
        <w:adjustRightInd w:val="0"/>
        <w:ind w:left="567" w:right="618"/>
        <w:jc w:val="both"/>
        <w:rPr>
          <w:rFonts w:ascii="Palatino Linotype" w:hAnsi="Palatino Linotype" w:cs="Arial"/>
          <w:i/>
          <w:sz w:val="22"/>
          <w:szCs w:val="28"/>
          <w:lang w:val="es-ES_tradnl"/>
        </w:rPr>
      </w:pPr>
      <w:r w:rsidRPr="006B3676">
        <w:rPr>
          <w:rFonts w:ascii="Palatino Linotype" w:hAnsi="Palatino Linotype" w:cs="Arial"/>
          <w:i/>
          <w:sz w:val="22"/>
          <w:szCs w:val="28"/>
          <w:lang w:val="es-ES_tradnl"/>
        </w:rPr>
        <w:t>V. Quede sin materia el recurso de revisión</w:t>
      </w:r>
    </w:p>
    <w:p w14:paraId="264DCD3D"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11C776C7" w14:textId="6DE25548" w:rsidR="006B3676" w:rsidRPr="00C0775E"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r w:rsidRPr="006B3676">
        <w:rPr>
          <w:rFonts w:ascii="Palatino Linotype" w:hAnsi="Palatino Linotype" w:cs="Arial"/>
          <w:szCs w:val="28"/>
          <w:lang w:val="es-ES_tradnl"/>
        </w:rPr>
        <w:t xml:space="preserve">Del análisis  realizado por este Instituto, no se actualiza ninguna de las causales de sobreseimiento mencionadas; ya que la Recurrente no se ha desistido del recurso, no existe constancia que permita inferir que el particular haya fallecido; asimismo, no se advierte que el recurso de revisión actualice alguna causal de improcedencia establecida en el artículo 112, de la Ley citada, asimismo el responsable no modificó su respuesta de </w:t>
      </w:r>
      <w:r w:rsidRPr="006B3676">
        <w:rPr>
          <w:rFonts w:ascii="Palatino Linotype" w:hAnsi="Palatino Linotype" w:cs="Arial"/>
          <w:szCs w:val="28"/>
          <w:lang w:val="es-ES_tradnl"/>
        </w:rPr>
        <w:lastRenderedPageBreak/>
        <w:t>tal manera que haya dejado sin materia el presente recurso de revisión ni que se haya quedado sin materia por alguna otra circunstancia, siendo oportuno entrar al estudio de fondo del presente asunto.</w:t>
      </w:r>
    </w:p>
    <w:p w14:paraId="1EEEA4D8"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szCs w:val="28"/>
          <w:lang w:val="es-ES_tradnl"/>
        </w:rPr>
      </w:pPr>
    </w:p>
    <w:p w14:paraId="2C246D10" w14:textId="77777777" w:rsidR="006B3676" w:rsidRPr="006B3676" w:rsidRDefault="006B3676" w:rsidP="006B3676">
      <w:pPr>
        <w:widowControl w:val="0"/>
        <w:autoSpaceDE w:val="0"/>
        <w:autoSpaceDN w:val="0"/>
        <w:adjustRightInd w:val="0"/>
        <w:spacing w:line="360" w:lineRule="auto"/>
        <w:jc w:val="both"/>
        <w:rPr>
          <w:rFonts w:ascii="Palatino Linotype" w:hAnsi="Palatino Linotype" w:cs="Arial"/>
          <w:b/>
          <w:sz w:val="28"/>
          <w:szCs w:val="28"/>
          <w:lang w:val="es-ES_tradnl"/>
        </w:rPr>
      </w:pPr>
      <w:r w:rsidRPr="006B3676">
        <w:rPr>
          <w:rFonts w:ascii="Palatino Linotype" w:hAnsi="Palatino Linotype" w:cs="Arial"/>
          <w:b/>
          <w:sz w:val="28"/>
          <w:szCs w:val="28"/>
          <w:lang w:val="es-ES_tradnl"/>
        </w:rPr>
        <w:t>CUARTO. Estudio y resolución del asunto</w:t>
      </w:r>
      <w:r w:rsidRPr="006B3676">
        <w:rPr>
          <w:rFonts w:ascii="Palatino Linotype" w:hAnsi="Palatino Linotype"/>
          <w:b/>
          <w:sz w:val="28"/>
          <w:szCs w:val="28"/>
          <w:lang w:val="es-ES_tradnl"/>
        </w:rPr>
        <w:t xml:space="preserve">. </w:t>
      </w:r>
    </w:p>
    <w:p w14:paraId="2B26AB76" w14:textId="09A9A9AC" w:rsidR="00DA297E" w:rsidRPr="00C0775E" w:rsidRDefault="00DA297E" w:rsidP="007C1357">
      <w:pPr>
        <w:widowControl w:val="0"/>
        <w:autoSpaceDE w:val="0"/>
        <w:autoSpaceDN w:val="0"/>
        <w:adjustRightInd w:val="0"/>
        <w:spacing w:line="360" w:lineRule="auto"/>
        <w:jc w:val="both"/>
        <w:rPr>
          <w:rFonts w:ascii="Palatino Linotype" w:eastAsia="Calibri" w:hAnsi="Palatino Linotype" w:cs="Arial"/>
          <w:lang w:val="es-ES_tradnl"/>
        </w:rPr>
      </w:pPr>
      <w:r w:rsidRPr="00C0775E">
        <w:rPr>
          <w:rFonts w:ascii="Palatino Linotype" w:eastAsia="Calibri" w:hAnsi="Palatino Linotype" w:cs="Arial"/>
          <w:lang w:val="es-ES_tradnl"/>
        </w:rPr>
        <w:t xml:space="preserve">En una aproximación inicial, vale la pena mencionar que el ejercicio de los derechos </w:t>
      </w:r>
      <w:r w:rsidRPr="00C0775E">
        <w:rPr>
          <w:rFonts w:ascii="Palatino Linotype" w:eastAsia="Calibri" w:hAnsi="Palatino Linotype" w:cs="Arial"/>
          <w:bCs/>
          <w:lang w:val="es-ES_tradnl"/>
        </w:rPr>
        <w:t xml:space="preserve">ARCO </w:t>
      </w:r>
      <w:r w:rsidRPr="00C0775E">
        <w:rPr>
          <w:rFonts w:ascii="Palatino Linotype" w:eastAsia="Calibri" w:hAnsi="Palatino Linotype" w:cs="Arial"/>
          <w:lang w:val="es-ES_tradnl"/>
        </w:rPr>
        <w:t xml:space="preserve">se encuentra regulado por el artículo 6 apartado A, y 16, segundo párrafo, de la Constitución de los Estados Unidos Mexicanos, el cual establece que: </w:t>
      </w:r>
    </w:p>
    <w:p w14:paraId="058C9BB9" w14:textId="77777777" w:rsidR="00DA297E" w:rsidRPr="00C0775E" w:rsidRDefault="00DA297E" w:rsidP="007C1357">
      <w:pPr>
        <w:spacing w:line="360" w:lineRule="auto"/>
        <w:rPr>
          <w:rFonts w:ascii="Palatino Linotype" w:hAnsi="Palatino Linotype"/>
          <w:lang w:val="es-ES_tradnl"/>
        </w:rPr>
      </w:pPr>
    </w:p>
    <w:p w14:paraId="36DACE64" w14:textId="4F94A982" w:rsidR="0042327E" w:rsidRDefault="0042327E" w:rsidP="00AA0F30">
      <w:pPr>
        <w:pStyle w:val="Sinespaciado"/>
        <w:rPr>
          <w:rFonts w:eastAsia="Calibri"/>
          <w:lang w:val="es-ES_tradnl"/>
        </w:rPr>
      </w:pPr>
      <w:r w:rsidRPr="0042327E">
        <w:rPr>
          <w:rFonts w:eastAsia="Calibri"/>
          <w:b/>
          <w:lang w:val="es-ES_tradnl"/>
        </w:rPr>
        <w:t>Artículo 16.</w:t>
      </w:r>
      <w:r>
        <w:rPr>
          <w:rFonts w:eastAsia="Calibri"/>
          <w:lang w:val="es-ES_tradnl"/>
        </w:rPr>
        <w:t xml:space="preserve"> […]</w:t>
      </w:r>
    </w:p>
    <w:p w14:paraId="032C9671" w14:textId="77777777" w:rsidR="0042327E" w:rsidRDefault="0042327E" w:rsidP="00AA0F30">
      <w:pPr>
        <w:pStyle w:val="Sinespaciado"/>
        <w:rPr>
          <w:rFonts w:eastAsia="Calibri"/>
          <w:lang w:val="es-ES_tradnl"/>
        </w:rPr>
      </w:pPr>
    </w:p>
    <w:p w14:paraId="5A62E17A" w14:textId="117804E0" w:rsidR="0042327E" w:rsidRDefault="00DA297E" w:rsidP="28CAB825">
      <w:pPr>
        <w:pStyle w:val="Sinespaciado"/>
        <w:rPr>
          <w:rFonts w:eastAsia="Calibri"/>
        </w:rPr>
      </w:pPr>
      <w:r w:rsidRPr="28CAB825">
        <w:rPr>
          <w:rFonts w:eastAsia="Calibri"/>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w:t>
      </w:r>
      <w:r w:rsidR="00672752" w:rsidRPr="28CAB825">
        <w:rPr>
          <w:rFonts w:eastAsia="Calibri"/>
        </w:rPr>
        <w:t>roteger los derechos de terceros</w:t>
      </w:r>
      <w:r w:rsidR="0042327E" w:rsidRPr="28CAB825">
        <w:rPr>
          <w:rFonts w:eastAsia="Calibri"/>
        </w:rPr>
        <w:t>.</w:t>
      </w:r>
      <w:r w:rsidR="00672752" w:rsidRPr="28CAB825">
        <w:rPr>
          <w:rFonts w:eastAsia="Calibri"/>
        </w:rPr>
        <w:t xml:space="preserve"> </w:t>
      </w:r>
    </w:p>
    <w:p w14:paraId="7E3EB11D" w14:textId="1E70F8CA" w:rsidR="00DA297E" w:rsidRPr="00C0775E" w:rsidRDefault="00672752" w:rsidP="00AA0F30">
      <w:pPr>
        <w:pStyle w:val="Sinespaciado"/>
        <w:rPr>
          <w:rFonts w:eastAsia="Calibri"/>
          <w:lang w:val="es-ES_tradnl"/>
        </w:rPr>
      </w:pPr>
      <w:r>
        <w:rPr>
          <w:rFonts w:eastAsia="Calibri"/>
          <w:lang w:val="es-ES_tradnl"/>
        </w:rPr>
        <w:t>[…].</w:t>
      </w:r>
    </w:p>
    <w:p w14:paraId="461DAC7B" w14:textId="77777777" w:rsidR="00DA297E" w:rsidRPr="00C0775E" w:rsidRDefault="00DA297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02EC49AB" w14:textId="471B0632" w:rsidR="00AA0F30" w:rsidRPr="00C0775E" w:rsidRDefault="00DA297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sidRPr="00C0775E">
        <w:rPr>
          <w:rFonts w:ascii="Palatino Linotype" w:eastAsia="Calibri" w:hAnsi="Palatino Linotype" w:cs="Arial"/>
          <w:lang w:val="es-ES_tradnl"/>
        </w:rPr>
        <w:t>En este sentido, dichas prerrogativas se encuentran invariablemente ligadas a los principios de licitud, finalidad, lealtad, consentimiento, calidad, proporcionalidad, información y responsabilidad.</w:t>
      </w:r>
    </w:p>
    <w:p w14:paraId="72C97B49" w14:textId="368B9888" w:rsidR="006B3676" w:rsidRPr="00C0775E" w:rsidRDefault="006B3676"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044FA3C9" w14:textId="63EC95F4" w:rsidR="004103C8" w:rsidRDefault="006B3676" w:rsidP="0056570A">
      <w:pPr>
        <w:widowControl w:val="0"/>
        <w:autoSpaceDE w:val="0"/>
        <w:autoSpaceDN w:val="0"/>
        <w:adjustRightInd w:val="0"/>
        <w:spacing w:line="360" w:lineRule="auto"/>
        <w:ind w:right="51"/>
        <w:jc w:val="both"/>
        <w:rPr>
          <w:rFonts w:ascii="Palatino Linotype" w:eastAsia="Calibri" w:hAnsi="Palatino Linotype" w:cs="Arial"/>
          <w:lang w:val="es-ES_tradnl"/>
        </w:rPr>
      </w:pPr>
      <w:r w:rsidRPr="00C0775E">
        <w:rPr>
          <w:rFonts w:ascii="Palatino Linotype" w:eastAsia="Calibri" w:hAnsi="Palatino Linotype" w:cs="Arial"/>
          <w:lang w:val="es-ES_tradnl"/>
        </w:rPr>
        <w:t>Aho</w:t>
      </w:r>
      <w:r w:rsidR="00672752">
        <w:rPr>
          <w:rFonts w:ascii="Palatino Linotype" w:eastAsia="Calibri" w:hAnsi="Palatino Linotype" w:cs="Arial"/>
          <w:lang w:val="es-ES_tradnl"/>
        </w:rPr>
        <w:t xml:space="preserve">ra bien, </w:t>
      </w:r>
      <w:r w:rsidR="0042327E">
        <w:rPr>
          <w:rFonts w:ascii="Palatino Linotype" w:eastAsia="Calibri" w:hAnsi="Palatino Linotype" w:cs="Arial"/>
          <w:lang w:val="es-ES_tradnl"/>
        </w:rPr>
        <w:t>se debe recordar que la</w:t>
      </w:r>
      <w:r w:rsidRPr="00C0775E">
        <w:rPr>
          <w:rFonts w:ascii="Palatino Linotype" w:eastAsia="Calibri" w:hAnsi="Palatino Linotype" w:cs="Arial"/>
          <w:lang w:val="es-ES_tradnl"/>
        </w:rPr>
        <w:t xml:space="preserve"> hoy Recurrente</w:t>
      </w:r>
      <w:r w:rsidR="0042327E">
        <w:rPr>
          <w:rFonts w:ascii="Palatino Linotype" w:eastAsia="Calibri" w:hAnsi="Palatino Linotype" w:cs="Arial"/>
          <w:lang w:val="es-ES_tradnl"/>
        </w:rPr>
        <w:t xml:space="preserve"> requirió </w:t>
      </w:r>
      <w:r w:rsidR="0056570A">
        <w:rPr>
          <w:rFonts w:ascii="Palatino Linotype" w:eastAsia="Calibri" w:hAnsi="Palatino Linotype" w:cs="Arial"/>
          <w:lang w:val="es-ES_tradnl"/>
        </w:rPr>
        <w:t>una rectificación a su CURP derivado de que la clave asignada es incorrecta, señalando que hace su solicitud debido a que radica en otro estado de la República y que no puede acudir al Estado de México para realizar el trámite.</w:t>
      </w:r>
    </w:p>
    <w:p w14:paraId="3775D091" w14:textId="77777777" w:rsidR="004103C8" w:rsidRPr="004103C8" w:rsidRDefault="004103C8" w:rsidP="004103C8">
      <w:pPr>
        <w:widowControl w:val="0"/>
        <w:autoSpaceDE w:val="0"/>
        <w:autoSpaceDN w:val="0"/>
        <w:adjustRightInd w:val="0"/>
        <w:spacing w:line="360" w:lineRule="auto"/>
        <w:ind w:right="51"/>
        <w:jc w:val="both"/>
        <w:rPr>
          <w:rFonts w:ascii="Palatino Linotype" w:eastAsia="Calibri" w:hAnsi="Palatino Linotype" w:cs="Arial"/>
          <w:lang w:val="es-ES_tradnl"/>
        </w:rPr>
      </w:pPr>
    </w:p>
    <w:p w14:paraId="4BD24A9B" w14:textId="0E13FE0A" w:rsidR="0003071A" w:rsidRPr="00C0775E" w:rsidRDefault="0003071A" w:rsidP="0003071A">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 la solicitud de acceso a datos, </w:t>
      </w:r>
      <w:r w:rsidRPr="00C0775E">
        <w:rPr>
          <w:rFonts w:ascii="Palatino Linotype" w:eastAsia="Calibri" w:hAnsi="Palatino Linotype" w:cs="Arial"/>
          <w:lang w:val="es-ES_tradnl"/>
        </w:rPr>
        <w:t>el Sujeto Obligado respondió mediante la entrega de</w:t>
      </w:r>
      <w:r w:rsidR="0056570A">
        <w:rPr>
          <w:rFonts w:ascii="Palatino Linotype" w:eastAsia="Calibri" w:hAnsi="Palatino Linotype" w:cs="Arial"/>
          <w:lang w:val="es-ES_tradnl"/>
        </w:rPr>
        <w:t xml:space="preserve"> </w:t>
      </w:r>
      <w:r>
        <w:rPr>
          <w:rFonts w:ascii="Palatino Linotype" w:eastAsia="Calibri" w:hAnsi="Palatino Linotype" w:cs="Arial"/>
          <w:lang w:val="es-ES_tradnl"/>
        </w:rPr>
        <w:t>l</w:t>
      </w:r>
      <w:r w:rsidR="0056570A">
        <w:rPr>
          <w:rFonts w:ascii="Palatino Linotype" w:eastAsia="Calibri" w:hAnsi="Palatino Linotype" w:cs="Arial"/>
          <w:lang w:val="es-ES_tradnl"/>
        </w:rPr>
        <w:t>a carpeta electrónica que contiene el</w:t>
      </w:r>
      <w:r w:rsidRPr="00C0775E">
        <w:rPr>
          <w:rFonts w:ascii="Palatino Linotype" w:eastAsia="Calibri" w:hAnsi="Palatino Linotype" w:cs="Arial"/>
          <w:lang w:val="es-ES_tradnl"/>
        </w:rPr>
        <w:t xml:space="preserve"> siguiente documento: </w:t>
      </w:r>
    </w:p>
    <w:p w14:paraId="2EB30215" w14:textId="77777777" w:rsidR="0003071A" w:rsidRDefault="0003071A"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1FCC4DE8" w14:textId="646C990D" w:rsidR="0003071A" w:rsidRDefault="0056570A" w:rsidP="0056570A">
      <w:pPr>
        <w:pStyle w:val="Prrafodelista"/>
        <w:widowControl w:val="0"/>
        <w:numPr>
          <w:ilvl w:val="0"/>
          <w:numId w:val="25"/>
        </w:numPr>
        <w:autoSpaceDE w:val="0"/>
        <w:autoSpaceDN w:val="0"/>
        <w:adjustRightInd w:val="0"/>
        <w:spacing w:line="360" w:lineRule="auto"/>
        <w:ind w:right="51"/>
        <w:jc w:val="both"/>
        <w:rPr>
          <w:rFonts w:ascii="Palatino Linotype" w:eastAsia="Calibri" w:hAnsi="Palatino Linotype" w:cs="Arial"/>
          <w:lang w:val="es-ES_tradnl"/>
        </w:rPr>
      </w:pPr>
      <w:r w:rsidRPr="0056570A">
        <w:rPr>
          <w:rFonts w:ascii="Palatino Linotype" w:eastAsia="Calibri" w:hAnsi="Palatino Linotype" w:cs="Arial"/>
          <w:b/>
          <w:lang w:val="es-ES_tradnl"/>
        </w:rPr>
        <w:t>INCOMPETENCIA SARCOEM 01.pdf</w:t>
      </w:r>
      <w:r w:rsidR="00326545" w:rsidRPr="0056570A">
        <w:rPr>
          <w:rFonts w:ascii="Palatino Linotype" w:eastAsia="Calibri" w:hAnsi="Palatino Linotype" w:cs="Arial"/>
          <w:lang w:val="es-ES_tradnl"/>
        </w:rPr>
        <w:t xml:space="preserve">. Oficio número </w:t>
      </w:r>
      <w:r w:rsidRPr="0056570A">
        <w:rPr>
          <w:rFonts w:ascii="Palatino Linotype" w:eastAsia="Calibri" w:hAnsi="Palatino Linotype" w:cs="Arial"/>
          <w:lang w:val="es-ES_tradnl"/>
        </w:rPr>
        <w:t xml:space="preserve">UTAIM/0124/2025 suscrito por la Titular de la Unidad de Transparencia </w:t>
      </w:r>
      <w:r w:rsidRPr="0056570A">
        <w:rPr>
          <w:rFonts w:ascii="Palatino Linotype" w:hAnsi="Palatino Linotype"/>
        </w:rPr>
        <w:t>y Acceso a la Información Pública</w:t>
      </w:r>
      <w:r w:rsidRPr="0056570A">
        <w:rPr>
          <w:rFonts w:ascii="Palatino Linotype" w:eastAsia="Calibri" w:hAnsi="Palatino Linotype" w:cs="Arial"/>
          <w:lang w:val="es-ES_tradnl"/>
        </w:rPr>
        <w:t>, mediante el cual informó a la particular que no es autoridad competente ni la facultada para corregir o modificar la Clave Única de Registro de Población (CURP), orientand</w:t>
      </w:r>
      <w:r>
        <w:rPr>
          <w:rFonts w:ascii="Palatino Linotype" w:eastAsia="Calibri" w:hAnsi="Palatino Linotype" w:cs="Arial"/>
          <w:lang w:val="es-ES_tradnl"/>
        </w:rPr>
        <w:t>o a la particular para que dirij</w:t>
      </w:r>
      <w:r w:rsidRPr="0056570A">
        <w:rPr>
          <w:rFonts w:ascii="Palatino Linotype" w:eastAsia="Calibri" w:hAnsi="Palatino Linotype" w:cs="Arial"/>
          <w:lang w:val="es-ES_tradnl"/>
        </w:rPr>
        <w:t>a su solicitud a la Secretaría de Gobernación, la cual, por medio del Centro de Atención y Servicio del Registro Nacional de Población</w:t>
      </w:r>
      <w:r w:rsidR="00484279">
        <w:rPr>
          <w:rFonts w:ascii="Palatino Linotype" w:eastAsia="Calibri" w:hAnsi="Palatino Linotype" w:cs="Arial"/>
          <w:lang w:val="es-ES_tradnl"/>
        </w:rPr>
        <w:t xml:space="preserve"> (RENAPO)</w:t>
      </w:r>
      <w:r w:rsidRPr="0056570A">
        <w:rPr>
          <w:rFonts w:ascii="Palatino Linotype" w:eastAsia="Calibri" w:hAnsi="Palatino Linotype" w:cs="Arial"/>
          <w:lang w:val="es-ES_tradnl"/>
        </w:rPr>
        <w:t>, puede realizar el trámite de modificación o corrección de la CURP.</w:t>
      </w:r>
    </w:p>
    <w:p w14:paraId="2511F41F" w14:textId="77777777" w:rsidR="0056570A" w:rsidRDefault="0056570A"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1E9ECC48" w14:textId="14FBDA35" w:rsidR="00B84684" w:rsidRDefault="00207B86"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Ante la respuesta proporcionada</w:t>
      </w:r>
      <w:r w:rsidR="0026707C">
        <w:rPr>
          <w:rFonts w:ascii="Palatino Linotype" w:eastAsia="Calibri" w:hAnsi="Palatino Linotype" w:cs="Arial"/>
          <w:lang w:val="es-ES_tradnl"/>
        </w:rPr>
        <w:t xml:space="preserve">, </w:t>
      </w:r>
      <w:r w:rsidR="00484279">
        <w:rPr>
          <w:rFonts w:ascii="Palatino Linotype" w:eastAsia="Calibri" w:hAnsi="Palatino Linotype" w:cs="Arial"/>
          <w:lang w:val="es-ES_tradnl"/>
        </w:rPr>
        <w:t xml:space="preserve">la </w:t>
      </w:r>
      <w:r w:rsidR="000C761F">
        <w:rPr>
          <w:rFonts w:ascii="Palatino Linotype" w:eastAsia="Calibri" w:hAnsi="Palatino Linotype" w:cs="Arial"/>
          <w:lang w:val="es-ES_tradnl"/>
        </w:rPr>
        <w:t xml:space="preserve">Recurrente consideró que su derecho </w:t>
      </w:r>
      <w:r w:rsidR="00484279">
        <w:rPr>
          <w:rFonts w:ascii="Palatino Linotype" w:eastAsia="Calibri" w:hAnsi="Palatino Linotype" w:cs="Arial"/>
          <w:lang w:val="es-ES_tradnl"/>
        </w:rPr>
        <w:t xml:space="preserve">a la rectificación de </w:t>
      </w:r>
      <w:r w:rsidR="000C761F">
        <w:rPr>
          <w:rFonts w:ascii="Palatino Linotype" w:eastAsia="Calibri" w:hAnsi="Palatino Linotype" w:cs="Arial"/>
          <w:lang w:val="es-ES_tradnl"/>
        </w:rPr>
        <w:t>datos personales se había vulnerado, por lo que interpuso recurso de revisión</w:t>
      </w:r>
      <w:r w:rsidR="00D11C33">
        <w:rPr>
          <w:rFonts w:ascii="Palatino Linotype" w:eastAsia="Calibri" w:hAnsi="Palatino Linotype" w:cs="Arial"/>
          <w:lang w:val="es-ES_tradnl"/>
        </w:rPr>
        <w:t xml:space="preserve"> señalando como como acto impugnado la </w:t>
      </w:r>
      <w:r w:rsidR="00484279">
        <w:rPr>
          <w:rFonts w:ascii="Palatino Linotype" w:eastAsia="Calibri" w:hAnsi="Palatino Linotype" w:cs="Arial"/>
          <w:lang w:val="es-ES_tradnl"/>
        </w:rPr>
        <w:t xml:space="preserve">negativa a corregir su dato personal cuando en los archivos se encuentran los datos de su nacimiento y esos se proporcionaron al Registro Nacional de Población para certificar la CURP; </w:t>
      </w:r>
      <w:r w:rsidR="00D11C33">
        <w:rPr>
          <w:rFonts w:ascii="Palatino Linotype" w:eastAsia="Calibri" w:hAnsi="Palatino Linotype" w:cs="Arial"/>
          <w:lang w:val="es-ES_tradnl"/>
        </w:rPr>
        <w:t xml:space="preserve">como razones o </w:t>
      </w:r>
      <w:r w:rsidR="0026707C">
        <w:rPr>
          <w:rFonts w:ascii="Palatino Linotype" w:eastAsia="Calibri" w:hAnsi="Palatino Linotype" w:cs="Arial"/>
          <w:lang w:val="es-ES_tradnl"/>
        </w:rPr>
        <w:t>motivos de inconformidad q</w:t>
      </w:r>
      <w:r w:rsidR="00484279">
        <w:rPr>
          <w:rFonts w:ascii="Palatino Linotype" w:eastAsia="Calibri" w:hAnsi="Palatino Linotype" w:cs="Arial"/>
          <w:lang w:val="es-ES_tradnl"/>
        </w:rPr>
        <w:t>ue, aun cuando el Sujeto Obligado se declaró incompetente, lo cierto es que sí son competentes, ya que, aunque la CURP no es generada por el Registro Civil, es esa área la que brinda o con quien se corroboran los datos de registro ante el RENAPO</w:t>
      </w:r>
      <w:r w:rsidR="00385319">
        <w:rPr>
          <w:rFonts w:ascii="Palatino Linotype" w:eastAsia="Calibri" w:hAnsi="Palatino Linotype" w:cs="Arial"/>
          <w:lang w:val="es-ES_tradnl"/>
        </w:rPr>
        <w:t xml:space="preserve">, que el Registro tiene en su poder el acta de nacimiento y cuando esta se le expidió a la particular, contenía una CURP errónea; por lo que solicitó que se le proporcionen las constancias de las que se desprenda cómo reportaron sus </w:t>
      </w:r>
      <w:r w:rsidR="00385319">
        <w:rPr>
          <w:rFonts w:ascii="Palatino Linotype" w:eastAsia="Calibri" w:hAnsi="Palatino Linotype" w:cs="Arial"/>
          <w:lang w:val="es-ES_tradnl"/>
        </w:rPr>
        <w:lastRenderedPageBreak/>
        <w:t>datos a la RENAPO para la certificación de la CURP.</w:t>
      </w:r>
    </w:p>
    <w:p w14:paraId="2E1322A9" w14:textId="2F2572C8" w:rsidR="00D11C33" w:rsidRDefault="00D11C33"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2371EFD4" w14:textId="29AB09DC" w:rsidR="00EE1CBE" w:rsidRDefault="00EE1CBE" w:rsidP="007C1357">
      <w:pPr>
        <w:widowControl w:val="0"/>
        <w:autoSpaceDE w:val="0"/>
        <w:autoSpaceDN w:val="0"/>
        <w:adjustRightInd w:val="0"/>
        <w:spacing w:line="360" w:lineRule="auto"/>
        <w:ind w:right="51"/>
        <w:jc w:val="both"/>
        <w:rPr>
          <w:rFonts w:ascii="Palatino Linotype" w:eastAsia="Calibri" w:hAnsi="Palatino Linotype" w:cs="Arial"/>
        </w:rPr>
      </w:pPr>
      <w:r w:rsidRPr="28CAB825">
        <w:rPr>
          <w:rFonts w:ascii="Palatino Linotype" w:eastAsia="Calibri" w:hAnsi="Palatino Linotype" w:cs="Arial"/>
        </w:rPr>
        <w:t>Así, c</w:t>
      </w:r>
      <w:r w:rsidR="00D11C33" w:rsidRPr="28CAB825">
        <w:rPr>
          <w:rFonts w:ascii="Palatino Linotype" w:eastAsia="Calibri" w:hAnsi="Palatino Linotype" w:cs="Arial"/>
        </w:rPr>
        <w:t xml:space="preserve">omo se señaló en los antecedentes, </w:t>
      </w:r>
      <w:r w:rsidR="00385319" w:rsidRPr="28CAB825">
        <w:rPr>
          <w:rFonts w:ascii="Palatino Linotype" w:eastAsia="Calibri" w:hAnsi="Palatino Linotype" w:cs="Arial"/>
        </w:rPr>
        <w:t xml:space="preserve">con la intención de alcanzar un acuerdo, este Instituto convocó a las partes a conciliar, lo que en un principio fue aceptado por ambas partes; sin embargo, la Recurrente </w:t>
      </w:r>
      <w:r w:rsidRPr="28CAB825">
        <w:rPr>
          <w:rFonts w:ascii="Palatino Linotype" w:eastAsia="Calibri" w:hAnsi="Palatino Linotype" w:cs="Arial"/>
        </w:rPr>
        <w:t xml:space="preserve">no </w:t>
      </w:r>
      <w:r w:rsidR="00385319" w:rsidRPr="28CAB825">
        <w:rPr>
          <w:rFonts w:ascii="Palatino Linotype" w:eastAsia="Calibri" w:hAnsi="Palatino Linotype" w:cs="Arial"/>
        </w:rPr>
        <w:t>se presentó a la audiencia celebrada mediante la plataforma Zoom</w:t>
      </w:r>
      <w:r w:rsidR="001A3693" w:rsidRPr="28CAB825">
        <w:rPr>
          <w:rFonts w:ascii="Palatino Linotype" w:eastAsia="Calibri" w:hAnsi="Palatino Linotype" w:cs="Arial"/>
        </w:rPr>
        <w:t>. Asimismo, no justificó su ausencia</w:t>
      </w:r>
      <w:r w:rsidRPr="28CAB825">
        <w:rPr>
          <w:rFonts w:ascii="Palatino Linotype" w:eastAsia="Calibri" w:hAnsi="Palatino Linotype" w:cs="Arial"/>
        </w:rPr>
        <w:t xml:space="preserve">, por lo que </w:t>
      </w:r>
      <w:r w:rsidR="001A3693" w:rsidRPr="28CAB825">
        <w:rPr>
          <w:rFonts w:ascii="Palatino Linotype" w:eastAsia="Calibri" w:hAnsi="Palatino Linotype" w:cs="Arial"/>
        </w:rPr>
        <w:t>se abrió</w:t>
      </w:r>
      <w:r w:rsidRPr="28CAB825">
        <w:rPr>
          <w:rFonts w:ascii="Palatino Linotype" w:eastAsia="Calibri" w:hAnsi="Palatino Linotype" w:cs="Arial"/>
        </w:rPr>
        <w:t xml:space="preserve"> la etapa de instrucción, </w:t>
      </w:r>
      <w:r w:rsidR="001A3693" w:rsidRPr="28CAB825">
        <w:rPr>
          <w:rFonts w:ascii="Palatino Linotype" w:eastAsia="Calibri" w:hAnsi="Palatino Linotype" w:cs="Arial"/>
        </w:rPr>
        <w:t xml:space="preserve">en la que el Sujeto Obligado </w:t>
      </w:r>
      <w:r w:rsidRPr="28CAB825">
        <w:rPr>
          <w:rFonts w:ascii="Palatino Linotype" w:eastAsia="Calibri" w:hAnsi="Palatino Linotype" w:cs="Arial"/>
        </w:rPr>
        <w:t>rindió el Informe Justificado mediante el siguiente documento:</w:t>
      </w:r>
    </w:p>
    <w:p w14:paraId="5A82A9F7" w14:textId="77777777" w:rsidR="00EE1CBE" w:rsidRDefault="00EE1CB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61BF5094" w14:textId="734C7D9C" w:rsidR="00EE1CBE" w:rsidRPr="00EE1CBE" w:rsidRDefault="00080E7F" w:rsidP="00EE1CBE">
      <w:pPr>
        <w:pStyle w:val="Prrafodelista"/>
        <w:widowControl w:val="0"/>
        <w:numPr>
          <w:ilvl w:val="0"/>
          <w:numId w:val="25"/>
        </w:numPr>
        <w:autoSpaceDE w:val="0"/>
        <w:autoSpaceDN w:val="0"/>
        <w:adjustRightInd w:val="0"/>
        <w:spacing w:line="360" w:lineRule="auto"/>
        <w:ind w:right="51"/>
        <w:jc w:val="both"/>
        <w:rPr>
          <w:rFonts w:ascii="Palatino Linotype" w:eastAsia="Calibri" w:hAnsi="Palatino Linotype" w:cs="Arial"/>
          <w:lang w:val="es-ES_tradnl"/>
        </w:rPr>
      </w:pPr>
      <w:r w:rsidRPr="00080E7F">
        <w:rPr>
          <w:rFonts w:ascii="Palatino Linotype" w:eastAsia="Calibri" w:hAnsi="Palatino Linotype" w:cs="Arial"/>
          <w:b/>
          <w:bCs/>
          <w:iCs/>
          <w:lang w:val="es-ES_tradnl"/>
        </w:rPr>
        <w:t>MANIFESTACIONES TRANSPARENCIA.pdf</w:t>
      </w:r>
      <w:r w:rsidRPr="00080E7F">
        <w:rPr>
          <w:rFonts w:ascii="Palatino Linotype" w:eastAsia="Calibri" w:hAnsi="Palatino Linotype" w:cs="Arial"/>
          <w:bCs/>
          <w:iCs/>
          <w:lang w:val="es-ES_tradnl"/>
        </w:rPr>
        <w:t>. Oficio UTAI/0821/2025, emitido por Titular de la Unidad de Transparencia y Acceso a la Información Pública, mediante el cual se ratificó la respuesta, manifestando que es notorio que las obligaciones y atribuciones pertenecen a un sujeto obligado diverso</w:t>
      </w:r>
      <w:r w:rsidR="00EE1CBE" w:rsidRPr="00080E7F">
        <w:rPr>
          <w:rFonts w:ascii="Palatino Linotype" w:eastAsia="Calibri" w:hAnsi="Palatino Linotype" w:cs="Arial"/>
          <w:bCs/>
          <w:iCs/>
          <w:lang w:val="es-ES_tradnl"/>
        </w:rPr>
        <w:t>.</w:t>
      </w:r>
    </w:p>
    <w:p w14:paraId="03833488" w14:textId="77777777" w:rsidR="00EE1CBE" w:rsidRDefault="00EE1CB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5B82F50F" w14:textId="1EB482C8" w:rsidR="00EE1CBE" w:rsidRDefault="00EE1CBE"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Por su parte, </w:t>
      </w:r>
      <w:r w:rsidR="001A3693" w:rsidRPr="00080E7F">
        <w:rPr>
          <w:rFonts w:ascii="Palatino Linotype" w:eastAsia="Calibri" w:hAnsi="Palatino Linotype" w:cs="Arial"/>
          <w:lang w:val="es-ES_tradnl"/>
        </w:rPr>
        <w:t>la</w:t>
      </w:r>
      <w:r>
        <w:rPr>
          <w:rFonts w:ascii="Palatino Linotype" w:eastAsia="Calibri" w:hAnsi="Palatino Linotype" w:cs="Arial"/>
          <w:lang w:val="es-ES_tradnl"/>
        </w:rPr>
        <w:t xml:space="preserve"> Recurrente no emitió manifestaciones ni pronunciamiento alguno respecto del Informe Justificado rendido por el Sujeto Obligado.</w:t>
      </w:r>
    </w:p>
    <w:p w14:paraId="25190925" w14:textId="4C809A8C" w:rsidR="009D0B64" w:rsidRPr="00C0775E" w:rsidRDefault="009D0B64"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179B35D3" w14:textId="321BB4BF" w:rsidR="002D4119" w:rsidRPr="002D4119" w:rsidRDefault="00EE1CBE" w:rsidP="002D4119">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Ahora bien,</w:t>
      </w:r>
      <w:r w:rsidR="00A837A2">
        <w:rPr>
          <w:rFonts w:ascii="Palatino Linotype" w:eastAsia="Calibri" w:hAnsi="Palatino Linotype" w:cs="Arial"/>
          <w:lang w:val="es-ES_tradnl"/>
        </w:rPr>
        <w:t xml:space="preserve"> en el caso en concreto, se tiene que</w:t>
      </w:r>
      <w:r w:rsidR="00F30CA4">
        <w:rPr>
          <w:rFonts w:ascii="Palatino Linotype" w:eastAsia="Calibri" w:hAnsi="Palatino Linotype" w:cs="Arial"/>
          <w:lang w:val="es-ES_tradnl"/>
        </w:rPr>
        <w:t xml:space="preserve"> el Sujeto Obligado manifestó su incompetencia para generar, poseer o administrar el docum</w:t>
      </w:r>
      <w:r w:rsidR="00A837A2">
        <w:rPr>
          <w:rFonts w:ascii="Palatino Linotype" w:eastAsia="Calibri" w:hAnsi="Palatino Linotype" w:cs="Arial"/>
          <w:lang w:val="es-ES_tradnl"/>
        </w:rPr>
        <w:t>ento solicitado, orientando al</w:t>
      </w:r>
      <w:r w:rsidR="00F30CA4">
        <w:rPr>
          <w:rFonts w:ascii="Palatino Linotype" w:eastAsia="Calibri" w:hAnsi="Palatino Linotype" w:cs="Arial"/>
          <w:lang w:val="es-ES_tradnl"/>
        </w:rPr>
        <w:t xml:space="preserve"> Recurrente para que realizara su solicitud de acceso a datos personales ante </w:t>
      </w:r>
      <w:r w:rsidR="001A3693" w:rsidRPr="002D4119">
        <w:rPr>
          <w:rFonts w:ascii="Palatino Linotype" w:eastAsia="Calibri" w:hAnsi="Palatino Linotype" w:cs="Arial"/>
          <w:lang w:val="es-ES_tradnl"/>
        </w:rPr>
        <w:t>Secretaría</w:t>
      </w:r>
      <w:r w:rsidR="00A837A2">
        <w:rPr>
          <w:rFonts w:ascii="Palatino Linotype" w:eastAsia="Calibri" w:hAnsi="Palatino Linotype" w:cs="Arial"/>
          <w:lang w:val="es-ES_tradnl"/>
        </w:rPr>
        <w:t xml:space="preserve"> de </w:t>
      </w:r>
      <w:r w:rsidR="001A3693" w:rsidRPr="002D4119">
        <w:rPr>
          <w:rFonts w:ascii="Palatino Linotype" w:eastAsia="Calibri" w:hAnsi="Palatino Linotype" w:cs="Arial"/>
          <w:lang w:val="es-ES_tradnl"/>
        </w:rPr>
        <w:t>Gobernación</w:t>
      </w:r>
      <w:r w:rsidR="00A837A2">
        <w:rPr>
          <w:rFonts w:ascii="Palatino Linotype" w:eastAsia="Calibri" w:hAnsi="Palatino Linotype" w:cs="Arial"/>
          <w:lang w:val="es-ES_tradnl"/>
        </w:rPr>
        <w:t xml:space="preserve"> del </w:t>
      </w:r>
      <w:r w:rsidR="002D4119" w:rsidRPr="002D4119">
        <w:rPr>
          <w:rFonts w:ascii="Palatino Linotype" w:eastAsia="Calibri" w:hAnsi="Palatino Linotype" w:cs="Arial"/>
          <w:lang w:val="es-ES_tradnl"/>
        </w:rPr>
        <w:t>Poder Ejecutivo Federal, por ser dicha dependencia la que, por medio del Centro</w:t>
      </w:r>
      <w:r w:rsidR="00A837A2">
        <w:rPr>
          <w:rFonts w:ascii="Palatino Linotype" w:eastAsia="Calibri" w:hAnsi="Palatino Linotype" w:cs="Arial"/>
          <w:lang w:val="es-ES_tradnl"/>
        </w:rPr>
        <w:t xml:space="preserve"> de </w:t>
      </w:r>
      <w:r w:rsidR="002D4119" w:rsidRPr="002D4119">
        <w:rPr>
          <w:rFonts w:ascii="Palatino Linotype" w:eastAsia="Calibri" w:hAnsi="Palatino Linotype" w:cs="Arial"/>
          <w:lang w:val="es-ES_tradnl"/>
        </w:rPr>
        <w:t>Atención y Servicio del Registro Nacional</w:t>
      </w:r>
      <w:r w:rsidR="00A837A2">
        <w:rPr>
          <w:rFonts w:ascii="Palatino Linotype" w:eastAsia="Calibri" w:hAnsi="Palatino Linotype" w:cs="Arial"/>
          <w:lang w:val="es-ES_tradnl"/>
        </w:rPr>
        <w:t xml:space="preserve"> de </w:t>
      </w:r>
      <w:r w:rsidR="002D4119" w:rsidRPr="002D4119">
        <w:rPr>
          <w:rFonts w:ascii="Palatino Linotype" w:eastAsia="Calibri" w:hAnsi="Palatino Linotype" w:cs="Arial"/>
          <w:lang w:val="es-ES_tradnl"/>
        </w:rPr>
        <w:t>Población, puede realizar el trámite</w:t>
      </w:r>
      <w:r w:rsidR="00A837A2">
        <w:rPr>
          <w:rFonts w:ascii="Palatino Linotype" w:eastAsia="Calibri" w:hAnsi="Palatino Linotype" w:cs="Arial"/>
          <w:lang w:val="es-ES_tradnl"/>
        </w:rPr>
        <w:t xml:space="preserve"> de </w:t>
      </w:r>
      <w:r w:rsidR="002D4119" w:rsidRPr="002D4119">
        <w:rPr>
          <w:rFonts w:ascii="Palatino Linotype" w:eastAsia="Calibri" w:hAnsi="Palatino Linotype" w:cs="Arial"/>
          <w:lang w:val="es-ES_tradnl"/>
        </w:rPr>
        <w:t>modificación o corrección</w:t>
      </w:r>
      <w:r w:rsidR="007033E3">
        <w:rPr>
          <w:rFonts w:ascii="Palatino Linotype" w:eastAsia="Calibri" w:hAnsi="Palatino Linotype" w:cs="Arial"/>
          <w:lang w:val="es-ES_tradnl"/>
        </w:rPr>
        <w:t xml:space="preserve"> de la </w:t>
      </w:r>
      <w:r w:rsidR="002D4119" w:rsidRPr="002D4119">
        <w:rPr>
          <w:rFonts w:ascii="Palatino Linotype" w:eastAsia="Calibri" w:hAnsi="Palatino Linotype" w:cs="Arial"/>
          <w:lang w:val="es-ES_tradnl"/>
        </w:rPr>
        <w:t>CURP.</w:t>
      </w:r>
    </w:p>
    <w:p w14:paraId="753E4367" w14:textId="5A53FA3A" w:rsidR="00E45739" w:rsidRDefault="00E45739"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707B9BCD" w14:textId="254B9C58" w:rsidR="00352E06" w:rsidRDefault="002D4119"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lastRenderedPageBreak/>
        <w:t>Al respecto,</w:t>
      </w:r>
      <w:r w:rsidR="00D33B1B">
        <w:rPr>
          <w:rFonts w:ascii="Palatino Linotype" w:eastAsia="Calibri" w:hAnsi="Palatino Linotype" w:cs="Arial"/>
          <w:lang w:val="es-ES_tradnl"/>
        </w:rPr>
        <w:t xml:space="preserve"> se estima necesario señalar que el Manual de Organización General de la Secretaría de Gobernación establece que esta contará en su estructura con la Subsecretaría de Derechos Humanos, Población y Migración y esta a su vez de la Unidad de Política Migratoria, Registro e Identidad de Personas, área de la que depende la Dirección General de Registro Nacional de Población e Identidad.</w:t>
      </w:r>
    </w:p>
    <w:p w14:paraId="60B9A8C5" w14:textId="77777777" w:rsidR="00D33B1B" w:rsidRDefault="00D33B1B"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4D8C6E60" w14:textId="0F60A76F" w:rsidR="00D33B1B" w:rsidRDefault="00D33B1B" w:rsidP="00D33B1B">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Así, dicho Manual establece que esa Dirección tiene como objetivo consolidad en coordinación con los tres órdenes de gobierno, las estrategias, programas, procedimientos en materia </w:t>
      </w:r>
      <w:r w:rsidRPr="00D33B1B">
        <w:rPr>
          <w:rFonts w:ascii="Palatino Linotype" w:eastAsia="Calibri" w:hAnsi="Palatino Linotype" w:cs="Arial"/>
          <w:lang w:val="es-ES_tradnl"/>
        </w:rPr>
        <w:t>de registro y acreditación de la identidad de las personas que integran la población del país, en</w:t>
      </w:r>
      <w:r>
        <w:rPr>
          <w:rFonts w:ascii="Palatino Linotype" w:eastAsia="Calibri" w:hAnsi="Palatino Linotype" w:cs="Arial"/>
          <w:lang w:val="es-ES_tradnl"/>
        </w:rPr>
        <w:t xml:space="preserve"> </w:t>
      </w:r>
      <w:r w:rsidRPr="00D33B1B">
        <w:rPr>
          <w:rFonts w:ascii="Palatino Linotype" w:eastAsia="Calibri" w:hAnsi="Palatino Linotype" w:cs="Arial"/>
          <w:lang w:val="es-ES_tradnl"/>
        </w:rPr>
        <w:t xml:space="preserve">apego al marco normativo aplicable, para otorgarles certeza jurídica en el </w:t>
      </w:r>
      <w:r>
        <w:rPr>
          <w:rFonts w:ascii="Palatino Linotype" w:eastAsia="Calibri" w:hAnsi="Palatino Linotype" w:cs="Arial"/>
          <w:lang w:val="es-ES_tradnl"/>
        </w:rPr>
        <w:t>ejercicio pleno de sus derechos; y entre sus funciones se encuentra la de e</w:t>
      </w:r>
      <w:r w:rsidRPr="00D33B1B">
        <w:rPr>
          <w:rFonts w:ascii="Palatino Linotype" w:eastAsia="Calibri" w:hAnsi="Palatino Linotype" w:cs="Arial"/>
          <w:lang w:val="es-ES_tradnl"/>
        </w:rPr>
        <w:t>stablecer estrategias en la implementación de procesos de depuración y asignación de la Clave</w:t>
      </w:r>
      <w:r>
        <w:rPr>
          <w:rFonts w:ascii="Palatino Linotype" w:eastAsia="Calibri" w:hAnsi="Palatino Linotype" w:cs="Arial"/>
          <w:lang w:val="es-ES_tradnl"/>
        </w:rPr>
        <w:t xml:space="preserve"> </w:t>
      </w:r>
      <w:r w:rsidRPr="00D33B1B">
        <w:rPr>
          <w:rFonts w:ascii="Palatino Linotype" w:eastAsia="Calibri" w:hAnsi="Palatino Linotype" w:cs="Arial"/>
          <w:lang w:val="es-ES_tradnl"/>
        </w:rPr>
        <w:t>Única de Registro de Población, para asegurar que la población cuente con un documento que</w:t>
      </w:r>
      <w:r>
        <w:rPr>
          <w:rFonts w:ascii="Palatino Linotype" w:eastAsia="Calibri" w:hAnsi="Palatino Linotype" w:cs="Arial"/>
          <w:lang w:val="es-ES_tradnl"/>
        </w:rPr>
        <w:t xml:space="preserve"> </w:t>
      </w:r>
      <w:r w:rsidRPr="00D33B1B">
        <w:rPr>
          <w:rFonts w:ascii="Palatino Linotype" w:eastAsia="Calibri" w:hAnsi="Palatino Linotype" w:cs="Arial"/>
          <w:lang w:val="es-ES_tradnl"/>
        </w:rPr>
        <w:t>acredite su identidad y le otorgue certidumbre jurídica.</w:t>
      </w:r>
    </w:p>
    <w:p w14:paraId="0A040DB1" w14:textId="77777777" w:rsidR="00D33B1B" w:rsidRDefault="00D33B1B" w:rsidP="00D33B1B">
      <w:pPr>
        <w:widowControl w:val="0"/>
        <w:autoSpaceDE w:val="0"/>
        <w:autoSpaceDN w:val="0"/>
        <w:adjustRightInd w:val="0"/>
        <w:spacing w:line="360" w:lineRule="auto"/>
        <w:ind w:right="51"/>
        <w:jc w:val="both"/>
        <w:rPr>
          <w:rFonts w:ascii="Palatino Linotype" w:eastAsia="Calibri" w:hAnsi="Palatino Linotype" w:cs="Arial"/>
          <w:lang w:val="es-ES_tradnl"/>
        </w:rPr>
      </w:pPr>
    </w:p>
    <w:p w14:paraId="588DF3E6" w14:textId="494945A7" w:rsidR="00D33B1B" w:rsidRDefault="00D33B1B" w:rsidP="00D33B1B">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En ese sentido, se debe colegir que dicha dependencia es la facultada para conocer respecto de la depuración y asignación de la CURP. Ahora bien, de una búsqueda en internet, se encontró que en la página oficial del Registro Nacional de Población</w:t>
      </w:r>
      <w:r w:rsidR="004B46CF">
        <w:rPr>
          <w:rStyle w:val="Refdenotaalpie"/>
          <w:rFonts w:ascii="Palatino Linotype" w:eastAsia="Calibri" w:hAnsi="Palatino Linotype" w:cs="Arial"/>
          <w:lang w:val="es-ES_tradnl"/>
        </w:rPr>
        <w:footnoteReference w:id="2"/>
      </w:r>
      <w:r>
        <w:rPr>
          <w:rFonts w:ascii="Palatino Linotype" w:eastAsia="Calibri" w:hAnsi="Palatino Linotype" w:cs="Arial"/>
          <w:lang w:val="es-ES_tradnl"/>
        </w:rPr>
        <w:t xml:space="preserve">, se encuentra </w:t>
      </w:r>
      <w:r w:rsidR="004B46CF">
        <w:rPr>
          <w:rFonts w:ascii="Palatino Linotype" w:eastAsia="Calibri" w:hAnsi="Palatino Linotype" w:cs="Arial"/>
          <w:lang w:val="es-ES_tradnl"/>
        </w:rPr>
        <w:t>un apartado para realizar diversos trámites, entre ellos el de la modificación o corrección de la CURP, como se observa en la siguiente imagen:</w:t>
      </w:r>
    </w:p>
    <w:p w14:paraId="35327553" w14:textId="77777777" w:rsidR="002D4119" w:rsidRDefault="002D4119"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1B020238" w14:textId="2492DCA5" w:rsidR="004B46CF" w:rsidRDefault="004B46CF" w:rsidP="004B46CF">
      <w:pPr>
        <w:widowControl w:val="0"/>
        <w:autoSpaceDE w:val="0"/>
        <w:autoSpaceDN w:val="0"/>
        <w:adjustRightInd w:val="0"/>
        <w:spacing w:line="360" w:lineRule="auto"/>
        <w:ind w:right="51"/>
        <w:jc w:val="center"/>
        <w:rPr>
          <w:rFonts w:ascii="Palatino Linotype" w:eastAsia="Calibri" w:hAnsi="Palatino Linotype" w:cs="Arial"/>
          <w:lang w:val="es-ES_tradnl"/>
        </w:rPr>
      </w:pPr>
      <w:r w:rsidRPr="004B46CF">
        <w:rPr>
          <w:rFonts w:ascii="Palatino Linotype" w:eastAsia="Calibri" w:hAnsi="Palatino Linotype" w:cs="Arial"/>
          <w:noProof/>
          <w:lang w:val="es-MX" w:eastAsia="es-MX"/>
        </w:rPr>
        <w:lastRenderedPageBreak/>
        <w:drawing>
          <wp:inline distT="0" distB="0" distL="0" distR="0" wp14:anchorId="31276A0D" wp14:editId="378650C5">
            <wp:extent cx="5045099" cy="496252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3169" cy="4980299"/>
                    </a:xfrm>
                    <a:prstGeom prst="rect">
                      <a:avLst/>
                    </a:prstGeom>
                  </pic:spPr>
                </pic:pic>
              </a:graphicData>
            </a:graphic>
          </wp:inline>
        </w:drawing>
      </w:r>
    </w:p>
    <w:p w14:paraId="371BDD0F" w14:textId="77777777" w:rsidR="004B46CF" w:rsidRDefault="004B46CF"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42FC6390" w14:textId="110C31B4" w:rsidR="004B46CF" w:rsidRDefault="004B46CF"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Así, al acceder a dicho trámite se obtiene la información para realizar la modificación o corrección de la CURP cuando ésta tiene </w:t>
      </w:r>
      <w:r w:rsidRPr="004B46CF">
        <w:rPr>
          <w:rFonts w:ascii="Palatino Linotype" w:eastAsia="Calibri" w:hAnsi="Palatino Linotype" w:cs="Arial"/>
          <w:lang w:val="es-ES_tradnl"/>
        </w:rPr>
        <w:t>algú</w:t>
      </w:r>
      <w:r>
        <w:rPr>
          <w:rFonts w:ascii="Palatino Linotype" w:eastAsia="Calibri" w:hAnsi="Palatino Linotype" w:cs="Arial"/>
          <w:lang w:val="es-ES_tradnl"/>
        </w:rPr>
        <w:t>n error en el</w:t>
      </w:r>
      <w:r w:rsidRPr="004B46CF">
        <w:rPr>
          <w:rFonts w:ascii="Palatino Linotype" w:eastAsia="Calibri" w:hAnsi="Palatino Linotype" w:cs="Arial"/>
          <w:lang w:val="es-ES_tradnl"/>
        </w:rPr>
        <w:t xml:space="preserve"> nombre, apellido, fecha y lugar de nacimiento, sexo, o bien, en los datos de registro (número de acta, libro, foja, tomo, entidad o municipio); o </w:t>
      </w:r>
      <w:r>
        <w:rPr>
          <w:rFonts w:ascii="Palatino Linotype" w:eastAsia="Calibri" w:hAnsi="Palatino Linotype" w:cs="Arial"/>
          <w:lang w:val="es-ES_tradnl"/>
        </w:rPr>
        <w:t>en los casos en los que se tiene</w:t>
      </w:r>
      <w:r w:rsidRPr="004B46CF">
        <w:rPr>
          <w:rFonts w:ascii="Palatino Linotype" w:eastAsia="Calibri" w:hAnsi="Palatino Linotype" w:cs="Arial"/>
          <w:lang w:val="es-ES_tradnl"/>
        </w:rPr>
        <w:t xml:space="preserve"> más de u</w:t>
      </w:r>
      <w:r>
        <w:rPr>
          <w:rFonts w:ascii="Palatino Linotype" w:eastAsia="Calibri" w:hAnsi="Palatino Linotype" w:cs="Arial"/>
          <w:lang w:val="es-ES_tradnl"/>
        </w:rPr>
        <w:t>na CURP.</w:t>
      </w:r>
    </w:p>
    <w:p w14:paraId="1BDB7599" w14:textId="77777777" w:rsidR="004B46CF" w:rsidRDefault="004B46CF"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4D3B32B1" w14:textId="5E71E2DD" w:rsidR="004B46CF" w:rsidRDefault="004B46CF"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Además, se enumeran los documentos necesarios para personas mexicanas, las </w:t>
      </w:r>
      <w:r>
        <w:rPr>
          <w:rFonts w:ascii="Palatino Linotype" w:eastAsia="Calibri" w:hAnsi="Palatino Linotype" w:cs="Arial"/>
          <w:lang w:val="es-ES_tradnl"/>
        </w:rPr>
        <w:lastRenderedPageBreak/>
        <w:t>identificaciones que pueden presentarse, las opciones para realizar el trámite, la liga para generar una cita y los teléfonos y horarios en caso de dudas.</w:t>
      </w:r>
    </w:p>
    <w:p w14:paraId="6784605B" w14:textId="77777777" w:rsidR="004B46CF" w:rsidRDefault="004B46CF"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6BCBB21D" w14:textId="5376DE76" w:rsidR="002D4119" w:rsidRDefault="004B46CF"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De tal forma que se acredita que la dependencia encargada de realizar la corrección de la CURP es la Dirección General de Registro Nacional de Población e Identidad</w:t>
      </w:r>
      <w:r w:rsidR="00F171BB">
        <w:rPr>
          <w:rFonts w:ascii="Palatino Linotype" w:eastAsia="Calibri" w:hAnsi="Palatino Linotype" w:cs="Arial"/>
          <w:lang w:val="es-ES_tradnl"/>
        </w:rPr>
        <w:t>.</w:t>
      </w:r>
    </w:p>
    <w:p w14:paraId="12412A10" w14:textId="77777777" w:rsidR="00F171BB" w:rsidRDefault="00F171BB"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68F76F71" w14:textId="1CC5852B" w:rsidR="00F171BB" w:rsidRDefault="00F171BB"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Aunado a lo anterior, del análisis a la normatividad que rige a las administraciones públicas municipales en el Estado de México, no se desprende que los ayuntamientos cuenten con las atribuciones necesarias para realizar modificaciones o correcciones a la CURP.</w:t>
      </w:r>
    </w:p>
    <w:p w14:paraId="60928169" w14:textId="77777777" w:rsidR="00F171BB" w:rsidRDefault="00F171BB"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6F7B7B39" w14:textId="3F30DE39" w:rsidR="00F171BB" w:rsidRDefault="00F171BB" w:rsidP="28CAB825">
      <w:pPr>
        <w:widowControl w:val="0"/>
        <w:autoSpaceDE w:val="0"/>
        <w:autoSpaceDN w:val="0"/>
        <w:adjustRightInd w:val="0"/>
        <w:spacing w:line="360" w:lineRule="auto"/>
        <w:ind w:right="51"/>
        <w:jc w:val="both"/>
        <w:rPr>
          <w:rFonts w:ascii="Palatino Linotype" w:eastAsia="Calibri" w:hAnsi="Palatino Linotype" w:cs="Arial"/>
        </w:rPr>
      </w:pPr>
      <w:r w:rsidRPr="28CAB825">
        <w:rPr>
          <w:rFonts w:ascii="Palatino Linotype" w:eastAsia="Calibri" w:hAnsi="Palatino Linotype" w:cs="Arial"/>
        </w:rPr>
        <w:t>Por otra parte, debido a que la Recurrente refiere que la información correcta de su acta de nacimiento se encuentra en poder del Registro Civil, se debe señalar que en el Estado de México, las oficinas del Registro Civil dependen</w:t>
      </w:r>
      <w:r w:rsidR="009557DF" w:rsidRPr="28CAB825">
        <w:rPr>
          <w:rFonts w:ascii="Palatino Linotype" w:eastAsia="Calibri" w:hAnsi="Palatino Linotype" w:cs="Arial"/>
        </w:rPr>
        <w:t xml:space="preserve"> de la Consejería Jurídica del Poder Ejecutivo Estatal, conforme a lo dispuesto en la Ley Orgánica de la Administración Pública del Estado de México, que en sus artículos 56 y 57 fracciones XXIX y XXX dispone lo siguiente:</w:t>
      </w:r>
    </w:p>
    <w:p w14:paraId="007CEEE3" w14:textId="77777777" w:rsidR="002D4119" w:rsidRDefault="002D4119"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0FEEC9CA" w14:textId="77777777" w:rsidR="009557DF" w:rsidRPr="009557DF" w:rsidRDefault="009557DF" w:rsidP="009557DF">
      <w:pPr>
        <w:pStyle w:val="Sinespaciado"/>
        <w:rPr>
          <w:rFonts w:eastAsia="Calibri"/>
          <w:lang w:val="es-MX"/>
        </w:rPr>
      </w:pPr>
      <w:r w:rsidRPr="009557DF">
        <w:rPr>
          <w:rFonts w:eastAsia="Calibri"/>
          <w:b/>
          <w:lang w:val="es-MX"/>
        </w:rPr>
        <w:t xml:space="preserve">Artículo 56. </w:t>
      </w:r>
      <w:r w:rsidRPr="009557DF">
        <w:rPr>
          <w:rFonts w:eastAsia="Calibri"/>
          <w:lang w:val="es-MX"/>
        </w:rPr>
        <w:t xml:space="preserve">La Consejería Jurídica es la dependencia encargada de diseñar y coordinar la política jurídica y de acceso a la justicia del Poder Ejecutivo, de planear, programar, dirigir, resolver, controlar y evaluar las funciones del registro civil, del notariado, las relativas a la demarcación y conservación de los límites del Estado y sus municipios, en coordinación con las autoridades competentes, de la función registral, legalizaciones y apostillamiento, de la defensoría pública, administración de la publicación del Periódico Oficial "Gaceta del Gobierno", las relativas al reconocimiento, promoción, atención y defensa de los derechos humanos desde el Poder Ejecutivo, de proporcionar información de los ordenamientos legales, coordinarse con los responsables de las unidades de asuntos jurídicos de cada dependencia de </w:t>
      </w:r>
      <w:r w:rsidRPr="009557DF">
        <w:rPr>
          <w:rFonts w:eastAsia="Calibri"/>
          <w:lang w:val="es-MX"/>
        </w:rPr>
        <w:lastRenderedPageBreak/>
        <w:t>la Administración Pública, en materia jurídica de las dependencias y demás disposiciones de observancia general en el Estado.</w:t>
      </w:r>
    </w:p>
    <w:p w14:paraId="56BFFC6F" w14:textId="77777777" w:rsidR="009557DF" w:rsidRPr="009557DF" w:rsidRDefault="009557DF" w:rsidP="009557DF">
      <w:pPr>
        <w:pStyle w:val="Sinespaciado"/>
        <w:rPr>
          <w:rFonts w:eastAsia="Calibri"/>
          <w:lang w:val="es-MX"/>
        </w:rPr>
      </w:pPr>
    </w:p>
    <w:p w14:paraId="1E44150E" w14:textId="77777777" w:rsidR="009557DF" w:rsidRDefault="009557DF" w:rsidP="009557DF">
      <w:pPr>
        <w:pStyle w:val="Sinespaciado"/>
        <w:rPr>
          <w:rFonts w:eastAsia="Calibri"/>
          <w:lang w:val="es-MX"/>
        </w:rPr>
      </w:pPr>
      <w:r w:rsidRPr="009557DF">
        <w:rPr>
          <w:rFonts w:eastAsia="Calibri"/>
          <w:b/>
          <w:lang w:val="es-MX"/>
        </w:rPr>
        <w:t xml:space="preserve">Artículo 57. </w:t>
      </w:r>
      <w:r w:rsidRPr="009557DF">
        <w:rPr>
          <w:rFonts w:eastAsia="Calibri"/>
          <w:lang w:val="es-MX"/>
        </w:rPr>
        <w:t>A la Consejería Jurídica le corresponde el despacho de los siguientes asuntos:</w:t>
      </w:r>
    </w:p>
    <w:p w14:paraId="33789275" w14:textId="748EE225" w:rsidR="009557DF" w:rsidRPr="00080E7F" w:rsidRDefault="009557DF" w:rsidP="009557DF">
      <w:pPr>
        <w:pStyle w:val="Sinespaciado"/>
        <w:rPr>
          <w:rFonts w:eastAsia="Calibri"/>
          <w:lang w:val="es-MX"/>
        </w:rPr>
      </w:pPr>
      <w:r w:rsidRPr="00080E7F">
        <w:rPr>
          <w:rFonts w:eastAsia="Calibri"/>
          <w:lang w:val="es-MX"/>
        </w:rPr>
        <w:t>[…]</w:t>
      </w:r>
    </w:p>
    <w:p w14:paraId="5127C09E" w14:textId="4B6DEEAE" w:rsidR="00864C62" w:rsidRPr="00864C62" w:rsidRDefault="00864C62" w:rsidP="00864C62">
      <w:pPr>
        <w:pStyle w:val="Sinespaciado"/>
        <w:rPr>
          <w:rFonts w:eastAsia="Calibri"/>
          <w:lang w:val="es-ES_tradnl"/>
        </w:rPr>
      </w:pPr>
      <w:r w:rsidRPr="00864C62">
        <w:rPr>
          <w:rFonts w:eastAsia="Calibri"/>
          <w:b/>
          <w:lang w:val="es-ES_tradnl"/>
        </w:rPr>
        <w:t>XXIX.</w:t>
      </w:r>
      <w:r w:rsidRPr="00864C62">
        <w:rPr>
          <w:rFonts w:eastAsia="Calibri"/>
          <w:lang w:val="es-ES_tradnl"/>
        </w:rPr>
        <w:t xml:space="preserve"> </w:t>
      </w:r>
      <w:r>
        <w:rPr>
          <w:rFonts w:eastAsia="Calibri"/>
          <w:lang w:val="es-ES_tradnl"/>
        </w:rPr>
        <w:tab/>
      </w:r>
      <w:r w:rsidRPr="00864C62">
        <w:rPr>
          <w:rFonts w:eastAsia="Calibri"/>
          <w:lang w:val="es-ES_tradnl"/>
        </w:rPr>
        <w:t>Coordinar y vigilar la Función Registral del Estado de México conforme a la legislación aplicable;</w:t>
      </w:r>
    </w:p>
    <w:p w14:paraId="71660E0E" w14:textId="536A6479" w:rsidR="009557DF" w:rsidRDefault="00864C62" w:rsidP="00864C62">
      <w:pPr>
        <w:pStyle w:val="Sinespaciado"/>
        <w:rPr>
          <w:rFonts w:eastAsia="Calibri"/>
          <w:lang w:val="es-ES_tradnl"/>
        </w:rPr>
      </w:pPr>
      <w:r w:rsidRPr="00864C62">
        <w:rPr>
          <w:rFonts w:eastAsia="Calibri"/>
          <w:b/>
          <w:lang w:val="es-ES_tradnl"/>
        </w:rPr>
        <w:t>XXX.</w:t>
      </w:r>
      <w:r w:rsidRPr="00864C62">
        <w:rPr>
          <w:rFonts w:eastAsia="Calibri"/>
          <w:lang w:val="es-ES_tradnl"/>
        </w:rPr>
        <w:t xml:space="preserve"> </w:t>
      </w:r>
      <w:r>
        <w:rPr>
          <w:rFonts w:eastAsia="Calibri"/>
          <w:lang w:val="es-ES_tradnl"/>
        </w:rPr>
        <w:tab/>
      </w:r>
      <w:r w:rsidRPr="00864C62">
        <w:rPr>
          <w:rFonts w:eastAsia="Calibri"/>
          <w:lang w:val="es-ES_tradnl"/>
        </w:rPr>
        <w:t>Organizar, dirigir y vigilar el ejercicio de las funciones del Registro Civil;</w:t>
      </w:r>
    </w:p>
    <w:p w14:paraId="339D58F0" w14:textId="78F015C1" w:rsidR="00864C62" w:rsidRPr="00864C62" w:rsidRDefault="00864C62" w:rsidP="00864C62">
      <w:pPr>
        <w:pStyle w:val="Sinespaciado"/>
        <w:rPr>
          <w:rFonts w:eastAsia="Calibri"/>
          <w:lang w:val="es-ES_tradnl"/>
        </w:rPr>
      </w:pPr>
      <w:r w:rsidRPr="00864C62">
        <w:rPr>
          <w:rFonts w:eastAsia="Calibri"/>
          <w:lang w:val="es-ES_tradnl"/>
        </w:rPr>
        <w:t>[…]</w:t>
      </w:r>
    </w:p>
    <w:p w14:paraId="53E520C1" w14:textId="77777777" w:rsidR="002D4119" w:rsidRDefault="002D4119"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2D7F970F" w14:textId="4512DEA2" w:rsidR="00864C62" w:rsidRDefault="00864C62"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Por tanto, se estima que la autoridad facultada para conocer respecto de las funciones del Registro Civil es la Consejería Jurídica y no así el Sujeto Obligado.</w:t>
      </w:r>
    </w:p>
    <w:p w14:paraId="7FF3C065" w14:textId="77777777" w:rsidR="00864C62" w:rsidRDefault="00864C62"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6ABFC0EF" w14:textId="2F9C1A6A" w:rsidR="00864C62" w:rsidRDefault="00864C62" w:rsidP="28CAB825">
      <w:pPr>
        <w:widowControl w:val="0"/>
        <w:autoSpaceDE w:val="0"/>
        <w:autoSpaceDN w:val="0"/>
        <w:adjustRightInd w:val="0"/>
        <w:spacing w:line="360" w:lineRule="auto"/>
        <w:ind w:right="51"/>
        <w:jc w:val="both"/>
        <w:rPr>
          <w:rFonts w:ascii="Palatino Linotype" w:eastAsia="Calibri" w:hAnsi="Palatino Linotype" w:cs="Arial"/>
        </w:rPr>
      </w:pPr>
      <w:r w:rsidRPr="28CAB825">
        <w:rPr>
          <w:rFonts w:ascii="Palatino Linotype" w:eastAsia="Calibri" w:hAnsi="Palatino Linotype" w:cs="Arial"/>
        </w:rPr>
        <w:t>Por último, no se omite señalar que en los motivos de inconformidad, la Recurrente expresó que requiere las constancias de las que se desprenda cómo se reportaron sus datos a la RENAPO para la certificación de la CURP; sin embargo, este planteamiento no obra en su solicitud original.</w:t>
      </w:r>
    </w:p>
    <w:p w14:paraId="4528D0D6" w14:textId="1B8339CC" w:rsidR="00864C62" w:rsidRDefault="00864C62"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0E101299" w14:textId="77777777" w:rsidR="00864C62" w:rsidRPr="0059546E" w:rsidRDefault="00864C62" w:rsidP="00864C62">
      <w:pPr>
        <w:spacing w:line="360" w:lineRule="auto"/>
        <w:contextualSpacing/>
        <w:jc w:val="both"/>
        <w:rPr>
          <w:rFonts w:ascii="Palatino Linotype" w:eastAsia="Palatino Linotype" w:hAnsi="Palatino Linotype" w:cs="Palatino Linotype"/>
          <w:lang w:eastAsia="es-MX"/>
        </w:rPr>
      </w:pPr>
      <w:r w:rsidRPr="2CE7142E">
        <w:rPr>
          <w:rFonts w:ascii="Palatino Linotype" w:hAnsi="Palatino Linotype"/>
          <w:color w:val="000000"/>
          <w:lang w:eastAsia="es-MX"/>
        </w:rPr>
        <w:t xml:space="preserve">Por tanto, </w:t>
      </w:r>
      <w:r w:rsidRPr="2CE7142E">
        <w:rPr>
          <w:rFonts w:ascii="Palatino Linotype" w:eastAsia="Palatino Linotype" w:hAnsi="Palatino Linotype" w:cs="Palatino Linotype"/>
          <w:lang w:eastAsia="es-MX"/>
        </w:rPr>
        <w:t xml:space="preserve">dado que el motivo de inconformidad consiste en un requerimiento que no fue planteado desde la solicitud primigenia, este debe ser calificado como una ampliación a la solicitud de información o </w:t>
      </w:r>
      <w:r w:rsidRPr="2CE7142E">
        <w:rPr>
          <w:rFonts w:ascii="Palatino Linotype" w:eastAsia="Palatino Linotype" w:hAnsi="Palatino Linotype" w:cs="Palatino Linotype"/>
          <w:i/>
          <w:iCs/>
          <w:lang w:eastAsia="es-MX"/>
        </w:rPr>
        <w:t xml:space="preserve">plus </w:t>
      </w:r>
      <w:proofErr w:type="spellStart"/>
      <w:r w:rsidRPr="2CE7142E">
        <w:rPr>
          <w:rFonts w:ascii="Palatino Linotype" w:eastAsia="Palatino Linotype" w:hAnsi="Palatino Linotype" w:cs="Palatino Linotype"/>
          <w:i/>
          <w:iCs/>
          <w:lang w:eastAsia="es-MX"/>
        </w:rPr>
        <w:t>petitio</w:t>
      </w:r>
      <w:proofErr w:type="spellEnd"/>
      <w:r w:rsidRPr="2CE7142E">
        <w:rPr>
          <w:rFonts w:ascii="Palatino Linotype" w:eastAsia="Palatino Linotype" w:hAnsi="Palatino Linotype" w:cs="Palatino Linotype"/>
          <w:lang w:eastAsia="es-MX"/>
        </w:rPr>
        <w:t xml:space="preserve">; esto es, que se adhirió información que no había sido solicitada. Por lo que al 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w:t>
      </w:r>
      <w:r w:rsidRPr="2CE7142E">
        <w:rPr>
          <w:rFonts w:ascii="Palatino Linotype" w:eastAsia="Palatino Linotype" w:hAnsi="Palatino Linotype" w:cs="Palatino Linotype"/>
          <w:lang w:eastAsia="es-MX"/>
        </w:rPr>
        <w:lastRenderedPageBreak/>
        <w:t>por analogía la siguiente tesis jurisprudencial con registro digital 178788</w:t>
      </w:r>
      <w:r w:rsidRPr="2CE7142E">
        <w:rPr>
          <w:rFonts w:ascii="Palatino Linotype" w:eastAsia="Palatino Linotype" w:hAnsi="Palatino Linotype" w:cs="Palatino Linotype"/>
          <w:vertAlign w:val="superscript"/>
          <w:lang w:eastAsia="es-MX"/>
        </w:rPr>
        <w:footnoteReference w:id="3"/>
      </w:r>
      <w:r w:rsidRPr="2CE7142E">
        <w:rPr>
          <w:rFonts w:ascii="Palatino Linotype" w:eastAsia="Palatino Linotype" w:hAnsi="Palatino Linotype" w:cs="Palatino Linotype"/>
          <w:lang w:eastAsia="es-MX"/>
        </w:rPr>
        <w:t>, en la que se establece lo siguiente:</w:t>
      </w:r>
    </w:p>
    <w:p w14:paraId="19A63B2C" w14:textId="77777777" w:rsidR="00864C62" w:rsidRPr="0059546E" w:rsidRDefault="00864C62" w:rsidP="00864C62">
      <w:pPr>
        <w:spacing w:line="360" w:lineRule="auto"/>
        <w:contextualSpacing/>
        <w:jc w:val="both"/>
        <w:rPr>
          <w:rFonts w:ascii="Palatino Linotype" w:eastAsia="Palatino Linotype" w:hAnsi="Palatino Linotype" w:cs="Palatino Linotype"/>
          <w:lang w:val="es-ES_tradnl" w:eastAsia="es-MX"/>
        </w:rPr>
      </w:pPr>
    </w:p>
    <w:p w14:paraId="1938B452" w14:textId="77777777" w:rsidR="00864C62" w:rsidRPr="0059546E" w:rsidRDefault="00864C62" w:rsidP="00864C62">
      <w:pPr>
        <w:ind w:left="567" w:right="567"/>
        <w:jc w:val="both"/>
        <w:rPr>
          <w:rFonts w:ascii="Palatino Linotype" w:hAnsi="Palatino Linotype"/>
          <w:b/>
          <w:i/>
          <w:sz w:val="22"/>
        </w:rPr>
      </w:pPr>
      <w:r w:rsidRPr="0059546E">
        <w:rPr>
          <w:rFonts w:ascii="Palatino Linotype" w:hAnsi="Palatino Linotype"/>
          <w:b/>
          <w:i/>
          <w:sz w:val="22"/>
        </w:rPr>
        <w:t>CONCEPTOS DE VIOLACIÓN EN EL AMPARO DIRECTO. INOPERANCIA DE LOS QUE INTRODUCEN CUESTIONAMIENTOS NOVEDOSOS QUE NO FUERON PLANTEADOS EN EL JUICIO NATURAL.</w:t>
      </w:r>
    </w:p>
    <w:p w14:paraId="2F6A5D25" w14:textId="77777777" w:rsidR="00864C62" w:rsidRPr="0059546E" w:rsidRDefault="00864C62" w:rsidP="00864C62">
      <w:pPr>
        <w:ind w:left="567" w:right="567"/>
        <w:jc w:val="both"/>
        <w:rPr>
          <w:rFonts w:ascii="Palatino Linotype" w:hAnsi="Palatino Linotype"/>
          <w:i/>
          <w:sz w:val="22"/>
        </w:rPr>
      </w:pPr>
      <w:r w:rsidRPr="0059546E">
        <w:rPr>
          <w:rFonts w:ascii="Palatino Linotype" w:hAnsi="Palatino Linotype"/>
          <w:i/>
          <w:sz w:val="22"/>
        </w:rPr>
        <w:t>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1B103912" w14:textId="77777777" w:rsidR="00864C62" w:rsidRDefault="00864C62" w:rsidP="0065334E">
      <w:pPr>
        <w:widowControl w:val="0"/>
        <w:autoSpaceDE w:val="0"/>
        <w:autoSpaceDN w:val="0"/>
        <w:adjustRightInd w:val="0"/>
        <w:spacing w:line="360" w:lineRule="auto"/>
        <w:ind w:right="51"/>
        <w:jc w:val="both"/>
        <w:rPr>
          <w:rFonts w:ascii="Palatino Linotype" w:eastAsia="Calibri" w:hAnsi="Palatino Linotype" w:cs="Arial"/>
          <w:lang w:val="es-ES_tradnl"/>
        </w:rPr>
      </w:pPr>
    </w:p>
    <w:p w14:paraId="69D1324C" w14:textId="665162AC" w:rsidR="00F30CA4" w:rsidRDefault="00864C62"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De tal forma que se considera que el Sujeto Obligado no se encuentra compelido a realizar la rectificación solicitada, pues esta es competencia de una autoridad distinta. </w:t>
      </w:r>
      <w:r w:rsidR="00F30CA4">
        <w:rPr>
          <w:rFonts w:ascii="Palatino Linotype" w:eastAsia="Calibri" w:hAnsi="Palatino Linotype" w:cs="Arial"/>
          <w:lang w:val="es-ES_tradnl"/>
        </w:rPr>
        <w:t xml:space="preserve">En esa tesitura, </w:t>
      </w:r>
      <w:r w:rsidR="003B5A80">
        <w:rPr>
          <w:rFonts w:ascii="Palatino Linotype" w:eastAsia="Calibri" w:hAnsi="Palatino Linotype" w:cs="Arial"/>
          <w:lang w:val="es-ES_tradnl"/>
        </w:rPr>
        <w:t>el artículo 112 de la Ley de Protección de Datos local establece lo siguiente:</w:t>
      </w:r>
    </w:p>
    <w:p w14:paraId="4F4467BB" w14:textId="0E4C44C8" w:rsidR="003B5A80" w:rsidRDefault="003B5A80"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3869293A" w14:textId="77777777" w:rsidR="003B5A80" w:rsidRPr="003B5A80" w:rsidRDefault="003B5A80" w:rsidP="003B5A80">
      <w:pPr>
        <w:pStyle w:val="Sinespaciado"/>
        <w:rPr>
          <w:rFonts w:eastAsia="Calibri"/>
          <w:lang w:val="es-MX"/>
        </w:rPr>
      </w:pPr>
      <w:r w:rsidRPr="003B5A80">
        <w:rPr>
          <w:rFonts w:eastAsia="Calibri"/>
          <w:b/>
          <w:lang w:val="es-MX"/>
        </w:rPr>
        <w:t xml:space="preserve">Artículo 112. </w:t>
      </w:r>
      <w:r w:rsidRPr="003B5A80">
        <w:rPr>
          <w:rFonts w:eastAsia="Calibri"/>
          <w:lang w:val="es-MX"/>
        </w:rPr>
        <w:t>Cuando el responsable no sea competente para atender la solicitud para el ejercicio de derechos ARCO, deberá hacer del conocimiento del titular dicha situación dentro de los tres días siguientes a la presentación de la solicitud y en caso de poderlo determinar, orientarlo hacia el responsable competente.</w:t>
      </w:r>
    </w:p>
    <w:p w14:paraId="355F5FCD" w14:textId="77777777" w:rsidR="003B5A80" w:rsidRPr="003B5A80" w:rsidRDefault="003B5A80" w:rsidP="003B5A80">
      <w:pPr>
        <w:pStyle w:val="Sinespaciado"/>
        <w:rPr>
          <w:rFonts w:eastAsia="Calibri"/>
          <w:lang w:val="es-MX"/>
        </w:rPr>
      </w:pPr>
    </w:p>
    <w:p w14:paraId="1EF769F3" w14:textId="26EB0B20" w:rsidR="003B5A80" w:rsidRDefault="003B5A80" w:rsidP="003B5A80">
      <w:pPr>
        <w:pStyle w:val="Sinespaciado"/>
        <w:rPr>
          <w:rFonts w:eastAsia="Calibri"/>
          <w:lang w:val="es-ES_tradnl"/>
        </w:rPr>
      </w:pPr>
      <w:r w:rsidRPr="003B5A80">
        <w:rPr>
          <w:rFonts w:eastAsia="Calibri"/>
          <w:lang w:val="es-MX"/>
        </w:rPr>
        <w:t>En caso que el responsable advierta que la solicitud para el ejercicio de derechos ARCO corresponda a un derecho diferente de los previstos en la presente Ley, deberá reconducir la vía haciéndolo del conocimiento al titular en el plazo previsto en el primer párrafo.</w:t>
      </w:r>
    </w:p>
    <w:p w14:paraId="2E0AA1FF" w14:textId="77777777" w:rsidR="00E45739" w:rsidRDefault="00E45739"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7392CD74" w14:textId="07D49BDA" w:rsidR="00352E06" w:rsidRDefault="003B5A80"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r>
        <w:rPr>
          <w:rFonts w:ascii="Palatino Linotype" w:eastAsia="Calibri" w:hAnsi="Palatino Linotype" w:cs="Arial"/>
          <w:lang w:val="es-ES_tradnl"/>
        </w:rPr>
        <w:t xml:space="preserve">De tal forma que el Sujeto Obligado </w:t>
      </w:r>
      <w:r w:rsidR="00C25AE2">
        <w:rPr>
          <w:rFonts w:ascii="Palatino Linotype" w:eastAsia="Calibri" w:hAnsi="Palatino Linotype" w:cs="Arial"/>
          <w:lang w:val="es-ES_tradnl"/>
        </w:rPr>
        <w:t xml:space="preserve">se declaró incompetente en los términos del precepto citado </w:t>
      </w:r>
      <w:r w:rsidR="0065334E">
        <w:rPr>
          <w:rFonts w:ascii="Palatino Linotype" w:eastAsia="Calibri" w:hAnsi="Palatino Linotype" w:cs="Arial"/>
          <w:lang w:val="es-ES_tradnl"/>
        </w:rPr>
        <w:t xml:space="preserve">observando cabalmente el término previsto, aunado a que la incompetencia </w:t>
      </w:r>
      <w:r w:rsidR="0065334E">
        <w:rPr>
          <w:rFonts w:ascii="Palatino Linotype" w:eastAsia="Calibri" w:hAnsi="Palatino Linotype" w:cs="Arial"/>
          <w:lang w:val="es-ES_tradnl"/>
        </w:rPr>
        <w:lastRenderedPageBreak/>
        <w:t xml:space="preserve">referida se estima como notoria conforme a </w:t>
      </w:r>
      <w:r w:rsidR="00864C62">
        <w:rPr>
          <w:rFonts w:ascii="Palatino Linotype" w:eastAsia="Calibri" w:hAnsi="Palatino Linotype" w:cs="Arial"/>
          <w:lang w:val="es-ES_tradnl"/>
        </w:rPr>
        <w:t>lo referido</w:t>
      </w:r>
      <w:r w:rsidR="0065334E">
        <w:rPr>
          <w:rFonts w:ascii="Palatino Linotype" w:eastAsia="Calibri" w:hAnsi="Palatino Linotype" w:cs="Arial"/>
          <w:lang w:val="es-ES_tradnl"/>
        </w:rPr>
        <w:t xml:space="preserve"> en </w:t>
      </w:r>
      <w:r w:rsidR="00864C62">
        <w:rPr>
          <w:rFonts w:ascii="Palatino Linotype" w:eastAsia="Calibri" w:hAnsi="Palatino Linotype" w:cs="Arial"/>
          <w:lang w:val="es-ES_tradnl"/>
        </w:rPr>
        <w:t>párrafos anteriores</w:t>
      </w:r>
      <w:r w:rsidR="0065334E">
        <w:rPr>
          <w:rFonts w:ascii="Palatino Linotype" w:eastAsia="Calibri" w:hAnsi="Palatino Linotype" w:cs="Arial"/>
          <w:lang w:val="es-ES_tradnl"/>
        </w:rPr>
        <w:t xml:space="preserve">. Por lo anterior, </w:t>
      </w:r>
      <w:r w:rsidR="00F86214">
        <w:rPr>
          <w:rFonts w:ascii="Palatino Linotype" w:eastAsia="Calibri" w:hAnsi="Palatino Linotype" w:cs="Arial"/>
          <w:lang w:val="es-ES_tradnl"/>
        </w:rPr>
        <w:t xml:space="preserve">se considera innecesario que el Comité de Transparencia del Sujeto Obligado emita una declaratoria de incompetencia y </w:t>
      </w:r>
      <w:r w:rsidR="00352E06">
        <w:rPr>
          <w:rFonts w:ascii="Palatino Linotype" w:eastAsia="Calibri" w:hAnsi="Palatino Linotype" w:cs="Arial"/>
          <w:lang w:val="es-ES_tradnl"/>
        </w:rPr>
        <w:t>se tiene por manifestada la misma por el Sujeto Obligado; para mayor abundamiento resulta aplicable el criterio 02/2020 emitido por el Instituto Nacional de Transparencia, Acceso a la Información y Protección de Datos Personales, en el que se establece lo siguiente:</w:t>
      </w:r>
    </w:p>
    <w:p w14:paraId="79383BA0" w14:textId="7D546368" w:rsidR="00352E06" w:rsidRDefault="00352E06"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5936ED1D" w14:textId="77777777" w:rsidR="00352E06" w:rsidRPr="00352E06" w:rsidRDefault="00352E06" w:rsidP="00352E06">
      <w:pPr>
        <w:pStyle w:val="Sinespaciado"/>
        <w:rPr>
          <w:rFonts w:eastAsia="Calibri"/>
          <w:lang w:val="es-MX"/>
        </w:rPr>
      </w:pPr>
      <w:r w:rsidRPr="00352E06">
        <w:rPr>
          <w:rFonts w:eastAsia="Calibri"/>
          <w:b/>
          <w:lang w:val="es-MX"/>
        </w:rPr>
        <w:t xml:space="preserve">Declaración de incompetencia por parte del Comité, cuando no sea notoria o manifiesta. </w:t>
      </w:r>
      <w:r w:rsidRPr="00352E06">
        <w:rPr>
          <w:rFonts w:eastAsia="Calibri"/>
          <w:lang w:val="es-MX"/>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2C6CE4E1" w14:textId="68955817" w:rsidR="0072226C" w:rsidRDefault="0072226C" w:rsidP="007C1357">
      <w:pPr>
        <w:widowControl w:val="0"/>
        <w:autoSpaceDE w:val="0"/>
        <w:autoSpaceDN w:val="0"/>
        <w:adjustRightInd w:val="0"/>
        <w:spacing w:line="360" w:lineRule="auto"/>
        <w:ind w:right="51"/>
        <w:jc w:val="both"/>
        <w:rPr>
          <w:rFonts w:ascii="Palatino Linotype" w:eastAsia="Calibri" w:hAnsi="Palatino Linotype" w:cs="Arial"/>
          <w:lang w:val="es-ES_tradnl"/>
        </w:rPr>
      </w:pPr>
    </w:p>
    <w:p w14:paraId="07A3D170" w14:textId="0C66D64F" w:rsidR="0072226C" w:rsidRPr="0072226C" w:rsidRDefault="00050C6D" w:rsidP="0072226C">
      <w:pPr>
        <w:widowControl w:val="0"/>
        <w:autoSpaceDE w:val="0"/>
        <w:autoSpaceDN w:val="0"/>
        <w:adjustRightInd w:val="0"/>
        <w:spacing w:line="360" w:lineRule="auto"/>
        <w:jc w:val="both"/>
        <w:rPr>
          <w:rFonts w:ascii="Palatino Linotype" w:eastAsia="Calibri" w:hAnsi="Palatino Linotype" w:cs="Arial"/>
          <w:lang w:val="es-ES_tradnl"/>
        </w:rPr>
      </w:pPr>
      <w:r>
        <w:rPr>
          <w:rFonts w:ascii="Palatino Linotype" w:eastAsia="Calibri" w:hAnsi="Palatino Linotype" w:cs="Arial"/>
          <w:lang w:val="es-ES_tradnl"/>
        </w:rPr>
        <w:t xml:space="preserve">Consecuentemente, </w:t>
      </w:r>
      <w:r w:rsidR="0072226C" w:rsidRPr="0072226C">
        <w:rPr>
          <w:rFonts w:ascii="Palatino Linotype" w:eastAsia="Calibri" w:hAnsi="Palatino Linotype"/>
        </w:rPr>
        <w:t>con base en las consideraciones de hecho y de derecho precisadas en párrafos anteriores</w:t>
      </w:r>
      <w:r w:rsidR="0072226C">
        <w:rPr>
          <w:rFonts w:ascii="Palatino Linotype" w:eastAsia="Calibri" w:hAnsi="Palatino Linotype"/>
        </w:rPr>
        <w:t>, este In</w:t>
      </w:r>
      <w:r w:rsidR="0082339C">
        <w:rPr>
          <w:rFonts w:ascii="Palatino Linotype" w:eastAsia="Calibri" w:hAnsi="Palatino Linotype"/>
        </w:rPr>
        <w:t xml:space="preserve">stituto considera que los motivos de inconformidad planteados por la Recurrente devienen infundados, por lo que es procedente confirmar </w:t>
      </w:r>
      <w:r w:rsidR="0072226C" w:rsidRPr="0072226C">
        <w:rPr>
          <w:rFonts w:ascii="Palatino Linotype" w:eastAsia="Calibri" w:hAnsi="Palatino Linotype" w:cs="Arial"/>
          <w:lang w:val="es-ES_tradnl"/>
        </w:rPr>
        <w:t xml:space="preserve">la respuesta </w:t>
      </w:r>
      <w:r w:rsidR="0082339C">
        <w:rPr>
          <w:rFonts w:ascii="Palatino Linotype" w:eastAsia="Calibri" w:hAnsi="Palatino Linotype" w:cs="Arial"/>
          <w:lang w:val="es-ES_tradnl"/>
        </w:rPr>
        <w:t xml:space="preserve">proporcionada </w:t>
      </w:r>
      <w:r w:rsidR="0082339C" w:rsidRPr="0082339C">
        <w:rPr>
          <w:rFonts w:ascii="Palatino Linotype" w:eastAsia="Calibri" w:hAnsi="Palatino Linotype" w:cs="Arial"/>
          <w:lang w:val="es-ES_tradnl"/>
        </w:rPr>
        <w:t xml:space="preserve">por </w:t>
      </w:r>
      <w:r w:rsidR="0072226C" w:rsidRPr="0082339C">
        <w:rPr>
          <w:rFonts w:ascii="Palatino Linotype" w:eastAsia="Calibri" w:hAnsi="Palatino Linotype" w:cs="Arial"/>
          <w:lang w:val="es-ES_tradnl"/>
        </w:rPr>
        <w:t xml:space="preserve"> el Sujeto Obligado</w:t>
      </w:r>
      <w:r w:rsidR="0072226C" w:rsidRPr="0072226C">
        <w:rPr>
          <w:rFonts w:ascii="Palatino Linotype" w:eastAsia="Calibri" w:hAnsi="Palatino Linotype" w:cs="Arial"/>
          <w:lang w:val="es-ES_tradnl"/>
        </w:rPr>
        <w:t xml:space="preserve"> a la solicitud de</w:t>
      </w:r>
      <w:r w:rsidR="0082339C">
        <w:rPr>
          <w:rFonts w:ascii="Palatino Linotype" w:eastAsia="Calibri" w:hAnsi="Palatino Linotype" w:cs="Arial"/>
          <w:lang w:val="es-ES_tradnl"/>
        </w:rPr>
        <w:t xml:space="preserve"> acceso</w:t>
      </w:r>
      <w:r w:rsidR="0072226C" w:rsidRPr="0072226C">
        <w:rPr>
          <w:rFonts w:ascii="Palatino Linotype" w:eastAsia="Calibri" w:hAnsi="Palatino Linotype" w:cs="Arial"/>
          <w:lang w:val="es-ES_tradnl"/>
        </w:rPr>
        <w:t xml:space="preserve"> </w:t>
      </w:r>
      <w:r w:rsidR="0082339C">
        <w:rPr>
          <w:rFonts w:ascii="Palatino Linotype" w:eastAsia="Calibri" w:hAnsi="Palatino Linotype" w:cs="Arial"/>
          <w:lang w:val="es-ES_tradnl"/>
        </w:rPr>
        <w:t>a</w:t>
      </w:r>
      <w:r w:rsidR="0072226C" w:rsidRPr="0072226C">
        <w:rPr>
          <w:rFonts w:ascii="Palatino Linotype" w:eastAsia="Calibri" w:hAnsi="Palatino Linotype" w:cs="Arial"/>
          <w:lang w:val="es-ES_tradnl"/>
        </w:rPr>
        <w:t xml:space="preserve"> datos personales, con número </w:t>
      </w:r>
      <w:r w:rsidR="00D21BEB">
        <w:rPr>
          <w:rFonts w:ascii="Palatino Linotype" w:eastAsia="Calibri" w:hAnsi="Palatino Linotype" w:cs="Arial"/>
          <w:b/>
          <w:lang w:val="es-ES_tradnl"/>
        </w:rPr>
        <w:t>00001/TLALNEPA/RD/2025</w:t>
      </w:r>
      <w:r w:rsidR="0072226C" w:rsidRPr="0072226C">
        <w:rPr>
          <w:rFonts w:ascii="Palatino Linotype" w:eastAsia="Calibri" w:hAnsi="Palatino Linotype"/>
          <w:lang w:eastAsia="es-ES_tradnl"/>
        </w:rPr>
        <w:t xml:space="preserve">, </w:t>
      </w:r>
      <w:r w:rsidR="00184F32">
        <w:rPr>
          <w:rFonts w:ascii="Palatino Linotype" w:eastAsia="Calibri" w:hAnsi="Palatino Linotype"/>
          <w:lang w:eastAsia="es-ES_tradnl"/>
        </w:rPr>
        <w:t xml:space="preserve">conforme </w:t>
      </w:r>
      <w:r w:rsidR="0072226C" w:rsidRPr="0072226C">
        <w:rPr>
          <w:rFonts w:ascii="Palatino Linotype" w:eastAsia="Calibri" w:hAnsi="Palatino Linotype"/>
          <w:lang w:eastAsia="es-ES_tradnl"/>
        </w:rPr>
        <w:t xml:space="preserve">con lo señalado en la primera hipótesis de la fracción II del </w:t>
      </w:r>
      <w:r w:rsidR="0072226C" w:rsidRPr="0072226C">
        <w:rPr>
          <w:rFonts w:ascii="Palatino Linotype" w:eastAsia="Calibri" w:hAnsi="Palatino Linotype" w:cs="Arial"/>
          <w:lang w:val="es-ES_tradnl"/>
        </w:rPr>
        <w:t xml:space="preserve">artículo 137 de la </w:t>
      </w:r>
      <w:r w:rsidR="0072226C" w:rsidRPr="0072226C">
        <w:rPr>
          <w:rFonts w:ascii="Palatino Linotype" w:eastAsia="Calibri" w:hAnsi="Palatino Linotype"/>
        </w:rPr>
        <w:t>Ley de Protección de Datos Personales en Posesión de Sujetos Obligados del Estado de México y Municipios</w:t>
      </w:r>
      <w:r w:rsidR="0072226C" w:rsidRPr="0072226C">
        <w:rPr>
          <w:rFonts w:ascii="Palatino Linotype" w:eastAsia="Calibri" w:hAnsi="Palatino Linotype" w:cs="Arial"/>
        </w:rPr>
        <w:t>, mismo que se transcribe a continuación en la parte aplicable:</w:t>
      </w:r>
    </w:p>
    <w:p w14:paraId="32A65888" w14:textId="77777777" w:rsidR="0072226C" w:rsidRPr="00184F32" w:rsidRDefault="0072226C" w:rsidP="00184F32">
      <w:pPr>
        <w:spacing w:line="360" w:lineRule="auto"/>
        <w:rPr>
          <w:rFonts w:ascii="Palatino Linotype" w:eastAsia="Calibri" w:hAnsi="Palatino Linotype"/>
          <w:lang w:val="es-ES_tradnl"/>
        </w:rPr>
      </w:pPr>
    </w:p>
    <w:p w14:paraId="1D674D20" w14:textId="77777777" w:rsidR="0072226C" w:rsidRPr="00184F32" w:rsidRDefault="0072226C" w:rsidP="00184F32">
      <w:pPr>
        <w:pStyle w:val="Sinespaciado"/>
        <w:rPr>
          <w:rFonts w:eastAsia="Calibri"/>
        </w:rPr>
      </w:pPr>
      <w:r w:rsidRPr="00184F32">
        <w:rPr>
          <w:rFonts w:eastAsia="Calibri"/>
          <w:b/>
        </w:rPr>
        <w:t>Artículo 137</w:t>
      </w:r>
      <w:r w:rsidRPr="00184F32">
        <w:rPr>
          <w:rFonts w:eastAsia="Calibri"/>
        </w:rPr>
        <w:t>. Las resoluciones del Instituto podrán:</w:t>
      </w:r>
    </w:p>
    <w:p w14:paraId="1F068C69" w14:textId="0E088E14" w:rsidR="0072226C" w:rsidRPr="00184F32" w:rsidRDefault="00080E7F" w:rsidP="00184F32">
      <w:pPr>
        <w:pStyle w:val="Sinespaciado"/>
        <w:rPr>
          <w:rFonts w:eastAsia="Calibri"/>
          <w:bCs/>
        </w:rPr>
      </w:pPr>
      <w:r>
        <w:rPr>
          <w:rFonts w:eastAsia="Calibri"/>
          <w:bCs/>
        </w:rPr>
        <w:t>[…]</w:t>
      </w:r>
    </w:p>
    <w:p w14:paraId="59454C12" w14:textId="6AE287EC" w:rsidR="0072226C" w:rsidRPr="00184F32" w:rsidRDefault="0072226C" w:rsidP="00184F32">
      <w:pPr>
        <w:pStyle w:val="Sinespaciado"/>
        <w:rPr>
          <w:rFonts w:eastAsia="Calibri"/>
        </w:rPr>
      </w:pPr>
      <w:r w:rsidRPr="00184F32">
        <w:rPr>
          <w:rFonts w:eastAsia="Calibri"/>
          <w:b/>
        </w:rPr>
        <w:t>II.</w:t>
      </w:r>
      <w:r w:rsidRPr="00184F32">
        <w:rPr>
          <w:rFonts w:eastAsia="Calibri"/>
        </w:rPr>
        <w:t xml:space="preserve"> Confirmar la respuesta del responsable.</w:t>
      </w:r>
    </w:p>
    <w:p w14:paraId="793F4CEF" w14:textId="1CCE2080" w:rsidR="00080E7F" w:rsidRPr="00080E7F" w:rsidRDefault="00080E7F" w:rsidP="00184F32">
      <w:pPr>
        <w:pStyle w:val="Sinespaciado"/>
        <w:rPr>
          <w:rFonts w:eastAsia="Calibri"/>
        </w:rPr>
      </w:pPr>
      <w:r w:rsidRPr="00080E7F">
        <w:rPr>
          <w:rFonts w:eastAsia="Calibri"/>
        </w:rPr>
        <w:t>[…]</w:t>
      </w:r>
    </w:p>
    <w:p w14:paraId="3258CB0F" w14:textId="77777777" w:rsidR="0072226C" w:rsidRDefault="0072226C" w:rsidP="0065334E">
      <w:pPr>
        <w:spacing w:line="360" w:lineRule="auto"/>
        <w:jc w:val="both"/>
        <w:rPr>
          <w:rFonts w:ascii="Palatino Linotype" w:eastAsia="Calibri" w:hAnsi="Palatino Linotype"/>
        </w:rPr>
      </w:pPr>
    </w:p>
    <w:p w14:paraId="35030378" w14:textId="0BC3986F" w:rsidR="0065334E" w:rsidRDefault="0065334E" w:rsidP="0065334E">
      <w:pPr>
        <w:spacing w:line="360" w:lineRule="auto"/>
        <w:jc w:val="both"/>
        <w:rPr>
          <w:rFonts w:ascii="Palatino Linotype" w:eastAsia="Calibri" w:hAnsi="Palatino Linotype"/>
        </w:rPr>
      </w:pPr>
      <w:r>
        <w:rPr>
          <w:rFonts w:ascii="Palatino Linotype" w:eastAsia="Calibri" w:hAnsi="Palatino Linotype"/>
        </w:rPr>
        <w:lastRenderedPageBreak/>
        <w:t>Por último, se dejan a salvo los derechos del Recurrente para que realice una nueva solicitud de acceso a datos personales ante el sujeto obligado que estime competente.</w:t>
      </w:r>
    </w:p>
    <w:p w14:paraId="4FA8E277" w14:textId="77777777" w:rsidR="0065334E" w:rsidRPr="00184F32" w:rsidRDefault="0065334E" w:rsidP="0065334E">
      <w:pPr>
        <w:spacing w:line="360" w:lineRule="auto"/>
        <w:jc w:val="both"/>
        <w:rPr>
          <w:rFonts w:ascii="Palatino Linotype" w:eastAsia="Calibri" w:hAnsi="Palatino Linotype"/>
        </w:rPr>
      </w:pPr>
    </w:p>
    <w:p w14:paraId="1372CEED" w14:textId="68D91EFA" w:rsidR="0072226C" w:rsidRPr="0072226C" w:rsidRDefault="0072226C" w:rsidP="0065334E">
      <w:pPr>
        <w:spacing w:line="360" w:lineRule="auto"/>
        <w:ind w:firstLine="1"/>
        <w:contextualSpacing/>
        <w:jc w:val="both"/>
        <w:rPr>
          <w:rFonts w:ascii="Palatino Linotype" w:eastAsia="MS Mincho" w:hAnsi="Palatino Linotype" w:cs="Arial"/>
          <w:lang w:val="es-ES_tradnl"/>
        </w:rPr>
      </w:pPr>
      <w:r w:rsidRPr="0072226C">
        <w:rPr>
          <w:rFonts w:ascii="Palatino Linotype" w:eastAsia="Calibri" w:hAnsi="Palatino Linotype" w:cs="Arial"/>
        </w:rPr>
        <w:t xml:space="preserve">Así, con fundamento en lo </w:t>
      </w:r>
      <w:r w:rsidR="00184F32">
        <w:rPr>
          <w:rFonts w:ascii="Palatino Linotype" w:eastAsia="Calibri" w:hAnsi="Palatino Linotype" w:cs="Arial"/>
        </w:rPr>
        <w:t>dispuesto</w:t>
      </w:r>
      <w:r w:rsidRPr="0072226C">
        <w:rPr>
          <w:rFonts w:ascii="Palatino Linotype" w:eastAsia="Calibri" w:hAnsi="Palatino Linotype" w:cs="Arial"/>
        </w:rPr>
        <w:t xml:space="preserve"> en los artículos </w:t>
      </w:r>
      <w:r w:rsidRPr="0072226C">
        <w:rPr>
          <w:rFonts w:ascii="Palatino Linotype" w:eastAsia="Calibri" w:hAnsi="Palatino Linotype"/>
        </w:rPr>
        <w:t>5, párrafos trigésimo, trigésimo primero y trigésimo segundo, fracciones IV y V</w:t>
      </w:r>
      <w:r w:rsidRPr="0072226C">
        <w:rPr>
          <w:rFonts w:ascii="Palatino Linotype" w:eastAsia="Calibri" w:hAnsi="Palatino Linotype" w:cs="Arial"/>
        </w:rPr>
        <w:t xml:space="preserve"> de la Constitución Política del Estado Libre y Soberano de México; 2 fracción II, 29, 36 fracciones I, II y III, 176, 178, 179, 181, 185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w:t>
      </w:r>
      <w:r w:rsidRPr="0072226C">
        <w:rPr>
          <w:rFonts w:ascii="Palatino Linotype" w:eastAsia="MS Mincho" w:hAnsi="Palatino Linotype" w:cs="Arial"/>
          <w:lang w:val="es-ES_tradnl"/>
        </w:rPr>
        <w:t xml:space="preserve"> este Órgano Garante emite los siguientes:</w:t>
      </w:r>
    </w:p>
    <w:p w14:paraId="367910B9" w14:textId="77777777" w:rsidR="0072226C" w:rsidRPr="0072226C" w:rsidRDefault="0072226C" w:rsidP="00184F32">
      <w:pPr>
        <w:spacing w:line="360" w:lineRule="auto"/>
        <w:ind w:firstLine="1"/>
        <w:contextualSpacing/>
        <w:jc w:val="both"/>
        <w:rPr>
          <w:rFonts w:ascii="Palatino Linotype" w:eastAsia="Calibri" w:hAnsi="Palatino Linotype" w:cs="Arial"/>
        </w:rPr>
      </w:pPr>
    </w:p>
    <w:p w14:paraId="5D834CA4" w14:textId="77777777" w:rsidR="0072226C" w:rsidRPr="0072226C" w:rsidRDefault="0072226C" w:rsidP="00184F32">
      <w:pPr>
        <w:keepNext/>
        <w:keepLines/>
        <w:spacing w:line="360" w:lineRule="auto"/>
        <w:jc w:val="center"/>
        <w:outlineLvl w:val="0"/>
        <w:rPr>
          <w:rFonts w:ascii="Palatino Linotype" w:eastAsia="Calibri" w:hAnsi="Palatino Linotype"/>
          <w:b/>
          <w:sz w:val="28"/>
          <w:szCs w:val="28"/>
        </w:rPr>
      </w:pPr>
      <w:r w:rsidRPr="0072226C">
        <w:rPr>
          <w:rFonts w:ascii="Palatino Linotype" w:eastAsia="Calibri" w:hAnsi="Palatino Linotype"/>
          <w:b/>
          <w:sz w:val="28"/>
          <w:szCs w:val="28"/>
        </w:rPr>
        <w:t>R E S O L U T I V O S</w:t>
      </w:r>
    </w:p>
    <w:p w14:paraId="11201BB4" w14:textId="77777777" w:rsidR="0072226C" w:rsidRPr="0072226C" w:rsidRDefault="0072226C" w:rsidP="00184F32">
      <w:pPr>
        <w:spacing w:line="360" w:lineRule="auto"/>
        <w:rPr>
          <w:rFonts w:ascii="Palatino Linotype" w:eastAsia="Calibri" w:hAnsi="Palatino Linotype"/>
        </w:rPr>
      </w:pPr>
    </w:p>
    <w:p w14:paraId="17D37FFD" w14:textId="7390C5AC" w:rsidR="0072226C" w:rsidRPr="0072226C" w:rsidRDefault="0072226C" w:rsidP="00184F32">
      <w:pPr>
        <w:spacing w:line="360" w:lineRule="auto"/>
        <w:jc w:val="both"/>
        <w:rPr>
          <w:rFonts w:ascii="Palatino Linotype" w:hAnsi="Palatino Linotype" w:cs="Arial"/>
          <w:lang w:val="es-ES_tradnl"/>
        </w:rPr>
      </w:pPr>
      <w:r w:rsidRPr="0072226C">
        <w:rPr>
          <w:rFonts w:ascii="Palatino Linotype" w:hAnsi="Palatino Linotype" w:cs="Arial"/>
          <w:b/>
          <w:lang w:val="es-ES_tradnl"/>
        </w:rPr>
        <w:t>PRIMERO</w:t>
      </w:r>
      <w:r w:rsidRPr="0072226C">
        <w:rPr>
          <w:rFonts w:ascii="Palatino Linotype" w:hAnsi="Palatino Linotype" w:cs="Arial"/>
          <w:lang w:val="es-ES_tradnl"/>
        </w:rPr>
        <w:t xml:space="preserve">. Se </w:t>
      </w:r>
      <w:r w:rsidRPr="0072226C">
        <w:rPr>
          <w:rFonts w:ascii="Palatino Linotype" w:hAnsi="Palatino Linotype" w:cs="Arial"/>
          <w:b/>
          <w:lang w:val="es-ES_tradnl"/>
        </w:rPr>
        <w:t>CONFIRMA</w:t>
      </w:r>
      <w:r w:rsidRPr="0072226C">
        <w:rPr>
          <w:rFonts w:ascii="Palatino Linotype" w:hAnsi="Palatino Linotype" w:cs="Arial"/>
          <w:lang w:val="es-ES_tradnl"/>
        </w:rPr>
        <w:t xml:space="preserve"> la respuesta del Sujeto Obligado a la solicitud de rectificación de datos personales </w:t>
      </w:r>
      <w:r w:rsidR="00D21BEB">
        <w:rPr>
          <w:rFonts w:ascii="Palatino Linotype" w:eastAsia="Calibri" w:hAnsi="Palatino Linotype" w:cs="Arial"/>
          <w:b/>
          <w:lang w:val="es-ES_tradnl"/>
        </w:rPr>
        <w:t>00001/TLALNEPA/RD/2025</w:t>
      </w:r>
      <w:r w:rsidRPr="0072226C">
        <w:rPr>
          <w:rFonts w:ascii="Palatino Linotype" w:hAnsi="Palatino Linotype" w:cs="Arial"/>
          <w:lang w:val="es-ES_tradnl"/>
        </w:rPr>
        <w:t>, por resultar infundada</w:t>
      </w:r>
      <w:r w:rsidR="00184F32">
        <w:rPr>
          <w:rFonts w:ascii="Palatino Linotype" w:hAnsi="Palatino Linotype" w:cs="Arial"/>
          <w:lang w:val="es-ES_tradnl"/>
        </w:rPr>
        <w:t>s</w:t>
      </w:r>
      <w:r w:rsidRPr="0072226C">
        <w:rPr>
          <w:rFonts w:ascii="Palatino Linotype" w:hAnsi="Palatino Linotype" w:cs="Arial"/>
          <w:lang w:val="es-ES_tradnl"/>
        </w:rPr>
        <w:t xml:space="preserve"> </w:t>
      </w:r>
      <w:r w:rsidRPr="0072226C">
        <w:rPr>
          <w:rFonts w:ascii="Palatino Linotype" w:eastAsia="Calibri" w:hAnsi="Palatino Linotype" w:cs="Arial"/>
        </w:rPr>
        <w:t xml:space="preserve">las razones y motivos de inconformidad hechas valer en el recurso de revisión </w:t>
      </w:r>
      <w:r w:rsidR="0016555A">
        <w:rPr>
          <w:rFonts w:ascii="Palatino Linotype" w:eastAsia="Calibri" w:hAnsi="Palatino Linotype" w:cs="Arial"/>
          <w:b/>
        </w:rPr>
        <w:t>00160/INFOEM/RD/RR/2025</w:t>
      </w:r>
      <w:r w:rsidRPr="0072226C">
        <w:rPr>
          <w:rFonts w:ascii="Palatino Linotype" w:eastAsia="Calibri" w:hAnsi="Palatino Linotype" w:cs="Arial"/>
        </w:rPr>
        <w:t xml:space="preserve"> </w:t>
      </w:r>
      <w:r w:rsidRPr="0072226C">
        <w:rPr>
          <w:rFonts w:ascii="Palatino Linotype" w:eastAsia="Calibri" w:hAnsi="Palatino Linotype"/>
        </w:rPr>
        <w:t xml:space="preserve">en términos del </w:t>
      </w:r>
      <w:r w:rsidRPr="0072226C">
        <w:rPr>
          <w:rFonts w:ascii="Palatino Linotype" w:eastAsia="Calibri" w:hAnsi="Palatino Linotype"/>
          <w:b/>
          <w:bCs/>
        </w:rPr>
        <w:t xml:space="preserve">Considerando </w:t>
      </w:r>
      <w:r w:rsidR="00864C62" w:rsidRPr="00F41911">
        <w:rPr>
          <w:rFonts w:ascii="Palatino Linotype" w:eastAsia="Calibri" w:hAnsi="Palatino Linotype"/>
          <w:b/>
          <w:bCs/>
        </w:rPr>
        <w:t>CUARTO</w:t>
      </w:r>
      <w:r w:rsidRPr="0072226C">
        <w:rPr>
          <w:rFonts w:ascii="Palatino Linotype" w:eastAsia="Calibri" w:hAnsi="Palatino Linotype"/>
          <w:b/>
        </w:rPr>
        <w:t xml:space="preserve"> </w:t>
      </w:r>
      <w:r w:rsidRPr="0072226C">
        <w:rPr>
          <w:rFonts w:ascii="Palatino Linotype" w:eastAsia="Calibri" w:hAnsi="Palatino Linotype"/>
        </w:rPr>
        <w:t>de la presente resolución</w:t>
      </w:r>
      <w:r w:rsidRPr="0072226C">
        <w:rPr>
          <w:rFonts w:ascii="Palatino Linotype" w:hAnsi="Palatino Linotype" w:cs="Arial"/>
          <w:lang w:val="es-ES_tradnl"/>
        </w:rPr>
        <w:t>.</w:t>
      </w:r>
    </w:p>
    <w:p w14:paraId="27E1DE36" w14:textId="77777777" w:rsidR="0072226C" w:rsidRPr="0072226C" w:rsidRDefault="0072226C" w:rsidP="00184F32">
      <w:pPr>
        <w:spacing w:line="360" w:lineRule="auto"/>
        <w:jc w:val="both"/>
        <w:rPr>
          <w:rFonts w:ascii="Palatino Linotype" w:hAnsi="Palatino Linotype" w:cs="Arial"/>
          <w:lang w:val="es-ES_tradnl"/>
        </w:rPr>
      </w:pPr>
    </w:p>
    <w:p w14:paraId="1F16742B" w14:textId="152A1011" w:rsidR="0072226C" w:rsidRPr="0072226C" w:rsidRDefault="0072226C" w:rsidP="00184F32">
      <w:pPr>
        <w:spacing w:line="360" w:lineRule="auto"/>
        <w:jc w:val="both"/>
        <w:rPr>
          <w:rFonts w:ascii="Palatino Linotype" w:hAnsi="Palatino Linotype" w:cs="Arial"/>
        </w:rPr>
      </w:pPr>
      <w:r w:rsidRPr="0072226C">
        <w:rPr>
          <w:rFonts w:ascii="Palatino Linotype" w:hAnsi="Palatino Linotype" w:cs="Arial"/>
          <w:b/>
          <w:lang w:val="es-ES_tradnl"/>
        </w:rPr>
        <w:t>SEGUNDO</w:t>
      </w:r>
      <w:r w:rsidRPr="0072226C">
        <w:rPr>
          <w:rFonts w:ascii="Palatino Linotype" w:hAnsi="Palatino Linotype" w:cs="Arial"/>
          <w:lang w:val="es-ES_tradnl"/>
        </w:rPr>
        <w:t xml:space="preserve">. </w:t>
      </w:r>
      <w:r w:rsidRPr="0072226C">
        <w:rPr>
          <w:rFonts w:ascii="Palatino Linotype" w:hAnsi="Palatino Linotype" w:cs="Arial"/>
          <w:b/>
        </w:rPr>
        <w:t xml:space="preserve">Notifíquese </w:t>
      </w:r>
      <w:r w:rsidRPr="0072226C">
        <w:rPr>
          <w:rFonts w:ascii="Palatino Linotype" w:hAnsi="Palatino Linotype" w:cs="Arial"/>
        </w:rPr>
        <w:t xml:space="preserve">vía Sistema de Acceso, Rectificación, Cancelación y Oposición de Datos Personales del Estado de México (SARCOEM), la presente resolución al Titular de la Unidad de Transparencia </w:t>
      </w:r>
      <w:r w:rsidR="00184F32" w:rsidRPr="00184F32">
        <w:rPr>
          <w:rFonts w:ascii="Palatino Linotype" w:hAnsi="Palatino Linotype" w:cs="Arial"/>
        </w:rPr>
        <w:t xml:space="preserve">del </w:t>
      </w:r>
      <w:r w:rsidR="00184F32">
        <w:rPr>
          <w:rFonts w:ascii="Palatino Linotype" w:hAnsi="Palatino Linotype" w:cs="Arial"/>
        </w:rPr>
        <w:t>S</w:t>
      </w:r>
      <w:r w:rsidR="00184F32" w:rsidRPr="00184F32">
        <w:rPr>
          <w:rFonts w:ascii="Palatino Linotype" w:hAnsi="Palatino Linotype" w:cs="Arial"/>
        </w:rPr>
        <w:t xml:space="preserve">ujeto </w:t>
      </w:r>
      <w:r w:rsidR="00184F32">
        <w:rPr>
          <w:rFonts w:ascii="Palatino Linotype" w:hAnsi="Palatino Linotype" w:cs="Arial"/>
        </w:rPr>
        <w:t>O</w:t>
      </w:r>
      <w:r w:rsidR="00184F32" w:rsidRPr="00184F32">
        <w:rPr>
          <w:rFonts w:ascii="Palatino Linotype" w:hAnsi="Palatino Linotype" w:cs="Arial"/>
        </w:rPr>
        <w:t>bligado.</w:t>
      </w:r>
    </w:p>
    <w:p w14:paraId="3B735217" w14:textId="77777777" w:rsidR="0072226C" w:rsidRPr="0072226C" w:rsidRDefault="0072226C" w:rsidP="00184F32">
      <w:pPr>
        <w:spacing w:line="360" w:lineRule="auto"/>
        <w:jc w:val="both"/>
        <w:rPr>
          <w:rFonts w:ascii="Palatino Linotype" w:hAnsi="Palatino Linotype" w:cs="Arial"/>
        </w:rPr>
      </w:pPr>
    </w:p>
    <w:p w14:paraId="5221063C" w14:textId="1508F296" w:rsidR="0072226C" w:rsidRDefault="0072226C" w:rsidP="00184F32">
      <w:pPr>
        <w:spacing w:line="360" w:lineRule="auto"/>
        <w:jc w:val="both"/>
        <w:rPr>
          <w:rFonts w:ascii="Palatino Linotype" w:hAnsi="Palatino Linotype"/>
          <w:color w:val="222222"/>
          <w:lang w:eastAsia="es-MX"/>
        </w:rPr>
      </w:pPr>
      <w:r w:rsidRPr="0072226C">
        <w:rPr>
          <w:rFonts w:ascii="Palatino Linotype" w:eastAsia="MS Mincho" w:hAnsi="Palatino Linotype"/>
          <w:b/>
          <w:color w:val="000000"/>
        </w:rPr>
        <w:lastRenderedPageBreak/>
        <w:t xml:space="preserve">TERCERO. </w:t>
      </w:r>
      <w:r w:rsidRPr="0072226C">
        <w:rPr>
          <w:rFonts w:ascii="Palatino Linotype" w:eastAsia="MS Gothic" w:hAnsi="Palatino Linotype"/>
          <w:b/>
        </w:rPr>
        <w:t xml:space="preserve">Notifíquese </w:t>
      </w:r>
      <w:r w:rsidR="00184F32">
        <w:rPr>
          <w:rFonts w:ascii="Palatino Linotype" w:eastAsia="MS Gothic" w:hAnsi="Palatino Linotype"/>
        </w:rPr>
        <w:t>a</w:t>
      </w:r>
      <w:r w:rsidR="00864C62">
        <w:rPr>
          <w:rFonts w:ascii="Palatino Linotype" w:eastAsia="MS Gothic" w:hAnsi="Palatino Linotype"/>
        </w:rPr>
        <w:t xml:space="preserve"> </w:t>
      </w:r>
      <w:r w:rsidR="0065334E">
        <w:rPr>
          <w:rFonts w:ascii="Palatino Linotype" w:eastAsia="MS Gothic" w:hAnsi="Palatino Linotype"/>
        </w:rPr>
        <w:t>l</w:t>
      </w:r>
      <w:r w:rsidR="00864C62">
        <w:rPr>
          <w:rFonts w:ascii="Palatino Linotype" w:eastAsia="MS Gothic" w:hAnsi="Palatino Linotype"/>
        </w:rPr>
        <w:t>a</w:t>
      </w:r>
      <w:r w:rsidR="00184F32">
        <w:rPr>
          <w:rFonts w:ascii="Palatino Linotype" w:eastAsia="MS Gothic" w:hAnsi="Palatino Linotype"/>
        </w:rPr>
        <w:t xml:space="preserve"> Recurrente</w:t>
      </w:r>
      <w:r w:rsidRPr="0072226C">
        <w:rPr>
          <w:rFonts w:ascii="Palatino Linotype" w:eastAsia="MS Gothic" w:hAnsi="Palatino Linotype"/>
          <w:b/>
        </w:rPr>
        <w:t xml:space="preserve"> </w:t>
      </w:r>
      <w:r w:rsidRPr="0072226C">
        <w:rPr>
          <w:rFonts w:ascii="Palatino Linotype" w:hAnsi="Palatino Linotype" w:cs="Arial"/>
        </w:rPr>
        <w:t xml:space="preserve">vía Sistema de Acceso, Rectificación, Cancelación y Oposición de Datos Personales del Estado de México (SARCOEM) </w:t>
      </w:r>
      <w:r w:rsidRPr="0072226C">
        <w:rPr>
          <w:rFonts w:ascii="Palatino Linotype" w:eastAsia="MS Gothic" w:hAnsi="Palatino Linotype"/>
        </w:rPr>
        <w:t>la presente</w:t>
      </w:r>
      <w:r w:rsidRPr="0072226C">
        <w:rPr>
          <w:rFonts w:ascii="Palatino Linotype" w:hAnsi="Palatino Linotype"/>
          <w:color w:val="222222"/>
          <w:lang w:eastAsia="es-MX"/>
        </w:rPr>
        <w:t xml:space="preserve"> resolución</w:t>
      </w:r>
      <w:r w:rsidR="00CC3339">
        <w:rPr>
          <w:rFonts w:ascii="Palatino Linotype" w:hAnsi="Palatino Linotype"/>
          <w:color w:val="222222"/>
          <w:lang w:eastAsia="es-MX"/>
        </w:rPr>
        <w:t>.</w:t>
      </w:r>
    </w:p>
    <w:p w14:paraId="3B3B0E6D" w14:textId="63A55219" w:rsidR="00CC3339" w:rsidRPr="00CC3339" w:rsidRDefault="00CC3339" w:rsidP="00CC3339">
      <w:pPr>
        <w:spacing w:line="360" w:lineRule="auto"/>
        <w:jc w:val="both"/>
        <w:rPr>
          <w:rFonts w:ascii="Palatino Linotype" w:hAnsi="Palatino Linotype"/>
          <w:lang w:eastAsia="es-MX"/>
        </w:rPr>
      </w:pPr>
    </w:p>
    <w:p w14:paraId="216EB6CD" w14:textId="49B75705" w:rsidR="00CC3339" w:rsidRPr="00CC3339" w:rsidRDefault="00CC3339" w:rsidP="00CC3339">
      <w:pPr>
        <w:spacing w:line="360" w:lineRule="auto"/>
        <w:jc w:val="both"/>
        <w:rPr>
          <w:rFonts w:ascii="Palatino Linotype" w:hAnsi="Palatino Linotype"/>
        </w:rPr>
      </w:pPr>
      <w:r w:rsidRPr="00CC3339">
        <w:rPr>
          <w:rFonts w:ascii="Palatino Linotype" w:hAnsi="Palatino Linotype"/>
          <w:b/>
          <w:bCs/>
        </w:rPr>
        <w:t>CUARTO.</w:t>
      </w:r>
      <w:r w:rsidRPr="00CC3339">
        <w:rPr>
          <w:rFonts w:ascii="Palatino Linotype" w:hAnsi="Palatino Linotype"/>
        </w:rPr>
        <w:t xml:space="preserve"> Hágase del conocimiento </w:t>
      </w:r>
      <w:r>
        <w:rPr>
          <w:rFonts w:ascii="Palatino Linotype" w:hAnsi="Palatino Linotype"/>
        </w:rPr>
        <w:t>de</w:t>
      </w:r>
      <w:r w:rsidR="0065334E">
        <w:rPr>
          <w:rFonts w:ascii="Palatino Linotype" w:hAnsi="Palatino Linotype"/>
        </w:rPr>
        <w:t>l</w:t>
      </w:r>
      <w:r w:rsidRPr="00CC3339">
        <w:rPr>
          <w:rFonts w:ascii="Palatino Linotype" w:hAnsi="Palatino Linotype"/>
        </w:rPr>
        <w:t xml:space="preserve"> R</w:t>
      </w:r>
      <w:r>
        <w:rPr>
          <w:rFonts w:ascii="Palatino Linotype" w:hAnsi="Palatino Linotype"/>
        </w:rPr>
        <w:t>ecurrente</w:t>
      </w:r>
      <w:r w:rsidRPr="00CC3339">
        <w:rPr>
          <w:rFonts w:ascii="Palatino Linotype" w:hAnsi="Palatino Linotype"/>
        </w:rPr>
        <w:t xml:space="preserve"> que de conformidad con lo establecido en el </w:t>
      </w:r>
      <w:r w:rsidR="00864C62" w:rsidRPr="00CC3339">
        <w:rPr>
          <w:rFonts w:ascii="Palatino Linotype" w:hAnsi="Palatino Linotype"/>
        </w:rPr>
        <w:t>artículo</w:t>
      </w:r>
      <w:r w:rsidRPr="00CC3339">
        <w:rPr>
          <w:rFonts w:ascii="Palatino Linotype" w:hAnsi="Palatino Linotype"/>
        </w:rPr>
        <w:t xml:space="preserve"> 142 de la Ley de </w:t>
      </w:r>
      <w:r w:rsidR="00864C62" w:rsidRPr="00CC3339">
        <w:rPr>
          <w:rFonts w:ascii="Palatino Linotype" w:hAnsi="Palatino Linotype"/>
        </w:rPr>
        <w:t>Protección</w:t>
      </w:r>
      <w:r w:rsidRPr="00CC3339">
        <w:rPr>
          <w:rFonts w:ascii="Palatino Linotype" w:hAnsi="Palatino Linotype"/>
        </w:rPr>
        <w:t xml:space="preserve"> de Datos Personales en </w:t>
      </w:r>
      <w:r w:rsidR="00864C62" w:rsidRPr="00CC3339">
        <w:rPr>
          <w:rFonts w:ascii="Palatino Linotype" w:hAnsi="Palatino Linotype"/>
        </w:rPr>
        <w:t>Posesión</w:t>
      </w:r>
      <w:r w:rsidRPr="00CC3339">
        <w:rPr>
          <w:rFonts w:ascii="Palatino Linotype" w:hAnsi="Palatino Linotype"/>
        </w:rPr>
        <w:t xml:space="preserve"> de Sujetos Obligados del Estado de </w:t>
      </w:r>
      <w:r w:rsidR="00864C62" w:rsidRPr="00CC3339">
        <w:rPr>
          <w:rFonts w:ascii="Palatino Linotype" w:hAnsi="Palatino Linotype"/>
        </w:rPr>
        <w:t>México</w:t>
      </w:r>
      <w:r w:rsidRPr="00CC3339">
        <w:rPr>
          <w:rFonts w:ascii="Palatino Linotype" w:hAnsi="Palatino Linotype"/>
        </w:rPr>
        <w:t xml:space="preserve"> y Municipios, </w:t>
      </w:r>
      <w:r w:rsidR="00864C62" w:rsidRPr="00CC3339">
        <w:rPr>
          <w:rFonts w:ascii="Palatino Linotype" w:hAnsi="Palatino Linotype"/>
        </w:rPr>
        <w:t>podrá</w:t>
      </w:r>
      <w:r w:rsidRPr="00CC3339">
        <w:rPr>
          <w:rFonts w:ascii="Palatino Linotype" w:hAnsi="Palatino Linotype"/>
        </w:rPr>
        <w:t xml:space="preserve">́ impugnarla </w:t>
      </w:r>
      <w:r w:rsidR="00864C62" w:rsidRPr="00CC3339">
        <w:rPr>
          <w:rFonts w:ascii="Palatino Linotype" w:hAnsi="Palatino Linotype"/>
        </w:rPr>
        <w:t>vía</w:t>
      </w:r>
      <w:r w:rsidRPr="00CC3339">
        <w:rPr>
          <w:rFonts w:ascii="Palatino Linotype" w:hAnsi="Palatino Linotype"/>
        </w:rPr>
        <w:t xml:space="preserve"> Juicio de Amparo en los </w:t>
      </w:r>
      <w:r w:rsidR="00864C62" w:rsidRPr="00CC3339">
        <w:rPr>
          <w:rFonts w:ascii="Palatino Linotype" w:hAnsi="Palatino Linotype"/>
        </w:rPr>
        <w:t>términos</w:t>
      </w:r>
      <w:r w:rsidRPr="00CC3339">
        <w:rPr>
          <w:rFonts w:ascii="Palatino Linotype" w:hAnsi="Palatino Linotype"/>
        </w:rPr>
        <w:t xml:space="preserve"> de las leyes aplicables. </w:t>
      </w:r>
    </w:p>
    <w:p w14:paraId="584B7581" w14:textId="77777777" w:rsidR="00CC3339" w:rsidRPr="0072226C" w:rsidRDefault="00CC3339" w:rsidP="00184F32">
      <w:pPr>
        <w:spacing w:line="360" w:lineRule="auto"/>
        <w:jc w:val="both"/>
        <w:rPr>
          <w:rFonts w:ascii="Palatino Linotype" w:hAnsi="Palatino Linotype"/>
          <w:color w:val="222222"/>
          <w:lang w:val="es-MX" w:eastAsia="es-MX"/>
        </w:rPr>
      </w:pPr>
    </w:p>
    <w:p w14:paraId="787512B7" w14:textId="7B0D0534" w:rsidR="005F0440" w:rsidRPr="00C0775E" w:rsidRDefault="00DA297E" w:rsidP="001919AA">
      <w:pPr>
        <w:spacing w:line="360" w:lineRule="auto"/>
        <w:ind w:right="-8"/>
        <w:jc w:val="both"/>
        <w:rPr>
          <w:rFonts w:ascii="Palatino Linotype" w:eastAsia="Calibri" w:hAnsi="Palatino Linotype" w:cs="Arial"/>
          <w:lang w:val="es-ES_tradnl"/>
        </w:rPr>
      </w:pPr>
      <w:r w:rsidRPr="00C0775E">
        <w:rPr>
          <w:rFonts w:ascii="Palatino Linotype" w:eastAsia="Calibri" w:hAnsi="Palatino Linotype" w:cs="Arial"/>
          <w:lang w:val="es-ES_tradnl"/>
        </w:rPr>
        <w:t>ASÍ LO RESUELVE, POR UNANIMIDAD DE VOTOS EL PLENO DEL</w:t>
      </w:r>
      <w:r w:rsidRPr="00C0775E">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C0775E">
        <w:rPr>
          <w:rFonts w:ascii="Palatino Linotype" w:eastAsia="Calibri" w:hAnsi="Palatino Linotype" w:cs="Arial"/>
          <w:lang w:val="es-ES_tradnl"/>
        </w:rPr>
        <w:t xml:space="preserve">, CONFORMADO POR LOS COMISIONADOS </w:t>
      </w:r>
      <w:r w:rsidR="002A6308" w:rsidRPr="00C0775E">
        <w:rPr>
          <w:rFonts w:ascii="Palatino Linotype" w:eastAsia="Calibri" w:hAnsi="Palatino Linotype" w:cs="Arial"/>
          <w:lang w:val="es-ES_tradnl"/>
        </w:rPr>
        <w:t>JOSÉ MARTÍNEZ VILCHIS</w:t>
      </w:r>
      <w:r w:rsidR="00144EE1">
        <w:rPr>
          <w:rFonts w:ascii="Palatino Linotype" w:eastAsia="Calibri" w:hAnsi="Palatino Linotype" w:cs="Arial"/>
          <w:lang w:val="es-ES_tradnl"/>
        </w:rPr>
        <w:t>,</w:t>
      </w:r>
      <w:r w:rsidR="002A6308" w:rsidRPr="00C0775E">
        <w:rPr>
          <w:rFonts w:ascii="Palatino Linotype" w:eastAsia="Calibri" w:hAnsi="Palatino Linotype" w:cs="Arial"/>
          <w:lang w:val="es-ES_tradnl"/>
        </w:rPr>
        <w:t xml:space="preserve"> MARÍA DEL ROSARIO MEJÍA AYALA</w:t>
      </w:r>
      <w:r w:rsidR="00144EE1">
        <w:rPr>
          <w:rFonts w:ascii="Palatino Linotype" w:eastAsia="Calibri" w:hAnsi="Palatino Linotype" w:cs="Arial"/>
          <w:lang w:val="es-ES_tradnl"/>
        </w:rPr>
        <w:t>,</w:t>
      </w:r>
      <w:r w:rsidR="002A6308" w:rsidRPr="00C0775E">
        <w:rPr>
          <w:rFonts w:ascii="Palatino Linotype" w:eastAsia="Calibri" w:hAnsi="Palatino Linotype" w:cs="Arial"/>
          <w:lang w:val="es-ES_tradnl"/>
        </w:rPr>
        <w:t xml:space="preserve"> SHARON CRISTINA MORALES MARTÍNEZ</w:t>
      </w:r>
      <w:r w:rsidR="00144EE1">
        <w:rPr>
          <w:rFonts w:ascii="Palatino Linotype" w:eastAsia="Calibri" w:hAnsi="Palatino Linotype" w:cs="Arial"/>
          <w:lang w:val="es-ES_tradnl"/>
        </w:rPr>
        <w:t>,</w:t>
      </w:r>
      <w:r w:rsidR="002A6308" w:rsidRPr="00C0775E">
        <w:rPr>
          <w:rFonts w:ascii="Palatino Linotype" w:eastAsia="Calibri" w:hAnsi="Palatino Linotype" w:cs="Arial"/>
          <w:lang w:val="es-ES_tradnl"/>
        </w:rPr>
        <w:t xml:space="preserve"> LUIS GUSTAVO PARRA NORIEGA Y GUADALUPE RAMÍREZ PEÑA; </w:t>
      </w:r>
      <w:r w:rsidRPr="00C0775E">
        <w:rPr>
          <w:rFonts w:ascii="Palatino Linotype" w:eastAsia="Calibri" w:hAnsi="Palatino Linotype" w:cs="Arial"/>
          <w:lang w:val="es-ES_tradnl"/>
        </w:rPr>
        <w:t xml:space="preserve">EN LA </w:t>
      </w:r>
      <w:r w:rsidR="00F212C4">
        <w:rPr>
          <w:rFonts w:ascii="Palatino Linotype" w:eastAsia="Calibri" w:hAnsi="Palatino Linotype" w:cs="Arial"/>
          <w:lang w:val="es-ES_tradnl"/>
        </w:rPr>
        <w:t>DÉCIMA</w:t>
      </w:r>
      <w:r w:rsidR="00AA10DE" w:rsidRPr="00C0775E">
        <w:rPr>
          <w:rFonts w:ascii="Palatino Linotype" w:eastAsia="Calibri" w:hAnsi="Palatino Linotype" w:cs="Arial"/>
          <w:lang w:val="es-ES_tradnl"/>
        </w:rPr>
        <w:t xml:space="preserve"> </w:t>
      </w:r>
      <w:r w:rsidRPr="00C0775E">
        <w:rPr>
          <w:rFonts w:ascii="Palatino Linotype" w:eastAsia="Calibri" w:hAnsi="Palatino Linotype" w:cs="Arial"/>
          <w:lang w:val="es-ES_tradnl"/>
        </w:rPr>
        <w:t xml:space="preserve">SESIÓN ORDINARIA CELEBRADA EL </w:t>
      </w:r>
      <w:r w:rsidR="005573CE">
        <w:rPr>
          <w:rFonts w:ascii="Palatino Linotype" w:eastAsia="Calibri" w:hAnsi="Palatino Linotype" w:cs="Arial"/>
          <w:lang w:val="es-ES_tradnl"/>
        </w:rPr>
        <w:t>VEINTE</w:t>
      </w:r>
      <w:r w:rsidR="002A6308" w:rsidRPr="00C0775E">
        <w:rPr>
          <w:rFonts w:ascii="Palatino Linotype" w:eastAsia="Calibri" w:hAnsi="Palatino Linotype" w:cs="Arial"/>
          <w:lang w:val="es-ES_tradnl"/>
        </w:rPr>
        <w:t xml:space="preserve"> DE </w:t>
      </w:r>
      <w:r w:rsidR="00F212C4">
        <w:rPr>
          <w:rFonts w:ascii="Palatino Linotype" w:eastAsia="Calibri" w:hAnsi="Palatino Linotype" w:cs="Arial"/>
          <w:lang w:val="es-ES_tradnl"/>
        </w:rPr>
        <w:t xml:space="preserve">MARZO DE </w:t>
      </w:r>
      <w:r w:rsidR="002A6308" w:rsidRPr="00C0775E">
        <w:rPr>
          <w:rFonts w:ascii="Palatino Linotype" w:eastAsia="Calibri" w:hAnsi="Palatino Linotype" w:cs="Arial"/>
          <w:lang w:val="es-ES_tradnl"/>
        </w:rPr>
        <w:t>DOS MIL VEINTI</w:t>
      </w:r>
      <w:r w:rsidR="00127DFE">
        <w:rPr>
          <w:rFonts w:ascii="Palatino Linotype" w:eastAsia="Calibri" w:hAnsi="Palatino Linotype" w:cs="Arial"/>
          <w:lang w:val="es-ES_tradnl"/>
        </w:rPr>
        <w:t>C</w:t>
      </w:r>
      <w:r w:rsidR="00F212C4">
        <w:rPr>
          <w:rFonts w:ascii="Palatino Linotype" w:eastAsia="Calibri" w:hAnsi="Palatino Linotype" w:cs="Arial"/>
          <w:lang w:val="es-ES_tradnl"/>
        </w:rPr>
        <w:t>INCO</w:t>
      </w:r>
      <w:r w:rsidRPr="00C0775E">
        <w:rPr>
          <w:rFonts w:ascii="Palatino Linotype" w:eastAsia="Calibri" w:hAnsi="Palatino Linotype" w:cs="Arial"/>
          <w:lang w:val="es-ES_tradnl"/>
        </w:rPr>
        <w:t>, ANTE EL SECRETARIO TÉCNICO DEL PLENO, ALEXIS TAPIA RAMÍREZ.---------------------------------------------------------------------------------------------------</w:t>
      </w:r>
      <w:r w:rsidR="002E6789" w:rsidRPr="00C0775E">
        <w:rPr>
          <w:rFonts w:ascii="Palatino Linotype" w:eastAsia="Calibri" w:hAnsi="Palatino Linotype" w:cs="Arial"/>
          <w:lang w:val="es-ES_tradnl"/>
        </w:rPr>
        <w:t>-------------------------------------------------------</w:t>
      </w:r>
      <w:r w:rsidR="00864C62">
        <w:rPr>
          <w:rFonts w:ascii="Palatino Linotype" w:eastAsia="Calibri" w:hAnsi="Palatino Linotype" w:cs="Arial"/>
          <w:lang w:val="es-ES_tradnl"/>
        </w:rPr>
        <w:t>-------------------------</w:t>
      </w:r>
      <w:r w:rsidR="002E6789" w:rsidRPr="00C0775E">
        <w:rPr>
          <w:rFonts w:ascii="Palatino Linotype" w:eastAsia="Calibri" w:hAnsi="Palatino Linotype" w:cs="Arial"/>
          <w:lang w:val="es-ES_tradnl"/>
        </w:rPr>
        <w:t>-------------------------------------------------------------------------------------------------------------------------------------------------------------------------------------------------------------------------------------------------------------------------------------------------------------------------------------------------------------------------------------------------------</w:t>
      </w:r>
      <w:r w:rsidR="00F41911">
        <w:rPr>
          <w:rFonts w:ascii="Palatino Linotype" w:eastAsia="Calibri" w:hAnsi="Palatino Linotype" w:cs="Arial"/>
          <w:lang w:val="es-ES_tradnl"/>
        </w:rPr>
        <w:t>----------------------------------------------------------------------------------------------------------------------------------------------------------------</w:t>
      </w:r>
    </w:p>
    <w:p w14:paraId="5A097F43" w14:textId="78D0AC76" w:rsidR="00DA297E" w:rsidRPr="00C0775E" w:rsidRDefault="002A6308" w:rsidP="007C1357">
      <w:pPr>
        <w:spacing w:line="360" w:lineRule="auto"/>
        <w:jc w:val="both"/>
        <w:rPr>
          <w:rFonts w:ascii="Palatino Linotype" w:eastAsia="Calibri" w:hAnsi="Palatino Linotype" w:cs="Arial"/>
          <w:sz w:val="20"/>
          <w:szCs w:val="20"/>
        </w:rPr>
      </w:pPr>
      <w:r w:rsidRPr="28CAB825">
        <w:rPr>
          <w:rFonts w:ascii="Palatino Linotype" w:eastAsia="Calibri" w:hAnsi="Palatino Linotype" w:cs="Arial"/>
          <w:sz w:val="20"/>
          <w:szCs w:val="20"/>
        </w:rPr>
        <w:t>JMV/CCR/</w:t>
      </w:r>
      <w:proofErr w:type="spellStart"/>
      <w:r w:rsidR="005F0440" w:rsidRPr="28CAB825">
        <w:rPr>
          <w:rFonts w:ascii="Palatino Linotype" w:eastAsia="Calibri" w:hAnsi="Palatino Linotype" w:cs="Arial"/>
          <w:sz w:val="20"/>
          <w:szCs w:val="20"/>
        </w:rPr>
        <w:t>fzh</w:t>
      </w:r>
      <w:proofErr w:type="spellEnd"/>
    </w:p>
    <w:p w14:paraId="39641D5C" w14:textId="77777777" w:rsidR="00DA297E" w:rsidRPr="00C0775E" w:rsidRDefault="00DA297E" w:rsidP="007C1357">
      <w:pPr>
        <w:spacing w:line="360" w:lineRule="auto"/>
        <w:rPr>
          <w:rFonts w:ascii="Palatino Linotype" w:hAnsi="Palatino Linotype"/>
          <w:lang w:val="es-ES_tradnl"/>
        </w:rPr>
      </w:pPr>
    </w:p>
    <w:p w14:paraId="50C71B1A" w14:textId="77777777" w:rsidR="00DA297E" w:rsidRPr="00C0775E" w:rsidRDefault="00DA297E" w:rsidP="007C1357">
      <w:pPr>
        <w:spacing w:line="360" w:lineRule="auto"/>
        <w:rPr>
          <w:rFonts w:ascii="Palatino Linotype" w:hAnsi="Palatino Linotype"/>
          <w:lang w:val="es-ES_tradnl"/>
        </w:rPr>
      </w:pPr>
    </w:p>
    <w:p w14:paraId="016795A2" w14:textId="77777777" w:rsidR="00DA297E" w:rsidRPr="00C0775E" w:rsidRDefault="00DA297E" w:rsidP="007C1357">
      <w:pPr>
        <w:spacing w:line="360" w:lineRule="auto"/>
        <w:rPr>
          <w:rFonts w:ascii="Palatino Linotype" w:hAnsi="Palatino Linotype"/>
          <w:lang w:val="es-ES_tradnl"/>
        </w:rPr>
      </w:pPr>
    </w:p>
    <w:p w14:paraId="7DE40B84" w14:textId="77777777" w:rsidR="00DA297E" w:rsidRPr="00C0775E" w:rsidRDefault="00DA297E" w:rsidP="007C1357">
      <w:pPr>
        <w:spacing w:line="360" w:lineRule="auto"/>
        <w:rPr>
          <w:rFonts w:ascii="Palatino Linotype" w:hAnsi="Palatino Linotype"/>
          <w:lang w:val="es-ES_tradnl"/>
        </w:rPr>
      </w:pPr>
    </w:p>
    <w:p w14:paraId="309AB27A" w14:textId="77777777" w:rsidR="00DA297E" w:rsidRPr="00C0775E" w:rsidRDefault="00DA297E" w:rsidP="007C1357">
      <w:pPr>
        <w:spacing w:line="360" w:lineRule="auto"/>
        <w:rPr>
          <w:rFonts w:ascii="Palatino Linotype" w:hAnsi="Palatino Linotype"/>
          <w:lang w:val="es-ES_tradnl"/>
        </w:rPr>
      </w:pPr>
    </w:p>
    <w:p w14:paraId="39BDCA83" w14:textId="77777777" w:rsidR="00DA297E" w:rsidRPr="00C0775E" w:rsidRDefault="00DA297E" w:rsidP="007C1357">
      <w:pPr>
        <w:spacing w:line="360" w:lineRule="auto"/>
        <w:rPr>
          <w:rFonts w:ascii="Palatino Linotype" w:hAnsi="Palatino Linotype"/>
          <w:lang w:val="es-ES_tradnl"/>
        </w:rPr>
      </w:pPr>
    </w:p>
    <w:p w14:paraId="2E6C28D3" w14:textId="65D20134" w:rsidR="00DA297E" w:rsidRDefault="00DA297E" w:rsidP="007C1357">
      <w:pPr>
        <w:spacing w:line="360" w:lineRule="auto"/>
        <w:rPr>
          <w:rFonts w:ascii="Palatino Linotype" w:hAnsi="Palatino Linotype"/>
          <w:lang w:val="es-ES_tradnl"/>
        </w:rPr>
      </w:pPr>
    </w:p>
    <w:p w14:paraId="44850301" w14:textId="3DD11268" w:rsidR="00CC3339" w:rsidRDefault="00CC3339" w:rsidP="007C1357">
      <w:pPr>
        <w:spacing w:line="360" w:lineRule="auto"/>
        <w:rPr>
          <w:rFonts w:ascii="Palatino Linotype" w:hAnsi="Palatino Linotype"/>
          <w:lang w:val="es-ES_tradnl"/>
        </w:rPr>
      </w:pPr>
    </w:p>
    <w:p w14:paraId="18BBFFD8" w14:textId="7F52AFB2" w:rsidR="00CC3339" w:rsidRDefault="00CC3339" w:rsidP="007C1357">
      <w:pPr>
        <w:spacing w:line="360" w:lineRule="auto"/>
        <w:rPr>
          <w:rFonts w:ascii="Palatino Linotype" w:hAnsi="Palatino Linotype"/>
          <w:lang w:val="es-ES_tradnl"/>
        </w:rPr>
      </w:pPr>
    </w:p>
    <w:p w14:paraId="222B42A4" w14:textId="77777777" w:rsidR="00CC3339" w:rsidRPr="00C0775E" w:rsidRDefault="00CC3339" w:rsidP="007C1357">
      <w:pPr>
        <w:spacing w:line="360" w:lineRule="auto"/>
        <w:rPr>
          <w:rFonts w:ascii="Palatino Linotype" w:hAnsi="Palatino Linotype"/>
          <w:lang w:val="es-ES_tradnl"/>
        </w:rPr>
      </w:pPr>
    </w:p>
    <w:sectPr w:rsidR="00CC3339" w:rsidRPr="00C0775E" w:rsidSect="00041E4C">
      <w:headerReference w:type="even" r:id="rId10"/>
      <w:headerReference w:type="default" r:id="rId11"/>
      <w:footerReference w:type="default" r:id="rId12"/>
      <w:headerReference w:type="first" r:id="rId13"/>
      <w:footerReference w:type="first" r:id="rId14"/>
      <w:pgSz w:w="12240" w:h="15840"/>
      <w:pgMar w:top="3062" w:right="1134" w:bottom="1247" w:left="1758"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B851D" w14:textId="77777777" w:rsidR="001B4823" w:rsidRDefault="001B4823" w:rsidP="000B5E25">
      <w:r>
        <w:separator/>
      </w:r>
    </w:p>
  </w:endnote>
  <w:endnote w:type="continuationSeparator" w:id="0">
    <w:p w14:paraId="2FE9C45D" w14:textId="77777777" w:rsidR="001B4823" w:rsidRDefault="001B4823" w:rsidP="000B5E25">
      <w:r>
        <w:continuationSeparator/>
      </w:r>
    </w:p>
  </w:endnote>
  <w:endnote w:type="continuationNotice" w:id="1">
    <w:p w14:paraId="5ABBB9E9" w14:textId="77777777" w:rsidR="001B4823" w:rsidRDefault="001B4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E3724" w14:textId="77777777" w:rsidR="00A837A2" w:rsidRPr="002A6308" w:rsidRDefault="00A837A2"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C97FC7">
      <w:rPr>
        <w:rFonts w:ascii="Palatino Linotype" w:hAnsi="Palatino Linotype" w:cs="Arial"/>
        <w:bCs/>
        <w:noProof/>
        <w:sz w:val="20"/>
        <w:szCs w:val="20"/>
      </w:rPr>
      <w:t>23</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C97FC7">
      <w:rPr>
        <w:rFonts w:ascii="Palatino Linotype" w:hAnsi="Palatino Linotype" w:cs="Arial"/>
        <w:bCs/>
        <w:noProof/>
        <w:sz w:val="20"/>
        <w:szCs w:val="20"/>
      </w:rPr>
      <w:t>23</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0AF0E" w14:textId="77777777" w:rsidR="00A837A2" w:rsidRPr="003E56C9" w:rsidRDefault="00A837A2"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C97FC7">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C97FC7">
      <w:rPr>
        <w:rFonts w:ascii="Palatino Linotype" w:hAnsi="Palatino Linotype" w:cs="Arial"/>
        <w:b/>
        <w:bCs/>
        <w:noProof/>
        <w:sz w:val="20"/>
        <w:szCs w:val="20"/>
      </w:rPr>
      <w:t>23</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1FB2A" w14:textId="77777777" w:rsidR="001B4823" w:rsidRDefault="001B4823" w:rsidP="000B5E25">
      <w:r>
        <w:separator/>
      </w:r>
    </w:p>
  </w:footnote>
  <w:footnote w:type="continuationSeparator" w:id="0">
    <w:p w14:paraId="6ED42CBD" w14:textId="77777777" w:rsidR="001B4823" w:rsidRDefault="001B4823" w:rsidP="000B5E25">
      <w:r>
        <w:continuationSeparator/>
      </w:r>
    </w:p>
  </w:footnote>
  <w:footnote w:type="continuationNotice" w:id="1">
    <w:p w14:paraId="15A0A65E" w14:textId="77777777" w:rsidR="001B4823" w:rsidRDefault="001B4823"/>
  </w:footnote>
  <w:footnote w:id="2">
    <w:p w14:paraId="4C42FC2B" w14:textId="24B7AAA5" w:rsidR="009557DF" w:rsidRPr="004B46CF" w:rsidRDefault="009557DF">
      <w:pPr>
        <w:pStyle w:val="Textonotapie"/>
        <w:rPr>
          <w:lang w:val="es-MX"/>
        </w:rPr>
      </w:pPr>
      <w:r>
        <w:rPr>
          <w:rStyle w:val="Refdenotaalpie"/>
        </w:rPr>
        <w:footnoteRef/>
      </w:r>
      <w:r>
        <w:t xml:space="preserve"> </w:t>
      </w:r>
      <w:hyperlink r:id="rId1" w:history="1">
        <w:r w:rsidRPr="00D67674">
          <w:rPr>
            <w:rStyle w:val="Hipervnculo"/>
          </w:rPr>
          <w:t>https://www.gob.mx/segob/renapo</w:t>
        </w:r>
      </w:hyperlink>
      <w:r>
        <w:t xml:space="preserve"> consultado el veintiocho de febrero de dos mil veinticinco.</w:t>
      </w:r>
    </w:p>
  </w:footnote>
  <w:footnote w:id="3">
    <w:p w14:paraId="1E84267E" w14:textId="77777777" w:rsidR="00864C62" w:rsidRPr="00091848" w:rsidRDefault="00864C62" w:rsidP="00864C62">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AFA1" w14:textId="4B1D2FF6" w:rsidR="00A837A2" w:rsidRDefault="00C97FC7">
    <w:pPr>
      <w:pStyle w:val="Encabezado"/>
    </w:pPr>
    <w:r>
      <w:rPr>
        <w:noProof/>
        <w:lang w:val="es-MX" w:eastAsia="es-MX"/>
      </w:rPr>
      <w:pict w14:anchorId="10BE0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1" w:type="dxa"/>
      <w:tblInd w:w="2835" w:type="dxa"/>
      <w:tblLayout w:type="fixed"/>
      <w:tblLook w:val="04A0" w:firstRow="1" w:lastRow="0" w:firstColumn="1" w:lastColumn="0" w:noHBand="0" w:noVBand="1"/>
    </w:tblPr>
    <w:tblGrid>
      <w:gridCol w:w="2552"/>
      <w:gridCol w:w="3969"/>
    </w:tblGrid>
    <w:tr w:rsidR="00A837A2" w:rsidRPr="00DA297E" w14:paraId="76145BD7" w14:textId="77777777" w:rsidTr="00041E4C">
      <w:tc>
        <w:tcPr>
          <w:tcW w:w="2552" w:type="dxa"/>
          <w:shd w:val="clear" w:color="auto" w:fill="auto"/>
          <w:vAlign w:val="center"/>
        </w:tcPr>
        <w:p w14:paraId="604F4E4E" w14:textId="77777777" w:rsidR="00A837A2" w:rsidRPr="001919AA" w:rsidRDefault="00A837A2" w:rsidP="00735DC9">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Recurso de Revisión:</w:t>
          </w:r>
        </w:p>
      </w:tc>
      <w:tc>
        <w:tcPr>
          <w:tcW w:w="3969" w:type="dxa"/>
          <w:shd w:val="clear" w:color="auto" w:fill="auto"/>
          <w:vAlign w:val="center"/>
        </w:tcPr>
        <w:p w14:paraId="5D7BEBDD" w14:textId="35B57970" w:rsidR="00A837A2" w:rsidRPr="001919AA" w:rsidRDefault="0016555A" w:rsidP="00735DC9">
          <w:pPr>
            <w:spacing w:after="120"/>
            <w:jc w:val="right"/>
            <w:rPr>
              <w:rFonts w:ascii="Palatino Linotype" w:hAnsi="Palatino Linotype"/>
              <w:b/>
              <w:bCs/>
              <w:sz w:val="22"/>
              <w:szCs w:val="22"/>
              <w:lang w:val="es-ES_tradnl"/>
            </w:rPr>
          </w:pPr>
          <w:r>
            <w:rPr>
              <w:rFonts w:ascii="Palatino Linotype" w:hAnsi="Palatino Linotype"/>
              <w:b/>
              <w:bCs/>
              <w:sz w:val="22"/>
              <w:szCs w:val="22"/>
              <w:lang w:val="es-ES_tradnl"/>
            </w:rPr>
            <w:t>00160/INFOEM/RD/RR/2025</w:t>
          </w:r>
        </w:p>
      </w:tc>
    </w:tr>
    <w:tr w:rsidR="00A837A2" w:rsidRPr="00DA297E" w14:paraId="27CE8BDF" w14:textId="77777777" w:rsidTr="00041E4C">
      <w:tc>
        <w:tcPr>
          <w:tcW w:w="2552" w:type="dxa"/>
          <w:shd w:val="clear" w:color="auto" w:fill="auto"/>
          <w:vAlign w:val="center"/>
        </w:tcPr>
        <w:p w14:paraId="06145027" w14:textId="77777777" w:rsidR="00A837A2" w:rsidRPr="001919AA" w:rsidRDefault="00A837A2" w:rsidP="00735DC9">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Sujeto Obligado:</w:t>
          </w:r>
        </w:p>
      </w:tc>
      <w:tc>
        <w:tcPr>
          <w:tcW w:w="3969" w:type="dxa"/>
          <w:shd w:val="clear" w:color="auto" w:fill="auto"/>
          <w:vAlign w:val="center"/>
        </w:tcPr>
        <w:p w14:paraId="5453A42F" w14:textId="294E4B99" w:rsidR="00A837A2" w:rsidRPr="001919AA" w:rsidRDefault="009B590A" w:rsidP="00735DC9">
          <w:pPr>
            <w:spacing w:after="120"/>
            <w:jc w:val="right"/>
            <w:rPr>
              <w:rFonts w:ascii="Palatino Linotype" w:hAnsi="Palatino Linotype"/>
              <w:b/>
              <w:bCs/>
              <w:sz w:val="22"/>
              <w:szCs w:val="22"/>
              <w:lang w:val="es-ES_tradnl"/>
            </w:rPr>
          </w:pPr>
          <w:r>
            <w:rPr>
              <w:rFonts w:ascii="Palatino Linotype" w:hAnsi="Palatino Linotype"/>
              <w:b/>
              <w:bCs/>
              <w:sz w:val="22"/>
              <w:szCs w:val="22"/>
            </w:rPr>
            <w:t>Ayuntamiento de Tlalnepantla de Baz</w:t>
          </w:r>
        </w:p>
      </w:tc>
    </w:tr>
    <w:tr w:rsidR="00A837A2" w:rsidRPr="00DA297E" w14:paraId="4EF5AB78" w14:textId="77777777" w:rsidTr="00041E4C">
      <w:trPr>
        <w:trHeight w:val="228"/>
      </w:trPr>
      <w:tc>
        <w:tcPr>
          <w:tcW w:w="2552" w:type="dxa"/>
          <w:shd w:val="clear" w:color="auto" w:fill="auto"/>
          <w:vAlign w:val="center"/>
        </w:tcPr>
        <w:p w14:paraId="39D8B9F6" w14:textId="77777777" w:rsidR="00A837A2" w:rsidRPr="001919AA" w:rsidRDefault="00A837A2" w:rsidP="00735DC9">
          <w:pPr>
            <w:spacing w:after="120"/>
            <w:rPr>
              <w:rFonts w:ascii="Palatino Linotype" w:hAnsi="Palatino Linotype"/>
              <w:b/>
              <w:bCs/>
              <w:sz w:val="22"/>
              <w:szCs w:val="22"/>
              <w:lang w:val="es-ES_tradnl"/>
            </w:rPr>
          </w:pPr>
          <w:r w:rsidRPr="001919AA">
            <w:rPr>
              <w:rFonts w:ascii="Palatino Linotype" w:hAnsi="Palatino Linotype"/>
              <w:b/>
              <w:bCs/>
              <w:sz w:val="22"/>
              <w:szCs w:val="22"/>
              <w:lang w:val="es-ES_tradnl"/>
            </w:rPr>
            <w:t>Comisionado Ponente:</w:t>
          </w:r>
        </w:p>
      </w:tc>
      <w:tc>
        <w:tcPr>
          <w:tcW w:w="3969" w:type="dxa"/>
          <w:shd w:val="clear" w:color="auto" w:fill="auto"/>
          <w:vAlign w:val="center"/>
        </w:tcPr>
        <w:p w14:paraId="4A62E4F0" w14:textId="77777777" w:rsidR="00A837A2" w:rsidRPr="001919AA" w:rsidRDefault="00A837A2" w:rsidP="00735DC9">
          <w:pPr>
            <w:spacing w:after="120"/>
            <w:jc w:val="right"/>
            <w:rPr>
              <w:rFonts w:ascii="Palatino Linotype" w:hAnsi="Palatino Linotype"/>
              <w:b/>
              <w:bCs/>
              <w:sz w:val="22"/>
              <w:szCs w:val="22"/>
              <w:lang w:val="es-ES_tradnl"/>
            </w:rPr>
          </w:pPr>
          <w:r w:rsidRPr="001919AA">
            <w:rPr>
              <w:rFonts w:ascii="Palatino Linotype" w:hAnsi="Palatino Linotype"/>
              <w:b/>
              <w:bCs/>
              <w:sz w:val="22"/>
              <w:szCs w:val="22"/>
              <w:lang w:val="es-ES_tradnl"/>
            </w:rPr>
            <w:t>José Martínez Vilchis</w:t>
          </w:r>
        </w:p>
      </w:tc>
    </w:tr>
  </w:tbl>
  <w:p w14:paraId="72AE344B" w14:textId="6DBDC6B6" w:rsidR="00A837A2" w:rsidRPr="00EC2A1E" w:rsidRDefault="00C97FC7" w:rsidP="0043515A">
    <w:pPr>
      <w:pStyle w:val="Encabezado"/>
      <w:tabs>
        <w:tab w:val="clear" w:pos="4252"/>
        <w:tab w:val="clear" w:pos="8504"/>
        <w:tab w:val="left" w:pos="2326"/>
      </w:tabs>
      <w:rPr>
        <w:rFonts w:ascii="Palatino Linotype" w:hAnsi="Palatino Linotype"/>
        <w:sz w:val="2"/>
        <w:szCs w:val="8"/>
      </w:rPr>
    </w:pPr>
    <w:r>
      <w:rPr>
        <w:rFonts w:ascii="Palatino Linotype" w:hAnsi="Palatino Linotype"/>
        <w:noProof/>
        <w:sz w:val="20"/>
        <w:lang w:val="es-MX" w:eastAsia="es-MX"/>
      </w:rPr>
      <w:pict w14:anchorId="69242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0.7pt;margin-top:-146.15pt;width:609.4pt;height:793.75pt;z-index:-251655168;mso-wrap-edited:f;mso-width-percent:0;mso-height-percent:0;mso-position-horizontal-relative:margin;mso-position-vertical-relative:margin;mso-width-percent:0;mso-height-percent:0" o:allowincell="f">
          <v:imagedata r:id="rId1" o:title="logo infoem (1)"/>
          <w10:wrap anchorx="margin" anchory="margin"/>
        </v:shape>
      </w:pict>
    </w:r>
    <w:r w:rsidR="00A837A2">
      <w:rPr>
        <w:rFonts w:ascii="Palatino Linotype" w:hAnsi="Palatino Linotype"/>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46" w:type="dxa"/>
      <w:tblInd w:w="2552" w:type="dxa"/>
      <w:tblLayout w:type="fixed"/>
      <w:tblLook w:val="04A0" w:firstRow="1" w:lastRow="0" w:firstColumn="1" w:lastColumn="0" w:noHBand="0" w:noVBand="1"/>
    </w:tblPr>
    <w:tblGrid>
      <w:gridCol w:w="2977"/>
      <w:gridCol w:w="3969"/>
    </w:tblGrid>
    <w:tr w:rsidR="00A837A2" w:rsidRPr="00DA297E" w14:paraId="7369A010" w14:textId="77777777" w:rsidTr="009B590A">
      <w:tc>
        <w:tcPr>
          <w:tcW w:w="2977" w:type="dxa"/>
          <w:shd w:val="clear" w:color="auto" w:fill="auto"/>
        </w:tcPr>
        <w:p w14:paraId="2B382B1C"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Recurso de Revisión:</w:t>
          </w:r>
        </w:p>
      </w:tc>
      <w:tc>
        <w:tcPr>
          <w:tcW w:w="3969" w:type="dxa"/>
          <w:shd w:val="clear" w:color="auto" w:fill="auto"/>
          <w:vAlign w:val="center"/>
        </w:tcPr>
        <w:p w14:paraId="24DAA7F1" w14:textId="448EAC93" w:rsidR="00A837A2" w:rsidRPr="001919AA" w:rsidRDefault="0016555A" w:rsidP="00C35DE1">
          <w:pPr>
            <w:spacing w:after="120"/>
            <w:jc w:val="right"/>
            <w:rPr>
              <w:rFonts w:ascii="Palatino Linotype" w:hAnsi="Palatino Linotype"/>
              <w:b/>
              <w:bCs/>
              <w:sz w:val="22"/>
              <w:szCs w:val="22"/>
              <w:lang w:val="es-ES_tradnl"/>
            </w:rPr>
          </w:pPr>
          <w:r>
            <w:rPr>
              <w:rFonts w:ascii="Palatino Linotype" w:hAnsi="Palatino Linotype"/>
              <w:b/>
              <w:bCs/>
              <w:sz w:val="22"/>
              <w:szCs w:val="22"/>
              <w:lang w:val="es-ES_tradnl"/>
            </w:rPr>
            <w:t>00160/INFOEM/RD/RR/2025</w:t>
          </w:r>
        </w:p>
      </w:tc>
    </w:tr>
    <w:tr w:rsidR="00A837A2" w:rsidRPr="00DA297E" w14:paraId="404CB123" w14:textId="77777777" w:rsidTr="009B590A">
      <w:tc>
        <w:tcPr>
          <w:tcW w:w="2977" w:type="dxa"/>
          <w:shd w:val="clear" w:color="auto" w:fill="auto"/>
          <w:vAlign w:val="center"/>
        </w:tcPr>
        <w:p w14:paraId="362E8C03"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Recurrente:</w:t>
          </w:r>
        </w:p>
      </w:tc>
      <w:tc>
        <w:tcPr>
          <w:tcW w:w="3969" w:type="dxa"/>
          <w:shd w:val="clear" w:color="auto" w:fill="auto"/>
          <w:vAlign w:val="center"/>
        </w:tcPr>
        <w:p w14:paraId="32BE0EDB" w14:textId="61B43065" w:rsidR="00A837A2" w:rsidRPr="001919AA" w:rsidRDefault="00A91E66" w:rsidP="00735DC9">
          <w:pPr>
            <w:spacing w:after="120"/>
            <w:jc w:val="right"/>
            <w:rPr>
              <w:rFonts w:ascii="Palatino Linotype" w:hAnsi="Palatino Linotype"/>
              <w:b/>
              <w:sz w:val="22"/>
              <w:szCs w:val="22"/>
            </w:rPr>
          </w:pPr>
          <w:r>
            <w:rPr>
              <w:rFonts w:ascii="Palatino Linotype" w:hAnsi="Palatino Linotype"/>
              <w:b/>
              <w:sz w:val="22"/>
              <w:szCs w:val="22"/>
            </w:rPr>
            <w:t>XXXXXXXXXXXXXXXXXXXX</w:t>
          </w:r>
        </w:p>
      </w:tc>
    </w:tr>
    <w:tr w:rsidR="00A837A2" w:rsidRPr="00DA297E" w14:paraId="7226B697" w14:textId="77777777" w:rsidTr="009B590A">
      <w:trPr>
        <w:trHeight w:val="228"/>
      </w:trPr>
      <w:tc>
        <w:tcPr>
          <w:tcW w:w="2977" w:type="dxa"/>
          <w:shd w:val="clear" w:color="auto" w:fill="auto"/>
        </w:tcPr>
        <w:p w14:paraId="593473CA"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Sujeto Obligado:</w:t>
          </w:r>
        </w:p>
      </w:tc>
      <w:tc>
        <w:tcPr>
          <w:tcW w:w="3969" w:type="dxa"/>
          <w:shd w:val="clear" w:color="auto" w:fill="auto"/>
          <w:vAlign w:val="center"/>
        </w:tcPr>
        <w:p w14:paraId="4C4AF1AF" w14:textId="755647BC" w:rsidR="00A837A2" w:rsidRPr="001919AA" w:rsidRDefault="009B590A" w:rsidP="00735DC9">
          <w:pPr>
            <w:spacing w:after="120"/>
            <w:jc w:val="right"/>
            <w:rPr>
              <w:rFonts w:ascii="Palatino Linotype" w:hAnsi="Palatino Linotype"/>
              <w:b/>
              <w:bCs/>
              <w:sz w:val="22"/>
              <w:szCs w:val="22"/>
            </w:rPr>
          </w:pPr>
          <w:r>
            <w:rPr>
              <w:rFonts w:ascii="Palatino Linotype" w:hAnsi="Palatino Linotype"/>
              <w:b/>
              <w:bCs/>
              <w:sz w:val="22"/>
              <w:szCs w:val="22"/>
            </w:rPr>
            <w:t>Ayuntamiento de Tlalnepantla de Baz</w:t>
          </w:r>
        </w:p>
      </w:tc>
    </w:tr>
    <w:tr w:rsidR="00A837A2" w:rsidRPr="00DA297E" w14:paraId="3DE1A96E" w14:textId="77777777" w:rsidTr="009B590A">
      <w:tc>
        <w:tcPr>
          <w:tcW w:w="2977" w:type="dxa"/>
          <w:shd w:val="clear" w:color="auto" w:fill="auto"/>
        </w:tcPr>
        <w:p w14:paraId="5237ADE6" w14:textId="77777777" w:rsidR="00A837A2" w:rsidRPr="001919AA" w:rsidRDefault="00A837A2" w:rsidP="00735DC9">
          <w:pPr>
            <w:spacing w:after="120"/>
            <w:jc w:val="both"/>
            <w:rPr>
              <w:rFonts w:ascii="Palatino Linotype" w:hAnsi="Palatino Linotype"/>
              <w:b/>
              <w:bCs/>
              <w:sz w:val="22"/>
              <w:szCs w:val="22"/>
              <w:lang w:val="es-ES_tradnl"/>
            </w:rPr>
          </w:pPr>
          <w:r w:rsidRPr="001919AA">
            <w:rPr>
              <w:rFonts w:ascii="Palatino Linotype" w:hAnsi="Palatino Linotype"/>
              <w:b/>
              <w:bCs/>
              <w:sz w:val="22"/>
              <w:szCs w:val="22"/>
              <w:lang w:val="es-ES_tradnl"/>
            </w:rPr>
            <w:t>Comisionado Ponente:</w:t>
          </w:r>
        </w:p>
      </w:tc>
      <w:tc>
        <w:tcPr>
          <w:tcW w:w="3969" w:type="dxa"/>
          <w:shd w:val="clear" w:color="auto" w:fill="auto"/>
        </w:tcPr>
        <w:p w14:paraId="3D1731E3" w14:textId="77777777" w:rsidR="00A837A2" w:rsidRPr="001919AA" w:rsidRDefault="00A837A2" w:rsidP="00735DC9">
          <w:pPr>
            <w:spacing w:after="120"/>
            <w:jc w:val="right"/>
            <w:rPr>
              <w:rFonts w:ascii="Palatino Linotype" w:hAnsi="Palatino Linotype"/>
              <w:b/>
              <w:bCs/>
              <w:sz w:val="22"/>
              <w:szCs w:val="22"/>
              <w:lang w:val="es-ES_tradnl"/>
            </w:rPr>
          </w:pPr>
          <w:r w:rsidRPr="001919AA">
            <w:rPr>
              <w:rFonts w:ascii="Palatino Linotype" w:hAnsi="Palatino Linotype"/>
              <w:b/>
              <w:bCs/>
              <w:sz w:val="22"/>
              <w:szCs w:val="22"/>
              <w:lang w:val="es-ES_tradnl"/>
            </w:rPr>
            <w:t>José Martínez Vilchis</w:t>
          </w:r>
        </w:p>
      </w:tc>
    </w:tr>
  </w:tbl>
  <w:p w14:paraId="152DC43E" w14:textId="39C5BA66" w:rsidR="00A837A2" w:rsidRPr="009F1AB6" w:rsidRDefault="00C97FC7">
    <w:pPr>
      <w:pStyle w:val="Encabezado"/>
      <w:rPr>
        <w:sz w:val="10"/>
      </w:rPr>
    </w:pPr>
    <w:r>
      <w:rPr>
        <w:noProof/>
        <w:sz w:val="10"/>
        <w:lang w:val="es-MX" w:eastAsia="es-MX"/>
      </w:rPr>
      <w:pict w14:anchorId="0EBAF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0.85pt;margin-top:-146.05pt;width:609.4pt;height:793.75pt;z-index:-251657216;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F0E"/>
    <w:multiLevelType w:val="multilevel"/>
    <w:tmpl w:val="119A8F78"/>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891E2D"/>
    <w:multiLevelType w:val="hybridMultilevel"/>
    <w:tmpl w:val="FDD0A508"/>
    <w:lvl w:ilvl="0" w:tplc="F0720C3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FC7DE4"/>
    <w:multiLevelType w:val="hybridMultilevel"/>
    <w:tmpl w:val="7744F742"/>
    <w:lvl w:ilvl="0" w:tplc="EB5250E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9A5897"/>
    <w:multiLevelType w:val="multilevel"/>
    <w:tmpl w:val="E62CE868"/>
    <w:styleLink w:val="Listaactual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D0BA0"/>
    <w:multiLevelType w:val="hybridMultilevel"/>
    <w:tmpl w:val="46441386"/>
    <w:lvl w:ilvl="0" w:tplc="46C8EF6A">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C302D"/>
    <w:multiLevelType w:val="hybridMultilevel"/>
    <w:tmpl w:val="59208664"/>
    <w:lvl w:ilvl="0" w:tplc="FC7602C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E193E"/>
    <w:multiLevelType w:val="multilevel"/>
    <w:tmpl w:val="E436A07A"/>
    <w:styleLink w:val="Listaactual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8736E51"/>
    <w:multiLevelType w:val="multilevel"/>
    <w:tmpl w:val="766EE81A"/>
    <w:styleLink w:val="Listaactual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CE61C1"/>
    <w:multiLevelType w:val="hybridMultilevel"/>
    <w:tmpl w:val="80BAEB04"/>
    <w:lvl w:ilvl="0" w:tplc="297E281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DA3E3D"/>
    <w:multiLevelType w:val="hybridMultilevel"/>
    <w:tmpl w:val="CA0CCA9E"/>
    <w:lvl w:ilvl="0" w:tplc="6CE4EBB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3"/>
  </w:num>
  <w:num w:numId="3">
    <w:abstractNumId w:val="22"/>
  </w:num>
  <w:num w:numId="4">
    <w:abstractNumId w:val="8"/>
  </w:num>
  <w:num w:numId="5">
    <w:abstractNumId w:val="18"/>
  </w:num>
  <w:num w:numId="6">
    <w:abstractNumId w:val="15"/>
  </w:num>
  <w:num w:numId="7">
    <w:abstractNumId w:val="19"/>
  </w:num>
  <w:num w:numId="8">
    <w:abstractNumId w:val="2"/>
  </w:num>
  <w:num w:numId="9">
    <w:abstractNumId w:val="25"/>
  </w:num>
  <w:num w:numId="10">
    <w:abstractNumId w:val="27"/>
  </w:num>
  <w:num w:numId="11">
    <w:abstractNumId w:val="3"/>
  </w:num>
  <w:num w:numId="12">
    <w:abstractNumId w:val="7"/>
  </w:num>
  <w:num w:numId="13">
    <w:abstractNumId w:val="20"/>
  </w:num>
  <w:num w:numId="14">
    <w:abstractNumId w:val="26"/>
  </w:num>
  <w:num w:numId="15">
    <w:abstractNumId w:val="16"/>
  </w:num>
  <w:num w:numId="16">
    <w:abstractNumId w:val="1"/>
  </w:num>
  <w:num w:numId="17">
    <w:abstractNumId w:val="11"/>
  </w:num>
  <w:num w:numId="18">
    <w:abstractNumId w:val="21"/>
  </w:num>
  <w:num w:numId="19">
    <w:abstractNumId w:val="17"/>
  </w:num>
  <w:num w:numId="20">
    <w:abstractNumId w:val="6"/>
  </w:num>
  <w:num w:numId="21">
    <w:abstractNumId w:val="9"/>
  </w:num>
  <w:num w:numId="22">
    <w:abstractNumId w:val="10"/>
  </w:num>
  <w:num w:numId="23">
    <w:abstractNumId w:val="4"/>
  </w:num>
  <w:num w:numId="24">
    <w:abstractNumId w:val="0"/>
  </w:num>
  <w:num w:numId="25">
    <w:abstractNumId w:val="12"/>
  </w:num>
  <w:num w:numId="26">
    <w:abstractNumId w:val="5"/>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245BF"/>
    <w:rsid w:val="0003071A"/>
    <w:rsid w:val="00031999"/>
    <w:rsid w:val="00036F8B"/>
    <w:rsid w:val="00041E4C"/>
    <w:rsid w:val="00050C6D"/>
    <w:rsid w:val="00055483"/>
    <w:rsid w:val="00056743"/>
    <w:rsid w:val="000572E9"/>
    <w:rsid w:val="00072562"/>
    <w:rsid w:val="00080E7F"/>
    <w:rsid w:val="00093AE1"/>
    <w:rsid w:val="000A717C"/>
    <w:rsid w:val="000B5E25"/>
    <w:rsid w:val="000C761F"/>
    <w:rsid w:val="000E6474"/>
    <w:rsid w:val="000F16BA"/>
    <w:rsid w:val="00101AD8"/>
    <w:rsid w:val="00102099"/>
    <w:rsid w:val="0010249F"/>
    <w:rsid w:val="001065E0"/>
    <w:rsid w:val="00123996"/>
    <w:rsid w:val="0012510D"/>
    <w:rsid w:val="00127DFE"/>
    <w:rsid w:val="00132067"/>
    <w:rsid w:val="001359A4"/>
    <w:rsid w:val="00144EE1"/>
    <w:rsid w:val="00154DA7"/>
    <w:rsid w:val="0016555A"/>
    <w:rsid w:val="001713F7"/>
    <w:rsid w:val="00184F32"/>
    <w:rsid w:val="00186CCB"/>
    <w:rsid w:val="0019170F"/>
    <w:rsid w:val="001919AA"/>
    <w:rsid w:val="001A3693"/>
    <w:rsid w:val="001B4823"/>
    <w:rsid w:val="001B6A21"/>
    <w:rsid w:val="001D4046"/>
    <w:rsid w:val="001E5F7B"/>
    <w:rsid w:val="0020249A"/>
    <w:rsid w:val="00207B86"/>
    <w:rsid w:val="0021608A"/>
    <w:rsid w:val="002167BB"/>
    <w:rsid w:val="00225163"/>
    <w:rsid w:val="00235936"/>
    <w:rsid w:val="0026707C"/>
    <w:rsid w:val="00267313"/>
    <w:rsid w:val="00267BB5"/>
    <w:rsid w:val="00290831"/>
    <w:rsid w:val="00295B3F"/>
    <w:rsid w:val="002A4B43"/>
    <w:rsid w:val="002A6308"/>
    <w:rsid w:val="002A676F"/>
    <w:rsid w:val="002B22E5"/>
    <w:rsid w:val="002C0BE5"/>
    <w:rsid w:val="002D4119"/>
    <w:rsid w:val="002E3085"/>
    <w:rsid w:val="002E3436"/>
    <w:rsid w:val="002E4B08"/>
    <w:rsid w:val="002E6789"/>
    <w:rsid w:val="002F3B20"/>
    <w:rsid w:val="00300132"/>
    <w:rsid w:val="00307006"/>
    <w:rsid w:val="0030701F"/>
    <w:rsid w:val="00326545"/>
    <w:rsid w:val="00330FC3"/>
    <w:rsid w:val="00343F0B"/>
    <w:rsid w:val="003520C5"/>
    <w:rsid w:val="00352E06"/>
    <w:rsid w:val="00355F0A"/>
    <w:rsid w:val="00372A31"/>
    <w:rsid w:val="003746DE"/>
    <w:rsid w:val="003804E8"/>
    <w:rsid w:val="00380D3E"/>
    <w:rsid w:val="00385319"/>
    <w:rsid w:val="0038603F"/>
    <w:rsid w:val="003B1C85"/>
    <w:rsid w:val="003B1E6F"/>
    <w:rsid w:val="003B36D7"/>
    <w:rsid w:val="003B3F89"/>
    <w:rsid w:val="003B5A80"/>
    <w:rsid w:val="003E56C9"/>
    <w:rsid w:val="004018F9"/>
    <w:rsid w:val="0040302F"/>
    <w:rsid w:val="004103C8"/>
    <w:rsid w:val="0042327E"/>
    <w:rsid w:val="00424B41"/>
    <w:rsid w:val="0042578C"/>
    <w:rsid w:val="00425E0F"/>
    <w:rsid w:val="004344EA"/>
    <w:rsid w:val="0043515A"/>
    <w:rsid w:val="00442FD8"/>
    <w:rsid w:val="00443892"/>
    <w:rsid w:val="004445A1"/>
    <w:rsid w:val="00445CAA"/>
    <w:rsid w:val="00484279"/>
    <w:rsid w:val="004B46CF"/>
    <w:rsid w:val="004D4282"/>
    <w:rsid w:val="004D6F71"/>
    <w:rsid w:val="005004E9"/>
    <w:rsid w:val="005144A0"/>
    <w:rsid w:val="00514D57"/>
    <w:rsid w:val="00516EEF"/>
    <w:rsid w:val="005264CE"/>
    <w:rsid w:val="005551AD"/>
    <w:rsid w:val="00555C87"/>
    <w:rsid w:val="005573CE"/>
    <w:rsid w:val="0056570A"/>
    <w:rsid w:val="00583E4A"/>
    <w:rsid w:val="0059032F"/>
    <w:rsid w:val="005A6216"/>
    <w:rsid w:val="005B15F6"/>
    <w:rsid w:val="005B234D"/>
    <w:rsid w:val="005B26AD"/>
    <w:rsid w:val="005B36A8"/>
    <w:rsid w:val="005B5693"/>
    <w:rsid w:val="005C6646"/>
    <w:rsid w:val="005D77CC"/>
    <w:rsid w:val="005E5716"/>
    <w:rsid w:val="005F0440"/>
    <w:rsid w:val="006002E0"/>
    <w:rsid w:val="00611591"/>
    <w:rsid w:val="00620280"/>
    <w:rsid w:val="006258FD"/>
    <w:rsid w:val="00627B9A"/>
    <w:rsid w:val="00632E48"/>
    <w:rsid w:val="00637867"/>
    <w:rsid w:val="0065334E"/>
    <w:rsid w:val="00662C67"/>
    <w:rsid w:val="00672752"/>
    <w:rsid w:val="00674EA9"/>
    <w:rsid w:val="00677803"/>
    <w:rsid w:val="00686A59"/>
    <w:rsid w:val="006945D9"/>
    <w:rsid w:val="00694976"/>
    <w:rsid w:val="006B321A"/>
    <w:rsid w:val="006B3676"/>
    <w:rsid w:val="006B418F"/>
    <w:rsid w:val="006D1713"/>
    <w:rsid w:val="006D3A03"/>
    <w:rsid w:val="006E08FA"/>
    <w:rsid w:val="006E274F"/>
    <w:rsid w:val="006F5F93"/>
    <w:rsid w:val="007033E3"/>
    <w:rsid w:val="00710FED"/>
    <w:rsid w:val="0072226C"/>
    <w:rsid w:val="00732345"/>
    <w:rsid w:val="00735DC9"/>
    <w:rsid w:val="00756F04"/>
    <w:rsid w:val="00770F18"/>
    <w:rsid w:val="00792261"/>
    <w:rsid w:val="00793C1A"/>
    <w:rsid w:val="0079667F"/>
    <w:rsid w:val="007A118C"/>
    <w:rsid w:val="007A63E3"/>
    <w:rsid w:val="007C1357"/>
    <w:rsid w:val="007D2A81"/>
    <w:rsid w:val="007E534B"/>
    <w:rsid w:val="007E7C02"/>
    <w:rsid w:val="007F1EF9"/>
    <w:rsid w:val="007F7462"/>
    <w:rsid w:val="0082339C"/>
    <w:rsid w:val="00835035"/>
    <w:rsid w:val="00840AD4"/>
    <w:rsid w:val="0084536E"/>
    <w:rsid w:val="00852668"/>
    <w:rsid w:val="00854249"/>
    <w:rsid w:val="008578BF"/>
    <w:rsid w:val="00864C62"/>
    <w:rsid w:val="008660D6"/>
    <w:rsid w:val="008A1A90"/>
    <w:rsid w:val="008B3873"/>
    <w:rsid w:val="008C3B24"/>
    <w:rsid w:val="008E01E4"/>
    <w:rsid w:val="008E1D68"/>
    <w:rsid w:val="008E2A79"/>
    <w:rsid w:val="00900C9B"/>
    <w:rsid w:val="00901487"/>
    <w:rsid w:val="009067D5"/>
    <w:rsid w:val="00915BAE"/>
    <w:rsid w:val="00926C44"/>
    <w:rsid w:val="0093645B"/>
    <w:rsid w:val="009430C3"/>
    <w:rsid w:val="009557DF"/>
    <w:rsid w:val="00971D46"/>
    <w:rsid w:val="009758CB"/>
    <w:rsid w:val="00993406"/>
    <w:rsid w:val="009A0F77"/>
    <w:rsid w:val="009A34B8"/>
    <w:rsid w:val="009A5223"/>
    <w:rsid w:val="009B23B7"/>
    <w:rsid w:val="009B2B6B"/>
    <w:rsid w:val="009B590A"/>
    <w:rsid w:val="009D0B64"/>
    <w:rsid w:val="009D2E87"/>
    <w:rsid w:val="009D39B3"/>
    <w:rsid w:val="009E1F26"/>
    <w:rsid w:val="009E3747"/>
    <w:rsid w:val="009F0877"/>
    <w:rsid w:val="009F4FF4"/>
    <w:rsid w:val="009F62C3"/>
    <w:rsid w:val="009F71DC"/>
    <w:rsid w:val="00A0100D"/>
    <w:rsid w:val="00A05133"/>
    <w:rsid w:val="00A05D3A"/>
    <w:rsid w:val="00A37476"/>
    <w:rsid w:val="00A47A5E"/>
    <w:rsid w:val="00A5260D"/>
    <w:rsid w:val="00A6692F"/>
    <w:rsid w:val="00A72262"/>
    <w:rsid w:val="00A761FB"/>
    <w:rsid w:val="00A837A2"/>
    <w:rsid w:val="00A91E66"/>
    <w:rsid w:val="00AA0F30"/>
    <w:rsid w:val="00AA10DE"/>
    <w:rsid w:val="00AA26B4"/>
    <w:rsid w:val="00AB15E3"/>
    <w:rsid w:val="00AD33BE"/>
    <w:rsid w:val="00AE1A47"/>
    <w:rsid w:val="00AE5995"/>
    <w:rsid w:val="00AF340B"/>
    <w:rsid w:val="00B01BD5"/>
    <w:rsid w:val="00B05B83"/>
    <w:rsid w:val="00B17992"/>
    <w:rsid w:val="00B205B2"/>
    <w:rsid w:val="00B31853"/>
    <w:rsid w:val="00B437AD"/>
    <w:rsid w:val="00B441DC"/>
    <w:rsid w:val="00B50B07"/>
    <w:rsid w:val="00B566AB"/>
    <w:rsid w:val="00B61730"/>
    <w:rsid w:val="00B8098B"/>
    <w:rsid w:val="00B84684"/>
    <w:rsid w:val="00B86FA7"/>
    <w:rsid w:val="00BA3E69"/>
    <w:rsid w:val="00BC0CFA"/>
    <w:rsid w:val="00BC1391"/>
    <w:rsid w:val="00BC47BA"/>
    <w:rsid w:val="00BD14B3"/>
    <w:rsid w:val="00BE1183"/>
    <w:rsid w:val="00BE233B"/>
    <w:rsid w:val="00BE7A6E"/>
    <w:rsid w:val="00C06262"/>
    <w:rsid w:val="00C0775E"/>
    <w:rsid w:val="00C21B3C"/>
    <w:rsid w:val="00C24B94"/>
    <w:rsid w:val="00C25AE2"/>
    <w:rsid w:val="00C25B47"/>
    <w:rsid w:val="00C35DE1"/>
    <w:rsid w:val="00C53071"/>
    <w:rsid w:val="00C56DD5"/>
    <w:rsid w:val="00C65E1C"/>
    <w:rsid w:val="00C6638B"/>
    <w:rsid w:val="00C7198C"/>
    <w:rsid w:val="00C802FB"/>
    <w:rsid w:val="00C97FC7"/>
    <w:rsid w:val="00CA216C"/>
    <w:rsid w:val="00CA21CB"/>
    <w:rsid w:val="00CB2287"/>
    <w:rsid w:val="00CC0700"/>
    <w:rsid w:val="00CC3339"/>
    <w:rsid w:val="00CD024D"/>
    <w:rsid w:val="00CF09EF"/>
    <w:rsid w:val="00D11C33"/>
    <w:rsid w:val="00D21BEB"/>
    <w:rsid w:val="00D33B1B"/>
    <w:rsid w:val="00D37632"/>
    <w:rsid w:val="00D4431A"/>
    <w:rsid w:val="00D53925"/>
    <w:rsid w:val="00D57210"/>
    <w:rsid w:val="00D901D7"/>
    <w:rsid w:val="00D92BFE"/>
    <w:rsid w:val="00DA297E"/>
    <w:rsid w:val="00DB71F6"/>
    <w:rsid w:val="00DC44DA"/>
    <w:rsid w:val="00DC55EE"/>
    <w:rsid w:val="00DC67B8"/>
    <w:rsid w:val="00DD1866"/>
    <w:rsid w:val="00DE0A8D"/>
    <w:rsid w:val="00DE562A"/>
    <w:rsid w:val="00E02240"/>
    <w:rsid w:val="00E42342"/>
    <w:rsid w:val="00E42B2B"/>
    <w:rsid w:val="00E45739"/>
    <w:rsid w:val="00E5647F"/>
    <w:rsid w:val="00E65F37"/>
    <w:rsid w:val="00E711DE"/>
    <w:rsid w:val="00E823B8"/>
    <w:rsid w:val="00E9091C"/>
    <w:rsid w:val="00EA61B9"/>
    <w:rsid w:val="00EA78FC"/>
    <w:rsid w:val="00EA7BF4"/>
    <w:rsid w:val="00EB05B7"/>
    <w:rsid w:val="00EB6C62"/>
    <w:rsid w:val="00EC2A1E"/>
    <w:rsid w:val="00EC639E"/>
    <w:rsid w:val="00EE1CBE"/>
    <w:rsid w:val="00EE4D9C"/>
    <w:rsid w:val="00EE6265"/>
    <w:rsid w:val="00EE7518"/>
    <w:rsid w:val="00EF193B"/>
    <w:rsid w:val="00EF4B9A"/>
    <w:rsid w:val="00EF7107"/>
    <w:rsid w:val="00F11EC5"/>
    <w:rsid w:val="00F171BB"/>
    <w:rsid w:val="00F1795F"/>
    <w:rsid w:val="00F212C4"/>
    <w:rsid w:val="00F30CA4"/>
    <w:rsid w:val="00F32559"/>
    <w:rsid w:val="00F34A32"/>
    <w:rsid w:val="00F41911"/>
    <w:rsid w:val="00F455F1"/>
    <w:rsid w:val="00F570D3"/>
    <w:rsid w:val="00F73BE0"/>
    <w:rsid w:val="00F74968"/>
    <w:rsid w:val="00F808D3"/>
    <w:rsid w:val="00F8513C"/>
    <w:rsid w:val="00F86214"/>
    <w:rsid w:val="00FB76D3"/>
    <w:rsid w:val="00FB7E31"/>
    <w:rsid w:val="00FC3A7B"/>
    <w:rsid w:val="00FC7CC7"/>
    <w:rsid w:val="00FD40A3"/>
    <w:rsid w:val="00FE088C"/>
    <w:rsid w:val="00FE18FC"/>
    <w:rsid w:val="00FE2FFB"/>
    <w:rsid w:val="00FF0F96"/>
    <w:rsid w:val="00FF46B7"/>
    <w:rsid w:val="00FF6617"/>
    <w:rsid w:val="0771A70E"/>
    <w:rsid w:val="28CAB825"/>
    <w:rsid w:val="2B0D0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B38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undamentos"/>
    <w:basedOn w:val="Normal"/>
    <w:link w:val="SinespaciadoCar"/>
    <w:uiPriority w:val="1"/>
    <w:qFormat/>
    <w:rsid w:val="00041E4C"/>
    <w:pPr>
      <w:ind w:left="567" w:right="567"/>
      <w:jc w:val="both"/>
    </w:pPr>
    <w:rPr>
      <w:rFonts w:ascii="Palatino Linotype" w:hAnsi="Palatino Linotype"/>
      <w:i/>
      <w:color w:val="000000" w:themeColor="text1"/>
      <w:sz w:val="22"/>
    </w:rPr>
  </w:style>
  <w:style w:type="character" w:customStyle="1" w:styleId="SinespaciadoCar">
    <w:name w:val="Sin espaciado Car"/>
    <w:aliases w:val="Fundamentos Car"/>
    <w:link w:val="Sinespaciado"/>
    <w:uiPriority w:val="1"/>
    <w:locked/>
    <w:rsid w:val="00041E4C"/>
    <w:rPr>
      <w:rFonts w:ascii="Palatino Linotype" w:eastAsia="Times New Roman" w:hAnsi="Palatino Linotype" w:cs="Times New Roman"/>
      <w:i/>
      <w:color w:val="000000" w:themeColor="text1"/>
      <w:szCs w:val="24"/>
      <w:lang w:val="es-ES"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comentario">
    <w:name w:val="annotation text"/>
    <w:basedOn w:val="Normal"/>
    <w:link w:val="TextocomentarioCar"/>
    <w:uiPriority w:val="99"/>
    <w:unhideWhenUsed/>
    <w:rsid w:val="002E6789"/>
    <w:rPr>
      <w:sz w:val="20"/>
      <w:szCs w:val="20"/>
    </w:rPr>
  </w:style>
  <w:style w:type="character" w:customStyle="1" w:styleId="TextocomentarioCar">
    <w:name w:val="Texto comentario Car"/>
    <w:basedOn w:val="Fuentedeprrafopredeter"/>
    <w:link w:val="Textocomentario"/>
    <w:uiPriority w:val="99"/>
    <w:rsid w:val="002E6789"/>
    <w:rPr>
      <w:rFonts w:ascii="Times New Roman" w:eastAsia="Times New Roman" w:hAnsi="Times New Roman" w:cs="Times New Roman"/>
      <w:sz w:val="20"/>
      <w:szCs w:val="20"/>
      <w:lang w:val="es-ES" w:eastAsia="es-ES"/>
    </w:rPr>
  </w:style>
  <w:style w:type="numbering" w:customStyle="1" w:styleId="Listaactual1">
    <w:name w:val="Lista actual1"/>
    <w:uiPriority w:val="99"/>
    <w:rsid w:val="00FB76D3"/>
    <w:pPr>
      <w:numPr>
        <w:numId w:val="19"/>
      </w:numPr>
    </w:pPr>
  </w:style>
  <w:style w:type="numbering" w:customStyle="1" w:styleId="Listaactual2">
    <w:name w:val="Lista actual2"/>
    <w:uiPriority w:val="99"/>
    <w:rsid w:val="00207B86"/>
    <w:pPr>
      <w:numPr>
        <w:numId w:val="22"/>
      </w:numPr>
    </w:pPr>
  </w:style>
  <w:style w:type="paragraph" w:styleId="NormalWeb">
    <w:name w:val="Normal (Web)"/>
    <w:basedOn w:val="Normal"/>
    <w:uiPriority w:val="99"/>
    <w:semiHidden/>
    <w:unhideWhenUsed/>
    <w:rsid w:val="00CC3339"/>
    <w:pPr>
      <w:spacing w:before="100" w:beforeAutospacing="1" w:after="100" w:afterAutospacing="1"/>
    </w:pPr>
    <w:rPr>
      <w:lang w:val="es-MX" w:eastAsia="es-MX"/>
    </w:rPr>
  </w:style>
  <w:style w:type="numbering" w:customStyle="1" w:styleId="Listaactual3">
    <w:name w:val="Lista actual3"/>
    <w:uiPriority w:val="99"/>
    <w:rsid w:val="00FE088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203440724">
      <w:bodyDiv w:val="1"/>
      <w:marLeft w:val="0"/>
      <w:marRight w:val="0"/>
      <w:marTop w:val="0"/>
      <w:marBottom w:val="0"/>
      <w:divBdr>
        <w:top w:val="none" w:sz="0" w:space="0" w:color="auto"/>
        <w:left w:val="none" w:sz="0" w:space="0" w:color="auto"/>
        <w:bottom w:val="none" w:sz="0" w:space="0" w:color="auto"/>
        <w:right w:val="none" w:sz="0" w:space="0" w:color="auto"/>
      </w:divBdr>
      <w:divsChild>
        <w:div w:id="1423188726">
          <w:marLeft w:val="0"/>
          <w:marRight w:val="0"/>
          <w:marTop w:val="0"/>
          <w:marBottom w:val="0"/>
          <w:divBdr>
            <w:top w:val="none" w:sz="0" w:space="0" w:color="auto"/>
            <w:left w:val="none" w:sz="0" w:space="0" w:color="auto"/>
            <w:bottom w:val="none" w:sz="0" w:space="0" w:color="auto"/>
            <w:right w:val="none" w:sz="0" w:space="0" w:color="auto"/>
          </w:divBdr>
          <w:divsChild>
            <w:div w:id="1128545350">
              <w:marLeft w:val="0"/>
              <w:marRight w:val="0"/>
              <w:marTop w:val="0"/>
              <w:marBottom w:val="0"/>
              <w:divBdr>
                <w:top w:val="none" w:sz="0" w:space="0" w:color="auto"/>
                <w:left w:val="none" w:sz="0" w:space="0" w:color="auto"/>
                <w:bottom w:val="none" w:sz="0" w:space="0" w:color="auto"/>
                <w:right w:val="none" w:sz="0" w:space="0" w:color="auto"/>
              </w:divBdr>
              <w:divsChild>
                <w:div w:id="10632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304865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egob/rena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5997-CF59-474F-9D73-EC675C3A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5041</Words>
  <Characters>27727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46</cp:revision>
  <dcterms:created xsi:type="dcterms:W3CDTF">2024-06-24T18:20:00Z</dcterms:created>
  <dcterms:modified xsi:type="dcterms:W3CDTF">2025-04-01T16:08:00Z</dcterms:modified>
</cp:coreProperties>
</file>