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9B" w:rsidRPr="00ED3EA2" w:rsidRDefault="00CA4D43">
      <w:pPr>
        <w:spacing w:before="240" w:after="240" w:line="360" w:lineRule="auto"/>
        <w:ind w:right="-517"/>
        <w:jc w:val="both"/>
        <w:rPr>
          <w:rFonts w:ascii="Palatino Linotype" w:eastAsia="Palatino Linotype" w:hAnsi="Palatino Linotype" w:cs="Palatino Linotype"/>
        </w:rPr>
      </w:pPr>
      <w:r w:rsidRPr="00ED3EA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doce (12) de marzo de dos mil veinticinco. </w:t>
      </w:r>
    </w:p>
    <w:p w:rsidR="00AB3F9B" w:rsidRPr="00ED3EA2" w:rsidRDefault="00CA4D43">
      <w:pPr>
        <w:spacing w:line="360" w:lineRule="auto"/>
        <w:ind w:right="-517"/>
        <w:jc w:val="both"/>
        <w:rPr>
          <w:rFonts w:ascii="Palatino Linotype" w:eastAsia="Palatino Linotype" w:hAnsi="Palatino Linotype" w:cs="Palatino Linotype"/>
          <w:b/>
        </w:rPr>
      </w:pPr>
      <w:bookmarkStart w:id="0" w:name="_heading=h.1t3h5sf" w:colFirst="0" w:colLast="0"/>
      <w:bookmarkEnd w:id="0"/>
      <w:r w:rsidRPr="00ED3EA2">
        <w:rPr>
          <w:rFonts w:ascii="Palatino Linotype" w:eastAsia="Palatino Linotype" w:hAnsi="Palatino Linotype" w:cs="Palatino Linotype"/>
          <w:b/>
        </w:rPr>
        <w:t>VISTO</w:t>
      </w:r>
      <w:r w:rsidRPr="00ED3EA2">
        <w:rPr>
          <w:rFonts w:ascii="Palatino Linotype" w:eastAsia="Palatino Linotype" w:hAnsi="Palatino Linotype" w:cs="Palatino Linotype"/>
        </w:rPr>
        <w:t xml:space="preserve"> el expediente formado con motivo del recurso de revisión </w:t>
      </w:r>
      <w:r w:rsidRPr="00ED3EA2">
        <w:rPr>
          <w:rFonts w:ascii="Palatino Linotype" w:eastAsia="Palatino Linotype" w:hAnsi="Palatino Linotype" w:cs="Palatino Linotype"/>
          <w:b/>
        </w:rPr>
        <w:t>00163/INFOEM/AD/RR/2025</w:t>
      </w:r>
      <w:r w:rsidRPr="00ED3EA2">
        <w:rPr>
          <w:rFonts w:ascii="Palatino Linotype" w:eastAsia="Palatino Linotype" w:hAnsi="Palatino Linotype" w:cs="Palatino Linotype"/>
        </w:rPr>
        <w:t xml:space="preserve">, promovido por </w:t>
      </w:r>
      <w:r w:rsidR="000312F3">
        <w:rPr>
          <w:rFonts w:ascii="Palatino Linotype" w:eastAsia="Palatino Linotype" w:hAnsi="Palatino Linotype" w:cs="Palatino Linotype"/>
          <w:b/>
        </w:rPr>
        <w:t>XXXX</w:t>
      </w:r>
      <w:r w:rsidRPr="00ED3EA2">
        <w:rPr>
          <w:rFonts w:ascii="Palatino Linotype" w:eastAsia="Palatino Linotype" w:hAnsi="Palatino Linotype" w:cs="Palatino Linotype"/>
          <w:b/>
        </w:rPr>
        <w:t xml:space="preserve">, </w:t>
      </w:r>
      <w:r w:rsidRPr="00ED3EA2">
        <w:rPr>
          <w:rFonts w:ascii="Palatino Linotype" w:eastAsia="Palatino Linotype" w:hAnsi="Palatino Linotype" w:cs="Palatino Linotype"/>
        </w:rPr>
        <w:t>en lo sucesivo la</w:t>
      </w:r>
      <w:r w:rsidRPr="00ED3EA2">
        <w:rPr>
          <w:rFonts w:ascii="Palatino Linotype" w:eastAsia="Palatino Linotype" w:hAnsi="Palatino Linotype" w:cs="Palatino Linotype"/>
          <w:b/>
        </w:rPr>
        <w:t xml:space="preserve"> RECURRENTE,</w:t>
      </w:r>
      <w:r w:rsidRPr="00ED3EA2">
        <w:rPr>
          <w:rFonts w:ascii="Palatino Linotype" w:eastAsia="Palatino Linotype" w:hAnsi="Palatino Linotype" w:cs="Palatino Linotype"/>
        </w:rPr>
        <w:t xml:space="preserve"> en contra de la respuesta del </w:t>
      </w:r>
      <w:r w:rsidRPr="00ED3EA2">
        <w:rPr>
          <w:rFonts w:ascii="Palatino Linotype" w:eastAsia="Palatino Linotype" w:hAnsi="Palatino Linotype" w:cs="Palatino Linotype"/>
          <w:b/>
        </w:rPr>
        <w:t xml:space="preserve">Ayuntamiento de la Paz, </w:t>
      </w:r>
      <w:r w:rsidRPr="00ED3EA2">
        <w:rPr>
          <w:rFonts w:ascii="Palatino Linotype" w:eastAsia="Palatino Linotype" w:hAnsi="Palatino Linotype" w:cs="Palatino Linotype"/>
        </w:rPr>
        <w:t>en adelante el</w:t>
      </w:r>
      <w:r w:rsidRPr="00ED3EA2">
        <w:rPr>
          <w:rFonts w:ascii="Palatino Linotype" w:eastAsia="Palatino Linotype" w:hAnsi="Palatino Linotype" w:cs="Palatino Linotype"/>
          <w:b/>
        </w:rPr>
        <w:t xml:space="preserve"> SUJETO OBLIGADO</w:t>
      </w:r>
      <w:r w:rsidRPr="00ED3EA2">
        <w:rPr>
          <w:rFonts w:ascii="Palatino Linotype" w:eastAsia="Palatino Linotype" w:hAnsi="Palatino Linotype" w:cs="Palatino Linotype"/>
        </w:rPr>
        <w:t xml:space="preserve">, se procede a dictar la presente resolución con base en los siguientes:  </w:t>
      </w:r>
    </w:p>
    <w:p w:rsidR="00AB3F9B" w:rsidRPr="00ED3EA2" w:rsidRDefault="00CA4D43">
      <w:pPr>
        <w:spacing w:before="240" w:after="240" w:line="360" w:lineRule="auto"/>
        <w:ind w:right="-517"/>
        <w:jc w:val="center"/>
        <w:rPr>
          <w:rFonts w:ascii="Palatino Linotype" w:eastAsia="Palatino Linotype" w:hAnsi="Palatino Linotype" w:cs="Palatino Linotype"/>
          <w:b/>
        </w:rPr>
      </w:pPr>
      <w:r w:rsidRPr="00ED3EA2">
        <w:rPr>
          <w:rFonts w:ascii="Palatino Linotype" w:eastAsia="Palatino Linotype" w:hAnsi="Palatino Linotype" w:cs="Palatino Linotype"/>
          <w:b/>
        </w:rPr>
        <w:t>A N T E C E D E N T E S</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b/>
          <w:color w:val="000000"/>
        </w:rPr>
        <w:t xml:space="preserve">Solicitud de Acceso a Datos. </w:t>
      </w:r>
      <w:r w:rsidRPr="00ED3EA2">
        <w:rPr>
          <w:rFonts w:ascii="Palatino Linotype" w:eastAsia="Palatino Linotype" w:hAnsi="Palatino Linotype" w:cs="Palatino Linotype"/>
          <w:color w:val="000000"/>
        </w:rPr>
        <w:t xml:space="preserve">En fecha </w:t>
      </w:r>
      <w:r w:rsidRPr="00ED3EA2">
        <w:rPr>
          <w:rFonts w:ascii="Palatino Linotype" w:eastAsia="Palatino Linotype" w:hAnsi="Palatino Linotype" w:cs="Palatino Linotype"/>
          <w:b/>
          <w:color w:val="000000"/>
        </w:rPr>
        <w:t>trece de noviembre de dos mil veinticuatro</w:t>
      </w:r>
      <w:r w:rsidRPr="00ED3EA2">
        <w:rPr>
          <w:rFonts w:ascii="Palatino Linotype" w:eastAsia="Palatino Linotype" w:hAnsi="Palatino Linotype" w:cs="Palatino Linotype"/>
          <w:color w:val="000000"/>
        </w:rPr>
        <w:t xml:space="preserve">, la </w:t>
      </w:r>
      <w:r w:rsidRPr="00ED3EA2">
        <w:rPr>
          <w:rFonts w:ascii="Palatino Linotype" w:eastAsia="Palatino Linotype" w:hAnsi="Palatino Linotype" w:cs="Palatino Linotype"/>
          <w:b/>
          <w:color w:val="000000"/>
        </w:rPr>
        <w:t>Recurrente</w:t>
      </w:r>
      <w:r w:rsidRPr="00ED3EA2">
        <w:rPr>
          <w:rFonts w:ascii="Palatino Linotype" w:eastAsia="Palatino Linotype" w:hAnsi="Palatino Linotype" w:cs="Palatino Linotype"/>
          <w:color w:val="000000"/>
        </w:rPr>
        <w:t xml:space="preserve"> presentó a través del Sistema de Acceso, Rectificación, Cancelación y Oposición de Datos Personales en el Estado de México en lo subsecuente </w:t>
      </w:r>
      <w:r w:rsidRPr="00ED3EA2">
        <w:rPr>
          <w:rFonts w:ascii="Palatino Linotype" w:eastAsia="Palatino Linotype" w:hAnsi="Palatino Linotype" w:cs="Palatino Linotype"/>
          <w:b/>
          <w:color w:val="000000"/>
        </w:rPr>
        <w:t>SARCOEM,</w:t>
      </w:r>
      <w:r w:rsidRPr="00ED3EA2">
        <w:rPr>
          <w:rFonts w:ascii="Palatino Linotype" w:eastAsia="Palatino Linotype" w:hAnsi="Palatino Linotype" w:cs="Palatino Linotype"/>
          <w:color w:val="000000"/>
        </w:rPr>
        <w:t xml:space="preserve"> ante el </w:t>
      </w:r>
      <w:r w:rsidRPr="00ED3EA2">
        <w:rPr>
          <w:rFonts w:ascii="Palatino Linotype" w:eastAsia="Palatino Linotype" w:hAnsi="Palatino Linotype" w:cs="Palatino Linotype"/>
          <w:b/>
          <w:color w:val="000000"/>
        </w:rPr>
        <w:t>Sujeto Obligado</w:t>
      </w:r>
      <w:r w:rsidRPr="00ED3EA2">
        <w:rPr>
          <w:rFonts w:ascii="Palatino Linotype" w:eastAsia="Palatino Linotype" w:hAnsi="Palatino Linotype" w:cs="Palatino Linotype"/>
          <w:color w:val="000000"/>
        </w:rPr>
        <w:t xml:space="preserve">, la solicitud de acceso a datos personales, a la que se le asignó el número de expediente </w:t>
      </w:r>
      <w:r w:rsidRPr="00ED3EA2">
        <w:rPr>
          <w:rFonts w:ascii="Palatino Linotype" w:eastAsia="Palatino Linotype" w:hAnsi="Palatino Linotype" w:cs="Palatino Linotype"/>
          <w:b/>
          <w:color w:val="000000"/>
        </w:rPr>
        <w:t xml:space="preserve"> 00003/LAPAZ/AD/2024, </w:t>
      </w:r>
      <w:r w:rsidRPr="00ED3EA2">
        <w:rPr>
          <w:rFonts w:ascii="Palatino Linotype" w:eastAsia="Palatino Linotype" w:hAnsi="Palatino Linotype" w:cs="Palatino Linotype"/>
          <w:color w:val="000000"/>
        </w:rPr>
        <w:t xml:space="preserve">en  la que requirió el acceso a lo siguiente: </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ind w:left="1134" w:right="-517"/>
        <w:jc w:val="both"/>
        <w:rPr>
          <w:rFonts w:ascii="Palatino Linotype" w:eastAsia="Palatino Linotype" w:hAnsi="Palatino Linotype" w:cs="Palatino Linotype"/>
          <w:i/>
          <w:color w:val="000000"/>
        </w:rPr>
      </w:pPr>
      <w:r w:rsidRPr="00ED3EA2">
        <w:rPr>
          <w:rFonts w:ascii="Palatino Linotype" w:eastAsia="Palatino Linotype" w:hAnsi="Palatino Linotype" w:cs="Palatino Linotype"/>
          <w:i/>
          <w:color w:val="000000"/>
        </w:rPr>
        <w:t xml:space="preserve">“EN ATENCION AL OFICIO 207C 0401210001S-UT-2350/2024 EN RESPUESTA A MI PETICIÓN DE AVISOS DE MOVIMIENTO, EL CUAL ANEXO, SOLICITO ME INDIQUE EL MOTIVO POR EL QUE NO ESTAN REGISTRADOS MIS AVISOS DE MOVIMIENTO DE ALTA Y BAJA, TODAS VEZ QUE CONFORME AL CITADO ESCRITO LA DEPENDENCIA RESPONSABLE DE REALIZAR DICHOS REGISTROS ES LA DEPENDECIA PARA LA CUAL TRABAJE Y CUANDO ACUDO A SOLICITAR INFORMACIÓN CON USTEDES ME INDICAN QUE POR CAMBIO DE ADMINISTRACIÓN NO PUEDEN DARME INFORMACION NI ENTREGARME MIS DOCUMENTOS, SITUACION QUE LEGALMENTE NO FUNDAMENTA NADA. POR OTRA PARTE SOLICITO ME ENTREGUEN COPIA CERTIFICADA DE TODOS LOS AVISOS DE MOVIMIENTO QUE OBREN EN MI EXPEDIENTE DE LOS AÑOS 2018 AL 2021 </w:t>
      </w:r>
      <w:r w:rsidRPr="00ED3EA2">
        <w:rPr>
          <w:rFonts w:ascii="Palatino Linotype" w:eastAsia="Palatino Linotype" w:hAnsi="Palatino Linotype" w:cs="Palatino Linotype"/>
          <w:i/>
          <w:color w:val="000000"/>
        </w:rPr>
        <w:lastRenderedPageBreak/>
        <w:t>DEL AYUNTAMIENTO DE MUNICIPIO DE LA PAZ. SOLICITO COPIA SIMPLE DE LOS TALONES DE PAGO CORRESPONDIENTES A LOS AÑOS 2018 AL 2021.” (Sic)</w:t>
      </w:r>
    </w:p>
    <w:p w:rsidR="00AB3F9B" w:rsidRPr="00ED3EA2" w:rsidRDefault="00AB3F9B">
      <w:pPr>
        <w:spacing w:line="276" w:lineRule="auto"/>
        <w:ind w:right="-517"/>
        <w:jc w:val="both"/>
        <w:rPr>
          <w:rFonts w:ascii="Palatino Linotype" w:eastAsia="Palatino Linotype" w:hAnsi="Palatino Linotype" w:cs="Palatino Linotype"/>
          <w:b/>
        </w:rPr>
      </w:pPr>
    </w:p>
    <w:p w:rsidR="00AB3F9B" w:rsidRPr="00ED3EA2" w:rsidRDefault="00CA4D43">
      <w:pPr>
        <w:spacing w:line="360" w:lineRule="auto"/>
        <w:ind w:left="567" w:right="-517"/>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Señalando como </w:t>
      </w:r>
      <w:r w:rsidRPr="00ED3EA2">
        <w:rPr>
          <w:rFonts w:ascii="Palatino Linotype" w:eastAsia="Palatino Linotype" w:hAnsi="Palatino Linotype" w:cs="Palatino Linotype"/>
          <w:b/>
          <w:color w:val="000000"/>
        </w:rPr>
        <w:t>modalidad</w:t>
      </w:r>
      <w:r w:rsidRPr="00ED3EA2">
        <w:rPr>
          <w:rFonts w:ascii="Palatino Linotype" w:eastAsia="Palatino Linotype" w:hAnsi="Palatino Linotype" w:cs="Palatino Linotype"/>
          <w:color w:val="000000"/>
        </w:rPr>
        <w:t xml:space="preserve"> de acceso a </w:t>
      </w:r>
      <w:r w:rsidRPr="00ED3EA2">
        <w:rPr>
          <w:rFonts w:ascii="Palatino Linotype" w:eastAsia="Palatino Linotype" w:hAnsi="Palatino Linotype" w:cs="Palatino Linotype"/>
          <w:b/>
          <w:color w:val="000000"/>
        </w:rPr>
        <w:t>copias certificadas y copias simples.</w:t>
      </w:r>
    </w:p>
    <w:p w:rsidR="00AB3F9B" w:rsidRPr="00ED3EA2" w:rsidRDefault="00AB3F9B">
      <w:pPr>
        <w:ind w:left="567" w:right="-517"/>
        <w:jc w:val="both"/>
        <w:rPr>
          <w:rFonts w:ascii="Palatino Linotype" w:eastAsia="Palatino Linotype" w:hAnsi="Palatino Linotype" w:cs="Palatino Linotype"/>
          <w:color w:val="000000"/>
        </w:rPr>
      </w:pPr>
    </w:p>
    <w:p w:rsidR="00AB3F9B" w:rsidRPr="00ED3EA2" w:rsidRDefault="00CA4D43">
      <w:pPr>
        <w:numPr>
          <w:ilvl w:val="0"/>
          <w:numId w:val="2"/>
        </w:numP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El solicitante señaló como documento oficial de identificación la credencial para votar; sin embargo, no se anexó la documental.</w:t>
      </w:r>
    </w:p>
    <w:p w:rsidR="00AB3F9B" w:rsidRPr="00ED3EA2" w:rsidRDefault="00AB3F9B">
      <w:pPr>
        <w:ind w:right="-517"/>
        <w:jc w:val="both"/>
        <w:rPr>
          <w:rFonts w:ascii="Palatino Linotype" w:eastAsia="Palatino Linotype" w:hAnsi="Palatino Linotype" w:cs="Palatino Linotype"/>
          <w:color w:val="000000"/>
        </w:rPr>
      </w:pPr>
    </w:p>
    <w:p w:rsidR="00AB3F9B" w:rsidRPr="00ED3EA2" w:rsidRDefault="00CA4D43">
      <w:pPr>
        <w:numPr>
          <w:ilvl w:val="0"/>
          <w:numId w:val="2"/>
        </w:numP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La solicitante adjuntó el archivo de nombre </w:t>
      </w:r>
      <w:r w:rsidRPr="00ED3EA2">
        <w:rPr>
          <w:rFonts w:ascii="Palatino Linotype" w:eastAsia="Palatino Linotype" w:hAnsi="Palatino Linotype" w:cs="Palatino Linotype"/>
          <w:b/>
          <w:i/>
          <w:color w:val="000000"/>
        </w:rPr>
        <w:t>OFICIO RESPUESTA ISSEMYM.pdf</w:t>
      </w:r>
      <w:r w:rsidRPr="00ED3EA2">
        <w:rPr>
          <w:rFonts w:ascii="Palatino Linotype" w:eastAsia="Palatino Linotype" w:hAnsi="Palatino Linotype" w:cs="Palatino Linotype"/>
          <w:color w:val="000000"/>
        </w:rPr>
        <w:t xml:space="preserve">, consistente en Oficio 207C0101210001S-UT-2350/2024 de fecha 17 de septiembre de 2024, firmado por el Responsable y Titular de la Unidad de Transparencia del ISSEMYM, a través del cual se hace del conocimiento a la </w:t>
      </w:r>
      <w:r w:rsidR="000312F3">
        <w:rPr>
          <w:rFonts w:ascii="Palatino Linotype" w:eastAsia="Palatino Linotype" w:hAnsi="Palatino Linotype" w:cs="Palatino Linotype"/>
          <w:color w:val="000000"/>
        </w:rPr>
        <w:t>XXXX</w:t>
      </w:r>
      <w:r w:rsidRPr="00ED3EA2">
        <w:rPr>
          <w:rFonts w:ascii="Palatino Linotype" w:eastAsia="Palatino Linotype" w:hAnsi="Palatino Linotype" w:cs="Palatino Linotype"/>
          <w:color w:val="000000"/>
        </w:rPr>
        <w:t xml:space="preserve">, en atención a la solicitud de información con número de folio 00715/ISSEMYM/AD/2024 en el que señaló </w:t>
      </w:r>
      <w:r w:rsidRPr="00ED3EA2">
        <w:rPr>
          <w:rFonts w:ascii="Palatino Linotype" w:eastAsia="Palatino Linotype" w:hAnsi="Palatino Linotype" w:cs="Palatino Linotype"/>
          <w:i/>
          <w:color w:val="000000"/>
        </w:rPr>
        <w:t xml:space="preserve">“Solicito dos copias certificadas de todos los avisos de movimiento de alta y baja que obren en mi expediente de los años 2018 al 2021 del Ayuntamiento de Municipio de La Paz, mi </w:t>
      </w:r>
      <w:bookmarkStart w:id="1" w:name="_GoBack"/>
      <w:r w:rsidRPr="00ED3EA2">
        <w:rPr>
          <w:rFonts w:ascii="Palatino Linotype" w:eastAsia="Palatino Linotype" w:hAnsi="Palatino Linotype" w:cs="Palatino Linotype"/>
          <w:i/>
          <w:color w:val="000000"/>
        </w:rPr>
        <w:t>clave</w:t>
      </w:r>
      <w:bookmarkEnd w:id="1"/>
      <w:r w:rsidRPr="00ED3EA2">
        <w:rPr>
          <w:rFonts w:ascii="Palatino Linotype" w:eastAsia="Palatino Linotype" w:hAnsi="Palatino Linotype" w:cs="Palatino Linotype"/>
          <w:i/>
          <w:color w:val="000000"/>
        </w:rPr>
        <w:t xml:space="preserve"> ISSEMYM </w:t>
      </w:r>
      <w:r w:rsidR="000312F3">
        <w:rPr>
          <w:rFonts w:ascii="Palatino Linotype" w:eastAsia="Palatino Linotype" w:hAnsi="Palatino Linotype" w:cs="Palatino Linotype"/>
          <w:i/>
          <w:color w:val="000000"/>
        </w:rPr>
        <w:t>XXXX</w:t>
      </w:r>
      <w:r w:rsidRPr="00ED3EA2">
        <w:rPr>
          <w:rFonts w:ascii="Palatino Linotype" w:eastAsia="Palatino Linotype" w:hAnsi="Palatino Linotype" w:cs="Palatino Linotype"/>
          <w:i/>
          <w:color w:val="000000"/>
        </w:rPr>
        <w:t>” (Sic)</w:t>
      </w:r>
      <w:r w:rsidRPr="00ED3EA2">
        <w:rPr>
          <w:rFonts w:ascii="Palatino Linotype" w:eastAsia="Palatino Linotype" w:hAnsi="Palatino Linotype" w:cs="Palatino Linotype"/>
          <w:b/>
          <w:color w:val="000000"/>
        </w:rPr>
        <w:t>.</w:t>
      </w:r>
    </w:p>
    <w:p w:rsidR="00AB3F9B" w:rsidRPr="00ED3EA2" w:rsidRDefault="00AB3F9B">
      <w:pPr>
        <w:ind w:right="-517"/>
        <w:jc w:val="both"/>
        <w:rPr>
          <w:rFonts w:ascii="Palatino Linotype" w:eastAsia="Palatino Linotype" w:hAnsi="Palatino Linotype" w:cs="Palatino Linotype"/>
          <w:b/>
          <w:color w:val="000000"/>
        </w:rPr>
      </w:pPr>
    </w:p>
    <w:p w:rsidR="00AB3F9B" w:rsidRPr="00ED3EA2" w:rsidRDefault="00CA4D43">
      <w:pPr>
        <w:numPr>
          <w:ilvl w:val="0"/>
          <w:numId w:val="2"/>
        </w:numP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De lo anterior, la Jefa de la Ventanilla Única de Atención Integral a Instituciones Públicas, adscrita al Servidor Público Habilitado de la Coordinación de Prestaciones y Seguridad Social, informó que n</w:t>
      </w:r>
      <w:r w:rsidRPr="00ED3EA2">
        <w:rPr>
          <w:rFonts w:ascii="Palatino Linotype" w:eastAsia="Palatino Linotype" w:hAnsi="Palatino Linotype" w:cs="Palatino Linotype"/>
          <w:b/>
          <w:color w:val="000000"/>
        </w:rPr>
        <w:t>o se localizó ningún registro de alta o baja realizado por el Municipio de La Paz a nombre de la solicitante, del año 2018 a 2021.</w:t>
      </w:r>
    </w:p>
    <w:p w:rsidR="00AB3F9B" w:rsidRPr="00ED3EA2" w:rsidRDefault="00AB3F9B">
      <w:pPr>
        <w:ind w:right="-517"/>
        <w:jc w:val="both"/>
        <w:rPr>
          <w:rFonts w:ascii="Palatino Linotype" w:eastAsia="Palatino Linotype" w:hAnsi="Palatino Linotype" w:cs="Palatino Linotype"/>
          <w:b/>
          <w:color w:val="000000"/>
        </w:rPr>
      </w:pPr>
    </w:p>
    <w:p w:rsidR="00AB3F9B" w:rsidRPr="00ED3EA2" w:rsidRDefault="00CA4D43">
      <w:pPr>
        <w:numPr>
          <w:ilvl w:val="0"/>
          <w:numId w:val="2"/>
        </w:numP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En tal sentido, se le recomendó acudir al área de administración de la institución pública para la cual prestó sus servicios, a fin que dichas instituciones realicen las gestiones correspondientes ante el Departamento de Vigencia de Derechos del ISSEMYM.</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El </w:t>
      </w:r>
      <w:r w:rsidRPr="00ED3EA2">
        <w:rPr>
          <w:rFonts w:ascii="Palatino Linotype" w:eastAsia="Palatino Linotype" w:hAnsi="Palatino Linotype" w:cs="Palatino Linotype"/>
          <w:b/>
          <w:color w:val="000000"/>
        </w:rPr>
        <w:t>veintiséis de diciembre de dos mil veinticuatro</w:t>
      </w:r>
      <w:r w:rsidRPr="00ED3EA2">
        <w:rPr>
          <w:rFonts w:ascii="Palatino Linotype" w:eastAsia="Palatino Linotype" w:hAnsi="Palatino Linotype" w:cs="Palatino Linotype"/>
          <w:color w:val="000000"/>
        </w:rPr>
        <w:t>, en el tablero de detalle del seguimiento de solicitudes del Sistema SARCOEM, se visualiza una respuesta a la solicitud o entrega de información, sin embargo no hay pronunciamiento al respecto.</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i/>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ED3EA2">
        <w:rPr>
          <w:rFonts w:ascii="Palatino Linotype" w:eastAsia="Palatino Linotype" w:hAnsi="Palatino Linotype" w:cs="Palatino Linotype"/>
          <w:color w:val="000000"/>
        </w:rPr>
        <w:t xml:space="preserve">El </w:t>
      </w:r>
      <w:r w:rsidRPr="00ED3EA2">
        <w:rPr>
          <w:rFonts w:ascii="Palatino Linotype" w:eastAsia="Palatino Linotype" w:hAnsi="Palatino Linotype" w:cs="Palatino Linotype"/>
          <w:b/>
          <w:color w:val="000000"/>
        </w:rPr>
        <w:t>veintidós de enero de dos mil veinticinco,</w:t>
      </w:r>
      <w:r w:rsidRPr="00ED3EA2">
        <w:rPr>
          <w:rFonts w:ascii="Palatino Linotype" w:eastAsia="Palatino Linotype" w:hAnsi="Palatino Linotype" w:cs="Palatino Linotype"/>
          <w:color w:val="000000"/>
        </w:rPr>
        <w:t xml:space="preserve"> el particular</w:t>
      </w:r>
      <w:r w:rsidRPr="00ED3EA2">
        <w:rPr>
          <w:rFonts w:ascii="Palatino Linotype" w:eastAsia="Palatino Linotype" w:hAnsi="Palatino Linotype" w:cs="Palatino Linotype"/>
        </w:rPr>
        <w:t xml:space="preserve"> interpuso el recurso de revisión respectivo, refiriendo sus razones o motivos de inconformidad que se describen a continuación en su sentido toral:</w:t>
      </w:r>
    </w:p>
    <w:p w:rsidR="00AB3F9B" w:rsidRPr="00ED3EA2" w:rsidRDefault="00CA4D43">
      <w:pPr>
        <w:numPr>
          <w:ilvl w:val="0"/>
          <w:numId w:val="1"/>
        </w:numPr>
        <w:ind w:right="49"/>
        <w:jc w:val="both"/>
        <w:rPr>
          <w:rFonts w:ascii="Palatino Linotype" w:eastAsia="Palatino Linotype" w:hAnsi="Palatino Linotype" w:cs="Palatino Linotype"/>
          <w:b/>
          <w:sz w:val="22"/>
          <w:szCs w:val="22"/>
        </w:rPr>
      </w:pPr>
      <w:r w:rsidRPr="00ED3EA2">
        <w:rPr>
          <w:rFonts w:ascii="Palatino Linotype" w:eastAsia="Palatino Linotype" w:hAnsi="Palatino Linotype" w:cs="Palatino Linotype"/>
          <w:b/>
          <w:sz w:val="22"/>
          <w:szCs w:val="22"/>
        </w:rPr>
        <w:t>Acto impugnado:</w:t>
      </w:r>
    </w:p>
    <w:p w:rsidR="00AB3F9B" w:rsidRPr="00ED3EA2" w:rsidRDefault="00CA4D43">
      <w:pPr>
        <w:ind w:left="1134"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“NÚMERO DE SOLICITUD 003” (Sic)</w:t>
      </w:r>
    </w:p>
    <w:p w:rsidR="00AB3F9B" w:rsidRPr="00ED3EA2" w:rsidRDefault="00CA4D43">
      <w:pPr>
        <w:numPr>
          <w:ilvl w:val="0"/>
          <w:numId w:val="4"/>
        </w:numPr>
        <w:ind w:right="49"/>
        <w:jc w:val="both"/>
        <w:rPr>
          <w:rFonts w:ascii="Palatino Linotype" w:eastAsia="Palatino Linotype" w:hAnsi="Palatino Linotype" w:cs="Palatino Linotype"/>
          <w:b/>
          <w:sz w:val="22"/>
          <w:szCs w:val="22"/>
        </w:rPr>
      </w:pPr>
      <w:r w:rsidRPr="00ED3EA2">
        <w:rPr>
          <w:rFonts w:ascii="Palatino Linotype" w:eastAsia="Palatino Linotype" w:hAnsi="Palatino Linotype" w:cs="Palatino Linotype"/>
          <w:b/>
          <w:sz w:val="22"/>
          <w:szCs w:val="22"/>
        </w:rPr>
        <w:t>Razones o motivos de la inconformidad:</w:t>
      </w:r>
    </w:p>
    <w:p w:rsidR="00AB3F9B" w:rsidRPr="00ED3EA2" w:rsidRDefault="00CA4D43">
      <w:pPr>
        <w:pBdr>
          <w:top w:val="nil"/>
          <w:left w:val="nil"/>
          <w:bottom w:val="nil"/>
          <w:right w:val="nil"/>
          <w:between w:val="nil"/>
        </w:pBdr>
        <w:spacing w:line="360" w:lineRule="auto"/>
        <w:ind w:left="1134"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color w:val="000000"/>
          <w:sz w:val="22"/>
          <w:szCs w:val="22"/>
        </w:rPr>
        <w:t>“NO ME PROPORCIONARON RESPUESTA EN LA FECHA LIMITE O PLAZO MAXIMO QUE TENIA LA INSTITUCIÓN.” (Sic)</w:t>
      </w:r>
      <w:r w:rsidRPr="00ED3EA2">
        <w:rPr>
          <w:rFonts w:ascii="Palatino Linotype" w:eastAsia="Palatino Linotype" w:hAnsi="Palatino Linotype" w:cs="Palatino Linotype"/>
          <w:i/>
          <w:sz w:val="22"/>
          <w:szCs w:val="22"/>
        </w:rPr>
        <w:t xml:space="preserve"> </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b/>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b/>
          <w:color w:val="000000"/>
        </w:rPr>
        <w:t>C</w:t>
      </w:r>
      <w:r w:rsidRPr="00ED3EA2">
        <w:rPr>
          <w:rFonts w:ascii="Palatino Linotype" w:eastAsia="Palatino Linotype" w:hAnsi="Palatino Linotype" w:cs="Palatino Linotype"/>
          <w:color w:val="000000"/>
        </w:rPr>
        <w:t xml:space="preserve">on fundamento en los artículos 11, 127 y 131, de la </w:t>
      </w:r>
      <w:r w:rsidRPr="00ED3EA2">
        <w:rPr>
          <w:rFonts w:ascii="Palatino Linotype" w:eastAsia="Palatino Linotype" w:hAnsi="Palatino Linotype" w:cs="Palatino Linotype"/>
          <w:b/>
          <w:color w:val="000000"/>
        </w:rPr>
        <w:t>Ley de Protección de Datos Personales en Posesión de Sujetos Obligados del Estado de México y Municipios</w:t>
      </w:r>
      <w:r w:rsidRPr="00ED3EA2">
        <w:rPr>
          <w:rFonts w:ascii="Palatino Linotype" w:eastAsia="Palatino Linotype" w:hAnsi="Palatino Linotype" w:cs="Palatino Linotype"/>
          <w:color w:val="000000"/>
        </w:rPr>
        <w:t xml:space="preserve"> y 185, fracciones I, II y IV, de la Ley de Transparencia y Acceso a la Información Pública del Estado de México y Municipios de aplicación supletoria,  en fecha </w:t>
      </w:r>
      <w:r w:rsidRPr="00ED3EA2">
        <w:rPr>
          <w:rFonts w:ascii="Palatino Linotype" w:eastAsia="Palatino Linotype" w:hAnsi="Palatino Linotype" w:cs="Palatino Linotype"/>
          <w:b/>
          <w:color w:val="000000"/>
        </w:rPr>
        <w:t>veinticuatro de enero de dos mil veinticinco</w:t>
      </w:r>
      <w:r w:rsidRPr="00ED3EA2">
        <w:rPr>
          <w:rFonts w:ascii="Palatino Linotype" w:eastAsia="Palatino Linotype" w:hAnsi="Palatino Linotype" w:cs="Palatino Linotype"/>
          <w:color w:val="000000"/>
        </w:rPr>
        <w:t xml:space="preserve">, </w:t>
      </w:r>
      <w:r w:rsidRPr="00ED3EA2">
        <w:rPr>
          <w:rFonts w:ascii="Palatino Linotype" w:eastAsia="Palatino Linotype" w:hAnsi="Palatino Linotype" w:cs="Palatino Linotype"/>
          <w:b/>
          <w:color w:val="000000"/>
        </w:rPr>
        <w:t>se</w:t>
      </w:r>
      <w:r w:rsidRPr="00ED3EA2">
        <w:rPr>
          <w:rFonts w:ascii="Palatino Linotype" w:eastAsia="Palatino Linotype" w:hAnsi="Palatino Linotype" w:cs="Palatino Linotype"/>
          <w:color w:val="000000"/>
        </w:rPr>
        <w:t xml:space="preserve"> </w:t>
      </w:r>
      <w:r w:rsidRPr="00ED3EA2">
        <w:rPr>
          <w:rFonts w:ascii="Palatino Linotype" w:eastAsia="Palatino Linotype" w:hAnsi="Palatino Linotype" w:cs="Palatino Linotype"/>
          <w:b/>
          <w:color w:val="000000"/>
        </w:rPr>
        <w:t>admitió</w:t>
      </w:r>
      <w:r w:rsidRPr="00ED3EA2">
        <w:rPr>
          <w:rFonts w:ascii="Palatino Linotype" w:eastAsia="Palatino Linotype" w:hAnsi="Palatino Linotype" w:cs="Palatino Linotype"/>
          <w:color w:val="000000"/>
        </w:rPr>
        <w:t xml:space="preserve"> el presente recurso de revisión a través del acuerdo de admisión respectivo.</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El </w:t>
      </w:r>
      <w:r w:rsidRPr="00ED3EA2">
        <w:rPr>
          <w:rFonts w:ascii="Palatino Linotype" w:eastAsia="Palatino Linotype" w:hAnsi="Palatino Linotype" w:cs="Palatino Linotype"/>
          <w:b/>
          <w:color w:val="000000"/>
        </w:rPr>
        <w:t>cuatro de febrero de dos mil veinticinco</w:t>
      </w:r>
      <w:r w:rsidRPr="00ED3EA2">
        <w:rPr>
          <w:rFonts w:ascii="Palatino Linotype" w:eastAsia="Palatino Linotype" w:hAnsi="Palatino Linotype" w:cs="Palatino Linotype"/>
          <w:color w:val="000000"/>
        </w:rPr>
        <w:t>, se abrió la etapa de conciliación.</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Las partes no manifestaron su voluntad para conciliar.</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El </w:t>
      </w:r>
      <w:r w:rsidRPr="00ED3EA2">
        <w:rPr>
          <w:rFonts w:ascii="Palatino Linotype" w:eastAsia="Palatino Linotype" w:hAnsi="Palatino Linotype" w:cs="Palatino Linotype"/>
          <w:b/>
          <w:color w:val="000000"/>
        </w:rPr>
        <w:t xml:space="preserve">cuatro de febrero de dos mil veinticinco, </w:t>
      </w:r>
      <w:r w:rsidRPr="00ED3EA2">
        <w:rPr>
          <w:rFonts w:ascii="Palatino Linotype" w:eastAsia="Palatino Linotype" w:hAnsi="Palatino Linotype" w:cs="Palatino Linotype"/>
          <w:color w:val="000000"/>
        </w:rPr>
        <w:t>se notificó acuerdo de prevención al recurrente, para que en un término no mayor a cinco días hábiles acredite su identidad en calidad de titular de los datos personales solicitados.</w:t>
      </w:r>
    </w:p>
    <w:p w:rsidR="00AB3F9B" w:rsidRPr="00ED3EA2" w:rsidRDefault="00CA4D43">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 </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El Recurrente no cumplió con el requerimiento.</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El </w:t>
      </w:r>
      <w:r w:rsidRPr="00ED3EA2">
        <w:rPr>
          <w:rFonts w:ascii="Palatino Linotype" w:eastAsia="Palatino Linotype" w:hAnsi="Palatino Linotype" w:cs="Palatino Linotype"/>
          <w:b/>
          <w:color w:val="000000"/>
        </w:rPr>
        <w:t>diecisiete de febrero de dos mil veinticinco</w:t>
      </w:r>
      <w:r w:rsidRPr="00ED3EA2">
        <w:rPr>
          <w:rFonts w:ascii="Palatino Linotype" w:eastAsia="Palatino Linotype" w:hAnsi="Palatino Linotype" w:cs="Palatino Linotype"/>
          <w:color w:val="000000"/>
        </w:rPr>
        <w:t>, se procede a decretar el cierre de la etapa de conciliación y se da inicio a la etapa de manifestaciones, a efecto de que las partes, en un plazo máximo de siete días hábiles, manifiesten lo que a su derecho convenga. El Recurrente</w:t>
      </w:r>
      <w:r w:rsidRPr="00ED3EA2">
        <w:rPr>
          <w:rFonts w:ascii="Palatino Linotype" w:eastAsia="Palatino Linotype" w:hAnsi="Palatino Linotype" w:cs="Palatino Linotype"/>
          <w:b/>
          <w:color w:val="000000"/>
        </w:rPr>
        <w:t xml:space="preserve"> </w:t>
      </w:r>
      <w:r w:rsidRPr="00ED3EA2">
        <w:rPr>
          <w:rFonts w:ascii="Palatino Linotype" w:eastAsia="Palatino Linotype" w:hAnsi="Palatino Linotype" w:cs="Palatino Linotype"/>
          <w:color w:val="000000"/>
        </w:rPr>
        <w:t xml:space="preserve">dejó de realizar manifestaciones que a su derecho conviniera y asistiera. Por su parte, el Sujeto Obligado, fue omiso en rendir </w:t>
      </w:r>
      <w:r w:rsidRPr="00ED3EA2">
        <w:rPr>
          <w:rFonts w:ascii="Palatino Linotype" w:eastAsia="Palatino Linotype" w:hAnsi="Palatino Linotype" w:cs="Palatino Linotype"/>
          <w:b/>
          <w:color w:val="000000"/>
        </w:rPr>
        <w:t>informe justificado.</w:t>
      </w:r>
    </w:p>
    <w:p w:rsidR="00AB3F9B" w:rsidRPr="00ED3EA2" w:rsidRDefault="00AB3F9B">
      <w:pPr>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En fecha </w:t>
      </w:r>
      <w:r w:rsidRPr="00ED3EA2">
        <w:rPr>
          <w:rFonts w:ascii="Palatino Linotype" w:eastAsia="Palatino Linotype" w:hAnsi="Palatino Linotype" w:cs="Palatino Linotype"/>
          <w:b/>
          <w:color w:val="000000"/>
        </w:rPr>
        <w:t>veintisiete de febrero de dos mil veinticinco</w:t>
      </w:r>
      <w:r w:rsidRPr="00ED3EA2">
        <w:rPr>
          <w:rFonts w:ascii="Palatino Linotype" w:eastAsia="Palatino Linotype" w:hAnsi="Palatino Linotype" w:cs="Palatino Linotype"/>
          <w:color w:val="000000"/>
        </w:rPr>
        <w:t xml:space="preserve">, se decretó el cierre de instrucción del recurso de revisión referido al rubro. </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En razón de que fue debidamente sustanciado el expediente electrónico y no existe diligencia pendiente de desahogo, se emite la Resolución que conforme a Derecho proceda, de acuerdo con las siguientes:</w:t>
      </w:r>
    </w:p>
    <w:p w:rsidR="00AB3F9B" w:rsidRPr="00ED3EA2" w:rsidRDefault="00AB3F9B">
      <w:pPr>
        <w:pBdr>
          <w:top w:val="nil"/>
          <w:left w:val="nil"/>
          <w:bottom w:val="nil"/>
          <w:right w:val="nil"/>
          <w:between w:val="nil"/>
        </w:pBdr>
        <w:ind w:left="720" w:right="-517"/>
        <w:rPr>
          <w:rFonts w:ascii="Palatino Linotype" w:eastAsia="Palatino Linotype" w:hAnsi="Palatino Linotype" w:cs="Palatino Linotype"/>
          <w:color w:val="000000"/>
        </w:rPr>
      </w:pPr>
    </w:p>
    <w:p w:rsidR="00AB3F9B" w:rsidRPr="00ED3EA2" w:rsidRDefault="00AB3F9B">
      <w:pPr>
        <w:pBdr>
          <w:top w:val="nil"/>
          <w:left w:val="nil"/>
          <w:bottom w:val="nil"/>
          <w:right w:val="nil"/>
          <w:between w:val="nil"/>
        </w:pBdr>
        <w:ind w:left="720" w:right="-517"/>
        <w:rPr>
          <w:rFonts w:ascii="Palatino Linotype" w:eastAsia="Palatino Linotype" w:hAnsi="Palatino Linotype" w:cs="Palatino Linotype"/>
          <w:color w:val="000000"/>
        </w:rPr>
      </w:pPr>
    </w:p>
    <w:p w:rsidR="00AB3F9B" w:rsidRPr="00ED3EA2" w:rsidRDefault="00CA4D43">
      <w:pPr>
        <w:pBdr>
          <w:top w:val="nil"/>
          <w:left w:val="nil"/>
          <w:bottom w:val="nil"/>
          <w:right w:val="nil"/>
          <w:between w:val="nil"/>
        </w:pBdr>
        <w:spacing w:line="360" w:lineRule="auto"/>
        <w:ind w:right="-517"/>
        <w:jc w:val="center"/>
        <w:rPr>
          <w:rFonts w:ascii="Palatino Linotype" w:eastAsia="Palatino Linotype" w:hAnsi="Palatino Linotype" w:cs="Palatino Linotype"/>
          <w:b/>
          <w:color w:val="000000"/>
        </w:rPr>
      </w:pPr>
      <w:r w:rsidRPr="00ED3EA2">
        <w:rPr>
          <w:rFonts w:ascii="Palatino Linotype" w:eastAsia="Palatino Linotype" w:hAnsi="Palatino Linotype" w:cs="Palatino Linotype"/>
          <w:b/>
          <w:color w:val="000000"/>
        </w:rPr>
        <w:t>C O N S I D E R A C I O N E S</w:t>
      </w:r>
    </w:p>
    <w:p w:rsidR="00AB3F9B" w:rsidRPr="00ED3EA2" w:rsidRDefault="00AB3F9B">
      <w:pPr>
        <w:pBdr>
          <w:top w:val="nil"/>
          <w:left w:val="nil"/>
          <w:bottom w:val="nil"/>
          <w:right w:val="nil"/>
          <w:between w:val="nil"/>
        </w:pBdr>
        <w:spacing w:line="360" w:lineRule="auto"/>
        <w:ind w:right="-517"/>
        <w:jc w:val="center"/>
        <w:rPr>
          <w:rFonts w:ascii="Palatino Linotype" w:eastAsia="Palatino Linotype" w:hAnsi="Palatino Linotype" w:cs="Palatino Linotype"/>
          <w:b/>
        </w:rPr>
      </w:pPr>
    </w:p>
    <w:p w:rsidR="00AB3F9B" w:rsidRPr="00ED3EA2" w:rsidRDefault="00CA4D43">
      <w:pPr>
        <w:pStyle w:val="Ttulo2"/>
        <w:spacing w:before="0" w:line="360" w:lineRule="auto"/>
        <w:ind w:right="-517"/>
        <w:rPr>
          <w:rFonts w:ascii="Palatino Linotype" w:eastAsia="Palatino Linotype" w:hAnsi="Palatino Linotype" w:cs="Palatino Linotype"/>
          <w:b/>
          <w:color w:val="000000"/>
          <w:sz w:val="24"/>
          <w:szCs w:val="24"/>
        </w:rPr>
      </w:pPr>
      <w:r w:rsidRPr="00ED3EA2">
        <w:rPr>
          <w:rFonts w:ascii="Palatino Linotype" w:eastAsia="Palatino Linotype" w:hAnsi="Palatino Linotype" w:cs="Palatino Linotype"/>
          <w:b/>
          <w:color w:val="000000"/>
          <w:sz w:val="24"/>
          <w:szCs w:val="24"/>
        </w:rPr>
        <w:t>PRIMERA. Competencia</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w:t>
      </w:r>
      <w:r w:rsidRPr="00ED3EA2">
        <w:rPr>
          <w:rFonts w:ascii="Palatino Linotype" w:eastAsia="Palatino Linotype" w:hAnsi="Palatino Linotype" w:cs="Palatino Linotype"/>
          <w:color w:val="000000"/>
        </w:rPr>
        <w:lastRenderedPageBreak/>
        <w:t>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b/>
          <w:color w:val="000000"/>
        </w:rPr>
        <w:t>SEGUNDA. Procedencia y oportunidad.</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ED3EA2">
        <w:rPr>
          <w:rFonts w:ascii="Palatino Linotype" w:eastAsia="Palatino Linotype" w:hAnsi="Palatino Linotype" w:cs="Palatino Linotype"/>
        </w:rPr>
        <w:t>Es de precisar, que la Ley de Protección de Datos Personales en Posesión de Sujetos Obligados del Estado de México y Municipios, en el artículo 108 describe el plazo de respuesta, ampliación y negativa.</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b/>
          <w:i/>
          <w:sz w:val="22"/>
          <w:szCs w:val="22"/>
        </w:rPr>
        <w:t>Artículo 108.</w:t>
      </w:r>
      <w:r w:rsidRPr="00ED3EA2">
        <w:rPr>
          <w:rFonts w:ascii="Palatino Linotype" w:eastAsia="Palatino Linotype" w:hAnsi="Palatino Linotype" w:cs="Palatino Linotype"/>
          <w:i/>
          <w:sz w:val="22"/>
          <w:szCs w:val="22"/>
        </w:rPr>
        <w:t xml:space="preserve"> El responsable deberá establecer procedimientos sencillos que permitan el ejercicio de los derechos ARCO, privilegiando los mecanismos que faciliten su ejercicio de una manera breve y ágil. </w:t>
      </w:r>
      <w:r w:rsidRPr="00ED3EA2">
        <w:rPr>
          <w:rFonts w:ascii="Palatino Linotype" w:eastAsia="Palatino Linotype" w:hAnsi="Palatino Linotype" w:cs="Palatino Linotype"/>
          <w:b/>
          <w:i/>
          <w:sz w:val="22"/>
          <w:szCs w:val="22"/>
        </w:rPr>
        <w:t>El plazo de respuesta no deberá exceder de veinte días contados a partir del día siguiente a la recepción</w:t>
      </w:r>
      <w:r w:rsidRPr="00ED3EA2">
        <w:rPr>
          <w:rFonts w:ascii="Palatino Linotype" w:eastAsia="Palatino Linotype" w:hAnsi="Palatino Linotype" w:cs="Palatino Linotype"/>
          <w:i/>
          <w:sz w:val="22"/>
          <w:szCs w:val="22"/>
        </w:rPr>
        <w:t xml:space="preserve"> de la solicitud.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El plazo referido en el párrafo anterior podrá ser ampliado por una sola vez hasta por diez días cuando así lo justifiquen las circunstancias y siempre y cuando se le notifique al titular dentro del plazo de respuesta.</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En caso que el responsable no emita respuesta a la solicitud de ejercicio de derechos ARCO se entenderá que la respuesta es negativa.</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b/>
          <w:i/>
          <w:sz w:val="22"/>
          <w:szCs w:val="22"/>
        </w:rPr>
      </w:pPr>
      <w:r w:rsidRPr="00ED3EA2">
        <w:rPr>
          <w:rFonts w:ascii="Palatino Linotype" w:eastAsia="Palatino Linotype" w:hAnsi="Palatino Linotype" w:cs="Palatino Linotype"/>
          <w:b/>
          <w:i/>
          <w:sz w:val="22"/>
          <w:szCs w:val="22"/>
        </w:rPr>
        <w:t xml:space="preserve">Plazo para interponer recurso de revisión </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 xml:space="preserve">Artículo 128. El titular, por sí mismo o a través de su representante, podrán interponer un recurso de revisión ante el Instituto o la Unidad de Transparencia del responsable que haya conocido de </w:t>
      </w:r>
      <w:r w:rsidRPr="00ED3EA2">
        <w:rPr>
          <w:rFonts w:ascii="Palatino Linotype" w:eastAsia="Palatino Linotype" w:hAnsi="Palatino Linotype" w:cs="Palatino Linotype"/>
          <w:i/>
          <w:sz w:val="22"/>
          <w:szCs w:val="22"/>
        </w:rPr>
        <w:lastRenderedPageBreak/>
        <w:t xml:space="preserve">la solicitud para el ejercicio de los derechos ARCO, dentro de un plazo que no podrá exceder de quince días contados a partir del siguiente a la fecha de la notificación de la respuesta.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AB3F9B" w:rsidRPr="00ED3EA2" w:rsidRDefault="00AB3F9B">
      <w:pPr>
        <w:pBdr>
          <w:top w:val="nil"/>
          <w:left w:val="nil"/>
          <w:bottom w:val="nil"/>
          <w:right w:val="nil"/>
          <w:between w:val="nil"/>
        </w:pBdr>
        <w:ind w:right="-517"/>
        <w:jc w:val="both"/>
        <w:rPr>
          <w:rFonts w:ascii="Palatino Linotype" w:eastAsia="Palatino Linotype" w:hAnsi="Palatino Linotype" w:cs="Palatino Linotype"/>
          <w:i/>
        </w:rPr>
      </w:pPr>
    </w:p>
    <w:p w:rsidR="00AB3F9B" w:rsidRPr="00ED3EA2" w:rsidRDefault="00AB3F9B">
      <w:pPr>
        <w:pBdr>
          <w:top w:val="nil"/>
          <w:left w:val="nil"/>
          <w:bottom w:val="nil"/>
          <w:right w:val="nil"/>
          <w:between w:val="nil"/>
        </w:pBdr>
        <w:ind w:left="1134" w:right="-517"/>
        <w:jc w:val="both"/>
        <w:rPr>
          <w:rFonts w:ascii="Palatino Linotype" w:eastAsia="Palatino Linotype" w:hAnsi="Palatino Linotype" w:cs="Palatino Linotype"/>
          <w:i/>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ED3EA2">
        <w:rPr>
          <w:rFonts w:ascii="Palatino Linotype" w:eastAsia="Palatino Linotype" w:hAnsi="Palatino Linotype" w:cs="Palatino Linotype"/>
        </w:rPr>
        <w:t xml:space="preserve"> Asimismo señala que el plazo del </w:t>
      </w:r>
      <w:r w:rsidRPr="00ED3EA2">
        <w:rPr>
          <w:rFonts w:ascii="Palatino Linotype" w:eastAsia="Palatino Linotype" w:hAnsi="Palatino Linotype" w:cs="Palatino Linotype"/>
          <w:b/>
        </w:rPr>
        <w:t>SUJETO OBLIGADO</w:t>
      </w:r>
      <w:r w:rsidRPr="00ED3EA2">
        <w:rPr>
          <w:rFonts w:ascii="Palatino Linotype" w:eastAsia="Palatino Linotype" w:hAnsi="Palatino Linotype" w:cs="Palatino Linotype"/>
        </w:rPr>
        <w:t xml:space="preserve"> para entregar la respuesta a una solicitud del </w:t>
      </w:r>
      <w:r w:rsidRPr="00ED3EA2">
        <w:rPr>
          <w:rFonts w:ascii="Palatino Linotype" w:eastAsia="Palatino Linotype" w:hAnsi="Palatino Linotype" w:cs="Palatino Linotype"/>
          <w:i/>
        </w:rPr>
        <w:t>ejercicio de los derechos ARCO</w:t>
      </w:r>
      <w:r w:rsidRPr="00ED3EA2">
        <w:rPr>
          <w:rFonts w:ascii="Palatino Linotype" w:eastAsia="Palatino Linotype" w:hAnsi="Palatino Linotype" w:cs="Palatino Linotype"/>
        </w:rPr>
        <w:t>, es de veinte días hábiles posteriores a la presentación de ésta; por lo que, 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w:t>
      </w:r>
    </w:p>
    <w:p w:rsidR="00AB3F9B" w:rsidRPr="00ED3EA2" w:rsidRDefault="00AB3F9B">
      <w:pPr>
        <w:tabs>
          <w:tab w:val="left" w:pos="284"/>
        </w:tabs>
        <w:spacing w:line="360" w:lineRule="auto"/>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ED3EA2">
        <w:rPr>
          <w:rFonts w:ascii="Palatino Linotype" w:eastAsia="Palatino Linotype" w:hAnsi="Palatino Linotype" w:cs="Palatino Linotype"/>
        </w:rPr>
        <w:t xml:space="preserve">Por ende, se constituye la figura jurídica de la </w:t>
      </w:r>
      <w:r w:rsidRPr="00ED3EA2">
        <w:rPr>
          <w:rFonts w:ascii="Palatino Linotype" w:eastAsia="Palatino Linotype" w:hAnsi="Palatino Linotype" w:cs="Palatino Linotype"/>
          <w:i/>
        </w:rPr>
        <w:t>negativa ficta</w:t>
      </w:r>
      <w:r w:rsidRPr="00ED3EA2">
        <w:rPr>
          <w:rFonts w:ascii="Palatino Linotype" w:eastAsia="Palatino Linotype" w:hAnsi="Palatino Linotype" w:cs="Palatino Linotype"/>
        </w:rPr>
        <w:t>, cuya esencia es atribuir un efecto negativo al silencio de la autoridad administrativa frente a las instancias y solicitudes que hagan los particulares.</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rPr>
      </w:pPr>
      <w:r w:rsidRPr="00ED3EA2">
        <w:rPr>
          <w:rFonts w:ascii="Palatino Linotype" w:eastAsia="Palatino Linotype" w:hAnsi="Palatino Linotype" w:cs="Palatino Linotype"/>
        </w:rPr>
        <w:t>Resulta procedente la interposición del Recurso de Revisión, ya que se actualiza la causal de procedencia señalada en el artículo 129, fracción XI de la Ley de Protección de Datos Personales en Posesión de Sujetos Obligados del Estado de México y Municipios:</w:t>
      </w:r>
    </w:p>
    <w:p w:rsidR="00AB3F9B" w:rsidRPr="00ED3EA2" w:rsidRDefault="00CA4D43">
      <w:pPr>
        <w:pBdr>
          <w:top w:val="nil"/>
          <w:left w:val="nil"/>
          <w:bottom w:val="nil"/>
          <w:right w:val="nil"/>
          <w:between w:val="nil"/>
        </w:pBdr>
        <w:spacing w:line="360" w:lineRule="auto"/>
        <w:ind w:left="1134" w:right="-517"/>
        <w:jc w:val="both"/>
        <w:rPr>
          <w:rFonts w:ascii="Palatino Linotype" w:eastAsia="Palatino Linotype" w:hAnsi="Palatino Linotype" w:cs="Palatino Linotype"/>
          <w:b/>
          <w:i/>
          <w:sz w:val="22"/>
          <w:szCs w:val="22"/>
        </w:rPr>
      </w:pPr>
      <w:r w:rsidRPr="00ED3EA2">
        <w:rPr>
          <w:rFonts w:ascii="Palatino Linotype" w:eastAsia="Palatino Linotype" w:hAnsi="Palatino Linotype" w:cs="Palatino Linotype"/>
          <w:b/>
          <w:i/>
          <w:sz w:val="22"/>
          <w:szCs w:val="22"/>
        </w:rPr>
        <w:t xml:space="preserve">Procedencia del Recurso de Revisión </w:t>
      </w:r>
    </w:p>
    <w:p w:rsidR="00AB3F9B" w:rsidRPr="00ED3EA2" w:rsidRDefault="00CA4D43">
      <w:pPr>
        <w:pBdr>
          <w:top w:val="nil"/>
          <w:left w:val="nil"/>
          <w:bottom w:val="nil"/>
          <w:right w:val="nil"/>
          <w:between w:val="nil"/>
        </w:pBdr>
        <w:spacing w:line="360" w:lineRule="auto"/>
        <w:ind w:left="1134" w:right="-517"/>
        <w:rPr>
          <w:rFonts w:ascii="Palatino Linotype" w:eastAsia="Palatino Linotype" w:hAnsi="Palatino Linotype" w:cs="Palatino Linotype"/>
          <w:i/>
          <w:sz w:val="22"/>
          <w:szCs w:val="22"/>
        </w:rPr>
      </w:pPr>
      <w:r w:rsidRPr="00ED3EA2">
        <w:rPr>
          <w:rFonts w:ascii="Palatino Linotype" w:eastAsia="Palatino Linotype" w:hAnsi="Palatino Linotype" w:cs="Palatino Linotype"/>
          <w:b/>
          <w:i/>
          <w:sz w:val="22"/>
          <w:szCs w:val="22"/>
        </w:rPr>
        <w:t>Artículo 129</w:t>
      </w:r>
      <w:r w:rsidRPr="00ED3EA2">
        <w:rPr>
          <w:rFonts w:ascii="Palatino Linotype" w:eastAsia="Palatino Linotype" w:hAnsi="Palatino Linotype" w:cs="Palatino Linotype"/>
          <w:i/>
          <w:sz w:val="22"/>
          <w:szCs w:val="22"/>
        </w:rPr>
        <w:t>. El recurso de revisión procederá en los supuestos siguientes:</w:t>
      </w:r>
    </w:p>
    <w:p w:rsidR="00AB3F9B" w:rsidRPr="00ED3EA2" w:rsidRDefault="00CA4D43">
      <w:pPr>
        <w:pBdr>
          <w:top w:val="nil"/>
          <w:left w:val="nil"/>
          <w:bottom w:val="nil"/>
          <w:right w:val="nil"/>
          <w:between w:val="nil"/>
        </w:pBdr>
        <w:spacing w:line="360" w:lineRule="auto"/>
        <w:ind w:left="1134" w:right="-517"/>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w:t>
      </w:r>
    </w:p>
    <w:p w:rsidR="00AB3F9B" w:rsidRPr="00ED3EA2" w:rsidRDefault="00CA4D43">
      <w:pPr>
        <w:pBdr>
          <w:top w:val="nil"/>
          <w:left w:val="nil"/>
          <w:bottom w:val="nil"/>
          <w:right w:val="nil"/>
          <w:between w:val="nil"/>
        </w:pBdr>
        <w:spacing w:line="360" w:lineRule="auto"/>
        <w:ind w:left="1134" w:right="-517"/>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XI. No se dé trámite a una solicitud para el ejercicio de los derechos ARCO.</w:t>
      </w:r>
    </w:p>
    <w:p w:rsidR="00AB3F9B" w:rsidRPr="00ED3EA2" w:rsidRDefault="00CA4D43">
      <w:pPr>
        <w:pBdr>
          <w:top w:val="nil"/>
          <w:left w:val="nil"/>
          <w:bottom w:val="nil"/>
          <w:right w:val="nil"/>
          <w:between w:val="nil"/>
        </w:pBdr>
        <w:spacing w:line="360" w:lineRule="auto"/>
        <w:ind w:left="1134" w:right="-517"/>
        <w:rPr>
          <w:rFonts w:ascii="Palatino Linotype" w:eastAsia="Palatino Linotype" w:hAnsi="Palatino Linotype" w:cs="Palatino Linotype"/>
          <w:i/>
          <w:sz w:val="22"/>
          <w:szCs w:val="22"/>
        </w:rPr>
      </w:pPr>
      <w:r w:rsidRPr="00ED3EA2">
        <w:rPr>
          <w:rFonts w:ascii="Palatino Linotype" w:eastAsia="Palatino Linotype" w:hAnsi="Palatino Linotype" w:cs="Palatino Linotype"/>
          <w:i/>
          <w:sz w:val="22"/>
          <w:szCs w:val="22"/>
        </w:rPr>
        <w:t>…</w:t>
      </w:r>
    </w:p>
    <w:p w:rsidR="00AB3F9B" w:rsidRPr="00ED3EA2" w:rsidRDefault="00AB3F9B">
      <w:pPr>
        <w:pBdr>
          <w:top w:val="nil"/>
          <w:left w:val="nil"/>
          <w:bottom w:val="nil"/>
          <w:right w:val="nil"/>
          <w:between w:val="nil"/>
        </w:pBdr>
        <w:spacing w:line="360" w:lineRule="auto"/>
        <w:ind w:left="1134" w:right="-517"/>
        <w:rPr>
          <w:rFonts w:ascii="Palatino Linotype" w:eastAsia="Palatino Linotype" w:hAnsi="Palatino Linotype" w:cs="Palatino Linotype"/>
          <w:i/>
          <w:sz w:val="22"/>
          <w:szCs w:val="22"/>
        </w:rPr>
      </w:pPr>
    </w:p>
    <w:p w:rsidR="00AB3F9B" w:rsidRPr="00ED3EA2" w:rsidRDefault="00CA4D43">
      <w:pPr>
        <w:spacing w:line="360" w:lineRule="auto"/>
        <w:ind w:right="-517"/>
        <w:jc w:val="both"/>
        <w:rPr>
          <w:rFonts w:ascii="Palatino Linotype" w:eastAsia="Palatino Linotype" w:hAnsi="Palatino Linotype" w:cs="Palatino Linotype"/>
        </w:rPr>
      </w:pPr>
      <w:r w:rsidRPr="00ED3EA2">
        <w:rPr>
          <w:rFonts w:ascii="Palatino Linotype" w:eastAsia="Palatino Linotype" w:hAnsi="Palatino Linotype" w:cs="Palatino Linotype"/>
          <w:b/>
        </w:rPr>
        <w:lastRenderedPageBreak/>
        <w:t>TERCERA</w:t>
      </w:r>
      <w:r w:rsidRPr="00ED3EA2">
        <w:rPr>
          <w:rFonts w:ascii="Palatino Linotype" w:eastAsia="Palatino Linotype" w:hAnsi="Palatino Linotype" w:cs="Palatino Linotype"/>
        </w:rPr>
        <w:t xml:space="preserve">. </w:t>
      </w:r>
      <w:r w:rsidRPr="00ED3EA2">
        <w:rPr>
          <w:rFonts w:ascii="Palatino Linotype" w:eastAsia="Palatino Linotype" w:hAnsi="Palatino Linotype" w:cs="Palatino Linotype"/>
          <w:b/>
        </w:rPr>
        <w:t>Causales de improcedencia y sobreseimiento.</w:t>
      </w:r>
      <w:r w:rsidRPr="00ED3EA2">
        <w:rPr>
          <w:rFonts w:ascii="Palatino Linotype" w:eastAsia="Palatino Linotype" w:hAnsi="Palatino Linotype" w:cs="Palatino Linotype"/>
        </w:rPr>
        <w:t xml:space="preserve"> </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Previo al análisis de fondo de la controversia presentada en el asunto que nos ocupa, este Instituto se encuentra obligado a efectuar el estudio oficioso de las causales de improcedencia y sobreseimiento, por tratarse de una cuestión de orden público y de estudio preferente (acorde con el Criterio orientador en la Tesis de Jurisprudencia número 940, pág. 1538, segunda parte del Apéndice del Semanario Judicial de la Federación 1917-1988.). </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numPr>
          <w:ilvl w:val="0"/>
          <w:numId w:val="3"/>
        </w:numPr>
        <w:spacing w:line="360" w:lineRule="auto"/>
        <w:ind w:right="-517"/>
        <w:jc w:val="both"/>
        <w:rPr>
          <w:rFonts w:ascii="Palatino Linotype" w:eastAsia="Palatino Linotype" w:hAnsi="Palatino Linotype" w:cs="Palatino Linotype"/>
          <w:b/>
        </w:rPr>
      </w:pPr>
      <w:r w:rsidRPr="00ED3EA2">
        <w:rPr>
          <w:rFonts w:ascii="Palatino Linotype" w:eastAsia="Palatino Linotype" w:hAnsi="Palatino Linotype" w:cs="Palatino Linotype"/>
          <w:b/>
        </w:rPr>
        <w:t>Causales de improcedencia.</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En el presente caso, no se actualiza ninguna de las causales de improcedencia establecidas por el artículo 138, de la Ley de Protección de Datos Personales en Posesión de Sujetos Obligados del Estado de México y Municipios, toda vez que el recurso de revisión fue interpuesto en tiempo; el solicitante acreditó su identidad para efectos de la interposición del Recurso de Revisión; este Instituto no tiene conocimiento de haber resuelto sobre la materia del medio de impugnación que nos ocupa; se actualizan la causales de procedencia previstas por el artículo 129, fracciones XI y XII de la Ley en cita; no se tiene conocimiento que ante Tribunales competentes se esté tramitando algún recurso o medio de defensa en contra del acto recurrido ante este Instituto; el Particular no modificó ni amplió su solicitud  de acceso a datos personales y; finalmente el Particular acreditó el interés jurídico para efectos de interponer el medio de impugnación que nos ocupa. </w:t>
      </w:r>
    </w:p>
    <w:p w:rsidR="00AB3F9B" w:rsidRPr="00ED3EA2" w:rsidRDefault="00AB3F9B">
      <w:pPr>
        <w:ind w:left="709" w:right="-517"/>
        <w:jc w:val="both"/>
        <w:rPr>
          <w:rFonts w:ascii="Palatino Linotype" w:eastAsia="Palatino Linotype" w:hAnsi="Palatino Linotype" w:cs="Palatino Linotype"/>
          <w:color w:val="000000"/>
        </w:rPr>
      </w:pPr>
    </w:p>
    <w:p w:rsidR="00AB3F9B" w:rsidRPr="00ED3EA2" w:rsidRDefault="00CA4D43">
      <w:pPr>
        <w:numPr>
          <w:ilvl w:val="0"/>
          <w:numId w:val="3"/>
        </w:numPr>
        <w:spacing w:line="276" w:lineRule="auto"/>
        <w:ind w:right="-517"/>
        <w:jc w:val="both"/>
        <w:rPr>
          <w:rFonts w:ascii="Palatino Linotype" w:eastAsia="Palatino Linotype" w:hAnsi="Palatino Linotype" w:cs="Palatino Linotype"/>
        </w:rPr>
      </w:pPr>
      <w:r w:rsidRPr="00ED3EA2">
        <w:rPr>
          <w:rFonts w:ascii="Palatino Linotype" w:eastAsia="Palatino Linotype" w:hAnsi="Palatino Linotype" w:cs="Palatino Linotype"/>
          <w:b/>
        </w:rPr>
        <w:t>Causales de sobreseimiento</w:t>
      </w:r>
      <w:r w:rsidRPr="00ED3EA2">
        <w:rPr>
          <w:rFonts w:ascii="Palatino Linotype" w:eastAsia="Palatino Linotype" w:hAnsi="Palatino Linotype" w:cs="Palatino Linotype"/>
        </w:rPr>
        <w:t>.</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Por otra parte, el artículo 139, de la Ley de Protección de Datos Personales en Posesión de Sujetos Obligados del Estado de México y Municipios, señala que el Recurso de Revisión será sobreseído cuando una vez admitido, se actualice algún de los supuestos siguientes: </w:t>
      </w:r>
    </w:p>
    <w:p w:rsidR="00AB3F9B" w:rsidRPr="00ED3EA2" w:rsidRDefault="00CA4D43">
      <w:pPr>
        <w:spacing w:line="360" w:lineRule="auto"/>
        <w:ind w:left="1134" w:right="49"/>
        <w:jc w:val="both"/>
        <w:rPr>
          <w:rFonts w:ascii="Palatino Linotype" w:eastAsia="Palatino Linotype" w:hAnsi="Palatino Linotype" w:cs="Palatino Linotype"/>
          <w:sz w:val="22"/>
          <w:szCs w:val="22"/>
        </w:rPr>
      </w:pPr>
      <w:r w:rsidRPr="00ED3EA2">
        <w:rPr>
          <w:rFonts w:ascii="Palatino Linotype" w:eastAsia="Palatino Linotype" w:hAnsi="Palatino Linotype" w:cs="Palatino Linotype"/>
          <w:sz w:val="22"/>
          <w:szCs w:val="22"/>
        </w:rPr>
        <w:t xml:space="preserve">I. El recurrente se desista expresamente. </w:t>
      </w:r>
    </w:p>
    <w:p w:rsidR="00AB3F9B" w:rsidRPr="00ED3EA2" w:rsidRDefault="00CA4D43">
      <w:pPr>
        <w:spacing w:line="360" w:lineRule="auto"/>
        <w:ind w:left="1134" w:right="49"/>
        <w:jc w:val="both"/>
        <w:rPr>
          <w:rFonts w:ascii="Palatino Linotype" w:eastAsia="Palatino Linotype" w:hAnsi="Palatino Linotype" w:cs="Palatino Linotype"/>
          <w:sz w:val="22"/>
          <w:szCs w:val="22"/>
        </w:rPr>
      </w:pPr>
      <w:r w:rsidRPr="00ED3EA2">
        <w:rPr>
          <w:rFonts w:ascii="Palatino Linotype" w:eastAsia="Palatino Linotype" w:hAnsi="Palatino Linotype" w:cs="Palatino Linotype"/>
          <w:sz w:val="22"/>
          <w:szCs w:val="22"/>
        </w:rPr>
        <w:lastRenderedPageBreak/>
        <w:t xml:space="preserve">II. El recurrente fallezca. </w:t>
      </w:r>
    </w:p>
    <w:p w:rsidR="00AB3F9B" w:rsidRPr="00ED3EA2" w:rsidRDefault="00CA4D43">
      <w:pPr>
        <w:spacing w:line="360" w:lineRule="auto"/>
        <w:ind w:left="1134" w:right="49"/>
        <w:jc w:val="both"/>
        <w:rPr>
          <w:rFonts w:ascii="Palatino Linotype" w:eastAsia="Palatino Linotype" w:hAnsi="Palatino Linotype" w:cs="Palatino Linotype"/>
          <w:b/>
          <w:sz w:val="22"/>
          <w:szCs w:val="22"/>
        </w:rPr>
      </w:pPr>
      <w:r w:rsidRPr="00ED3EA2">
        <w:rPr>
          <w:rFonts w:ascii="Palatino Linotype" w:eastAsia="Palatino Linotype" w:hAnsi="Palatino Linotype" w:cs="Palatino Linotype"/>
          <w:b/>
          <w:sz w:val="22"/>
          <w:szCs w:val="22"/>
        </w:rPr>
        <w:t xml:space="preserve">III. Admitido el recurso de revisión, se actualice alguna causal de improcedencia en los términos de la presente Ley. </w:t>
      </w:r>
    </w:p>
    <w:p w:rsidR="00AB3F9B" w:rsidRPr="00ED3EA2" w:rsidRDefault="00CA4D43">
      <w:pPr>
        <w:spacing w:line="360" w:lineRule="auto"/>
        <w:ind w:left="1134" w:right="49"/>
        <w:jc w:val="both"/>
        <w:rPr>
          <w:rFonts w:ascii="Palatino Linotype" w:eastAsia="Palatino Linotype" w:hAnsi="Palatino Linotype" w:cs="Palatino Linotype"/>
          <w:sz w:val="22"/>
          <w:szCs w:val="22"/>
        </w:rPr>
      </w:pPr>
      <w:r w:rsidRPr="00ED3EA2">
        <w:rPr>
          <w:rFonts w:ascii="Palatino Linotype" w:eastAsia="Palatino Linotype" w:hAnsi="Palatino Linotype" w:cs="Palatino Linotype"/>
          <w:sz w:val="22"/>
          <w:szCs w:val="22"/>
        </w:rPr>
        <w:t xml:space="preserve">IV. El responsable modifique o revoque su respuesta de tal manera que el recurso de revisión quede sin materia. </w:t>
      </w:r>
    </w:p>
    <w:p w:rsidR="00AB3F9B" w:rsidRPr="00ED3EA2" w:rsidRDefault="00CA4D43">
      <w:pPr>
        <w:spacing w:line="360" w:lineRule="auto"/>
        <w:ind w:left="1134" w:right="49"/>
        <w:jc w:val="both"/>
        <w:rPr>
          <w:rFonts w:ascii="Palatino Linotype" w:eastAsia="Palatino Linotype" w:hAnsi="Palatino Linotype" w:cs="Palatino Linotype"/>
          <w:sz w:val="22"/>
          <w:szCs w:val="22"/>
        </w:rPr>
      </w:pPr>
      <w:r w:rsidRPr="00ED3EA2">
        <w:rPr>
          <w:rFonts w:ascii="Palatino Linotype" w:eastAsia="Palatino Linotype" w:hAnsi="Palatino Linotype" w:cs="Palatino Linotype"/>
          <w:sz w:val="22"/>
          <w:szCs w:val="22"/>
        </w:rPr>
        <w:t xml:space="preserve">V. Quede sin materia el recurso de revisión. </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Es de señalar que toda vez que admitido el Recurso de Revisión, se actualiza una causal de sobreseimiento en términos de la Ley, es procedente analizar la causal III del artículo en cita. </w:t>
      </w:r>
    </w:p>
    <w:p w:rsidR="00AB3F9B" w:rsidRPr="00ED3EA2" w:rsidRDefault="00AB3F9B">
      <w:pPr>
        <w:spacing w:line="360" w:lineRule="auto"/>
        <w:ind w:right="-517"/>
        <w:jc w:val="both"/>
        <w:rPr>
          <w:rFonts w:ascii="Palatino Linotype" w:eastAsia="Palatino Linotype" w:hAnsi="Palatino Linotype" w:cs="Palatino Linotype"/>
          <w:b/>
          <w:color w:val="000000"/>
        </w:rPr>
      </w:pPr>
    </w:p>
    <w:p w:rsidR="00AB3F9B" w:rsidRPr="00ED3EA2" w:rsidRDefault="00CA4D43">
      <w:pPr>
        <w:spacing w:line="360" w:lineRule="auto"/>
        <w:ind w:right="-517"/>
        <w:jc w:val="both"/>
        <w:rPr>
          <w:rFonts w:ascii="Palatino Linotype" w:eastAsia="Palatino Linotype" w:hAnsi="Palatino Linotype" w:cs="Palatino Linotype"/>
          <w:b/>
          <w:color w:val="000000"/>
        </w:rPr>
      </w:pPr>
      <w:r w:rsidRPr="00ED3EA2">
        <w:rPr>
          <w:rFonts w:ascii="Palatino Linotype" w:eastAsia="Palatino Linotype" w:hAnsi="Palatino Linotype" w:cs="Palatino Linotype"/>
          <w:b/>
          <w:color w:val="000000"/>
        </w:rPr>
        <w:t>CUARTA. Análisis de las causales de sobreseimiento.</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Así, con la finalidad de verificar si a</w:t>
      </w:r>
      <w:r w:rsidRPr="00ED3EA2">
        <w:rPr>
          <w:rFonts w:ascii="Palatino Linotype" w:eastAsia="Palatino Linotype" w:hAnsi="Palatino Linotype" w:cs="Palatino Linotype"/>
          <w:b/>
          <w:color w:val="000000"/>
        </w:rPr>
        <w:t>dmitido el recurso de revisión, se actualiza alguna causal de improcedencia en los términos de la presente Ley</w:t>
      </w:r>
      <w:r w:rsidRPr="00ED3EA2">
        <w:rPr>
          <w:rFonts w:ascii="Palatino Linotype" w:eastAsia="Palatino Linotype" w:hAnsi="Palatino Linotype" w:cs="Palatino Linotype"/>
          <w:color w:val="000000"/>
        </w:rPr>
        <w:t>, se realizará la relatoría de las actuaciones efectuadas por las partes durante el procedimiento de acceso a la información pública con el propósito de dar claridad en el tratamiento del tema en estudio.</w:t>
      </w:r>
    </w:p>
    <w:p w:rsidR="00AB3F9B" w:rsidRPr="00ED3EA2" w:rsidRDefault="00CA4D43">
      <w:pPr>
        <w:tabs>
          <w:tab w:val="left" w:pos="4962"/>
        </w:tabs>
        <w:spacing w:line="360" w:lineRule="auto"/>
        <w:ind w:right="-517"/>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ab/>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En ese sentido, es importante recordar que la información solicitada por la </w:t>
      </w:r>
      <w:r w:rsidRPr="00ED3EA2">
        <w:rPr>
          <w:rFonts w:ascii="Palatino Linotype" w:eastAsia="Palatino Linotype" w:hAnsi="Palatino Linotype" w:cs="Palatino Linotype"/>
          <w:b/>
          <w:color w:val="000000"/>
        </w:rPr>
        <w:t xml:space="preserve">RECURRENTE </w:t>
      </w:r>
      <w:r w:rsidRPr="00ED3EA2">
        <w:rPr>
          <w:rFonts w:ascii="Palatino Linotype" w:eastAsia="Palatino Linotype" w:hAnsi="Palatino Linotype" w:cs="Palatino Linotype"/>
          <w:color w:val="000000"/>
        </w:rPr>
        <w:t xml:space="preserve">fue la siguiente. </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b/>
          <w:color w:val="000000"/>
          <w:sz w:val="22"/>
          <w:szCs w:val="22"/>
        </w:rPr>
      </w:pPr>
      <w:r w:rsidRPr="00ED3EA2">
        <w:rPr>
          <w:rFonts w:ascii="Palatino Linotype" w:eastAsia="Palatino Linotype" w:hAnsi="Palatino Linotype" w:cs="Palatino Linotype"/>
          <w:i/>
          <w:color w:val="000000"/>
          <w:sz w:val="22"/>
          <w:szCs w:val="22"/>
        </w:rPr>
        <w:t xml:space="preserve">““EN ATENCION AL OFICIO 207C 0401210001S-UT-2350/2024 EN RESPUESTA A MI PETICIÓN DE AVISOS DE MOVIMIENTO, EL CUAL ANEXO, SOLICITO ME INDIQUE EL MOTIVO POR EL QUE NO ESTAN REGISTRADOS MIS AVISOS DE MOVIMIENTO DE ALTA Y BAJA, TODAS VEZ QUE CONFORME AL CITADO ESCRITO LA DEPENDENCIA RESPONSABLE DE REALIZAR DICHOS REGISTROS ES LA DEPENDECIA PARA LA CUAL TRABAJE Y CUANDO ACUDO A SOLICITAR INFORMACIÓN CON USTEDES ME INDICAN QUE POR CAMBIO DE ADMINISTRACIÓN NO PUEDEN DARME INFORMACION NI ENTREGARME MIS DOCUMENTOS, SITUACION QUE LEGALMENTE NO FUNDAMENTA NADA. POR OTRA PARTE SOLICITO ME ENTREGUEN COPIA CERTIFICADA DE TODOS LOS </w:t>
      </w:r>
      <w:r w:rsidRPr="00ED3EA2">
        <w:rPr>
          <w:rFonts w:ascii="Palatino Linotype" w:eastAsia="Palatino Linotype" w:hAnsi="Palatino Linotype" w:cs="Palatino Linotype"/>
          <w:i/>
          <w:color w:val="000000"/>
          <w:sz w:val="22"/>
          <w:szCs w:val="22"/>
        </w:rPr>
        <w:lastRenderedPageBreak/>
        <w:t>AVISOS DE MOVIMIENTO QUE OBREN EN MI EXPEDIENTE DE LOS AÑOS 2018 AL 2021 DEL AYUNTAMIENTO DE MUNICIPIO DE LA PAZ. SOLICITO COPIA SIMPLE DE LOS TALONES DE PAGO CORRESPONDIENTES A LOS AÑOS 2018 AL 2021.” (Sic)</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Derivado de la solicitud, el </w:t>
      </w:r>
      <w:r w:rsidRPr="00ED3EA2">
        <w:rPr>
          <w:rFonts w:ascii="Palatino Linotype" w:eastAsia="Palatino Linotype" w:hAnsi="Palatino Linotype" w:cs="Palatino Linotype"/>
          <w:b/>
          <w:smallCaps/>
          <w:color w:val="000000"/>
        </w:rPr>
        <w:t>SUJETO OBLIGADO</w:t>
      </w:r>
      <w:r w:rsidRPr="00ED3EA2">
        <w:rPr>
          <w:rFonts w:ascii="Palatino Linotype" w:eastAsia="Palatino Linotype" w:hAnsi="Palatino Linotype" w:cs="Palatino Linotype"/>
          <w:color w:val="000000"/>
        </w:rPr>
        <w:t xml:space="preserve"> no dio trámite a la solicitud para el ejercicio de los derechos ARCO, al simular una respuesta que no muestra ningún pronunciamiento.</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El Particular interpuso el presente Recurso de Revisión, en el que manifestó la falta de respuesta a su solicitud.</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rPr>
        <w:t>Así, posterior</w:t>
      </w:r>
      <w:r w:rsidRPr="00ED3EA2">
        <w:rPr>
          <w:rFonts w:ascii="Palatino Linotype" w:eastAsia="Palatino Linotype" w:hAnsi="Palatino Linotype" w:cs="Palatino Linotype"/>
          <w:color w:val="000000"/>
        </w:rPr>
        <w:t xml:space="preserve"> a la admisión del presente Recurso de Revisión, las partes fueron omisas en manifestar su voluntad para conciliar.</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En la etapa de manifestaciones, el Recurrente</w:t>
      </w:r>
      <w:r w:rsidRPr="00ED3EA2">
        <w:rPr>
          <w:rFonts w:ascii="Palatino Linotype" w:eastAsia="Palatino Linotype" w:hAnsi="Palatino Linotype" w:cs="Palatino Linotype"/>
          <w:b/>
          <w:color w:val="000000"/>
        </w:rPr>
        <w:t xml:space="preserve"> </w:t>
      </w:r>
      <w:r w:rsidRPr="00ED3EA2">
        <w:rPr>
          <w:rFonts w:ascii="Palatino Linotype" w:eastAsia="Palatino Linotype" w:hAnsi="Palatino Linotype" w:cs="Palatino Linotype"/>
          <w:color w:val="000000"/>
        </w:rPr>
        <w:t>dejó de realizar manifestaciones que a su derecho conviniera y asistiera. Por su parte, el Sujeto Obligado, fue omiso en rendir informe justificado</w:t>
      </w:r>
      <w:r w:rsidRPr="00ED3EA2">
        <w:rPr>
          <w:rFonts w:ascii="Palatino Linotype" w:eastAsia="Palatino Linotype" w:hAnsi="Palatino Linotype" w:cs="Palatino Linotype"/>
          <w:b/>
          <w:color w:val="000000"/>
        </w:rPr>
        <w:t>.</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Es importante señalar que para el ejercicio del derecho de acceso a datos personales es necesario que el titular acredite su identidad y de ser el caso cuando se pretenda acceder a través de un representante; </w:t>
      </w:r>
      <w:r w:rsidRPr="00ED3EA2">
        <w:rPr>
          <w:rFonts w:ascii="Palatino Linotype" w:eastAsia="Palatino Linotype" w:hAnsi="Palatino Linotype" w:cs="Palatino Linotype"/>
        </w:rPr>
        <w:t>éste</w:t>
      </w:r>
      <w:r w:rsidRPr="00ED3EA2">
        <w:rPr>
          <w:rFonts w:ascii="Palatino Linotype" w:eastAsia="Palatino Linotype" w:hAnsi="Palatino Linotype" w:cs="Palatino Linotype"/>
          <w:color w:val="000000"/>
        </w:rPr>
        <w:t>, deberá acreditar la identidad y personalidad con la que actué; requisito dispuesto en el artículo 106 de la Ley de Protección de Datos Personales en Posesión de Sujeto Obligados del Estado de México y Municipios, que es del texto literal siguiente:</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w:t>
      </w:r>
      <w:r w:rsidRPr="00ED3EA2">
        <w:rPr>
          <w:rFonts w:ascii="Palatino Linotype" w:eastAsia="Palatino Linotype" w:hAnsi="Palatino Linotype" w:cs="Palatino Linotype"/>
          <w:b/>
          <w:i/>
          <w:color w:val="000000"/>
          <w:sz w:val="22"/>
          <w:szCs w:val="22"/>
        </w:rPr>
        <w:t>Artículo 106</w:t>
      </w:r>
      <w:r w:rsidRPr="00ED3EA2">
        <w:rPr>
          <w:rFonts w:ascii="Palatino Linotype" w:eastAsia="Palatino Linotype" w:hAnsi="Palatino Linotype" w:cs="Palatino Linotype"/>
          <w:i/>
          <w:color w:val="000000"/>
          <w:sz w:val="22"/>
          <w:szCs w:val="22"/>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Los titulares o sus representantes legales podrán solicitar a través de la Unidad de Transparencia, en términos de lo que establezca la presente Ley, que se les otorgue acceso, rectifique, cancele, o que haga efectivo su derecho de oposición, respecto de los datos personales que le conciernan y que obren en un sistema de datos personales y base de datos en posesión de los sujetos obligados.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Para el ejercicio de los derechos ARCO solicitados será necesario acreditar la identidad de titular y en su caso la identidad y personalidad con la que actúe el representante</w:t>
      </w:r>
      <w:r w:rsidRPr="00ED3EA2">
        <w:rPr>
          <w:rFonts w:ascii="Palatino Linotype" w:eastAsia="Palatino Linotype" w:hAnsi="Palatino Linotype" w:cs="Palatino Linotype"/>
          <w:i/>
          <w:color w:val="000000"/>
          <w:sz w:val="22"/>
          <w:szCs w:val="22"/>
        </w:rPr>
        <w:t xml:space="preserve">. </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w:t>
      </w:r>
    </w:p>
    <w:p w:rsidR="00AB3F9B" w:rsidRPr="00ED3EA2" w:rsidRDefault="00AB3F9B">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Ordenamiento jurídico del que se desprende que para el ejercicio de cualquiera de los derechos ARCO, el titular o su representante deberán acreditar su identidad o personalidad, según sea el caso. </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Es de señalar, que de las constancias que integran el expediente electrónico del recurso de revisión de mérito, no se advierten documentos que acrediten que los datos a los que se presente acceder correspondan a la solicitante ya que no adjuntó algún documento que permitiera identificar si se trata del titular de los datos personales.</w:t>
      </w:r>
    </w:p>
    <w:p w:rsidR="00AB3F9B" w:rsidRPr="00ED3EA2" w:rsidRDefault="00AB3F9B">
      <w:pPr>
        <w:pBdr>
          <w:top w:val="nil"/>
          <w:left w:val="nil"/>
          <w:bottom w:val="nil"/>
          <w:right w:val="nil"/>
          <w:between w:val="nil"/>
        </w:pBdr>
        <w:spacing w:line="360" w:lineRule="auto"/>
        <w:ind w:right="-517"/>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En ese contexto, la Ley de la materia establece de manera puntual que para el ejercicio de los derechos ARCO solicitados será necesario acreditar la identidad del titular y en su caso la identidad y personalidad con la que actúe el representante.</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 Bajo esa lógica, toda vez que de la solicitud inicial y del escrito de interposición de los Recurso de Revisión se advierte que la Solicitante no hizo entrega de documento alguno para acreditar su identidad, se entiende que no cumple con los requisitos exigibles por el artículo 130, fracción VI de la Ley de Protección de Datos Personales en Posesión de Sujetos Obligados del Estado de México y Municipios; empero, al corresponder a un requisito no </w:t>
      </w:r>
      <w:r w:rsidRPr="00ED3EA2">
        <w:rPr>
          <w:rFonts w:ascii="Palatino Linotype" w:eastAsia="Palatino Linotype" w:hAnsi="Palatino Linotype" w:cs="Palatino Linotype"/>
          <w:color w:val="000000"/>
        </w:rPr>
        <w:lastRenderedPageBreak/>
        <w:t>subsanable, se previno para que subsane la omisión, que en el caso concreto no aconteció, por ello la Ley de referencia ha estableciendo para tal efecto lo siguiente:</w:t>
      </w: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Prevención por la falta de requisitos en el escrito de interposición del recurso</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b/>
          <w:i/>
          <w:color w:val="000000"/>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 </w:t>
      </w:r>
      <w:r w:rsidRPr="00ED3EA2">
        <w:rPr>
          <w:rFonts w:ascii="Palatino Linotype" w:eastAsia="Palatino Linotype" w:hAnsi="Palatino Linotype" w:cs="Palatino Linotype"/>
          <w:b/>
          <w:i/>
          <w:color w:val="000000"/>
          <w:sz w:val="22"/>
          <w:szCs w:val="22"/>
        </w:rPr>
        <w:t>Artículo 136</w:t>
      </w:r>
      <w:r w:rsidRPr="00ED3EA2">
        <w:rPr>
          <w:rFonts w:ascii="Palatino Linotype" w:eastAsia="Palatino Linotype" w:hAnsi="Palatino Linotype" w:cs="Palatino Linotype"/>
          <w:i/>
          <w:color w:val="000000"/>
          <w:sz w:val="22"/>
          <w:szCs w:val="22"/>
        </w:rPr>
        <w:t>. Si en el escrito de interposición del recurso de revisión el recurrente no cumple con alguno de los requisitos previstos en el artículo 130 de la presente Ley y el Instituto no cuente con elementos para subsanarlos, deberá requerir al recurrente, por una sola ocasión, la información que subsane las omisiones en un plazo que no podrá exceder de cinco días, contados a partir del día siguiente de la presentación del escrito.</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 xml:space="preserve">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 </w:t>
      </w:r>
    </w:p>
    <w:p w:rsidR="00AB3F9B" w:rsidRPr="00ED3EA2" w:rsidRDefault="00AB3F9B">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566"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La prevención tendrá el efecto de interrumpir el plazo que tiene el Instituto para resolver el recurso, por lo que comenzará a computarse a partir del día siguiente a su desahogo.</w:t>
      </w: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En ese sentido el artículo 139 de la Ley de Protección de Datos Personales en Posesión de Sujetos Obligados del Estado de México y Municipios, señala como causales </w:t>
      </w:r>
      <w:r w:rsidRPr="00ED3EA2">
        <w:rPr>
          <w:rFonts w:ascii="Palatino Linotype" w:eastAsia="Palatino Linotype" w:hAnsi="Palatino Linotype" w:cs="Palatino Linotype"/>
        </w:rPr>
        <w:t>de sobreseimiento</w:t>
      </w:r>
      <w:r w:rsidRPr="00ED3EA2">
        <w:rPr>
          <w:rFonts w:ascii="Palatino Linotype" w:eastAsia="Palatino Linotype" w:hAnsi="Palatino Linotype" w:cs="Palatino Linotype"/>
          <w:color w:val="000000"/>
        </w:rPr>
        <w:t xml:space="preserve"> las siguientes: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Causales de Sobreseimiento</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Artículo 139</w:t>
      </w:r>
      <w:r w:rsidRPr="00ED3EA2">
        <w:rPr>
          <w:rFonts w:ascii="Palatino Linotype" w:eastAsia="Palatino Linotype" w:hAnsi="Palatino Linotype" w:cs="Palatino Linotype"/>
          <w:i/>
          <w:color w:val="000000"/>
          <w:sz w:val="22"/>
          <w:szCs w:val="22"/>
        </w:rPr>
        <w:t xml:space="preserve">. El recurso de revisión sólo podrá ser sobreseído cuando: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I. El recurrente se desista expresamente.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II. El recurrente fallezca.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 xml:space="preserve">III. Admitido el recurso de revisión, se actualice alguna causal de improcedencia en los términos de la presente Ley.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IV. El responsable modifique o revoque su respuesta de tal manera que el recurso de revisión quede sin materia.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V. Quede sin materia el recurso de revisión.</w:t>
      </w:r>
    </w:p>
    <w:p w:rsidR="00AB3F9B" w:rsidRPr="00ED3EA2" w:rsidRDefault="00AB3F9B">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Causales de improcedencia</w:t>
      </w:r>
      <w:r w:rsidRPr="00ED3EA2">
        <w:rPr>
          <w:rFonts w:ascii="Palatino Linotype" w:eastAsia="Palatino Linotype" w:hAnsi="Palatino Linotype" w:cs="Palatino Linotype"/>
          <w:i/>
          <w:color w:val="000000"/>
          <w:sz w:val="22"/>
          <w:szCs w:val="22"/>
        </w:rPr>
        <w:t xml:space="preserve">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Artículo 138.</w:t>
      </w:r>
      <w:r w:rsidRPr="00ED3EA2">
        <w:rPr>
          <w:rFonts w:ascii="Palatino Linotype" w:eastAsia="Palatino Linotype" w:hAnsi="Palatino Linotype" w:cs="Palatino Linotype"/>
          <w:i/>
          <w:color w:val="000000"/>
          <w:sz w:val="22"/>
          <w:szCs w:val="22"/>
        </w:rPr>
        <w:t xml:space="preserve"> El recurso de revisión podrá ser desechado por improcedente cuando: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I. Sea extemporáneo por haber transcurrido el plazo establecido en el artículo 128 de la presente Ley.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 xml:space="preserve">II. El titular o su representante no acrediten debidamente su identidad y personalidad de este último.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III. El Instituto haya resuelto anteriormente en definitiva sobre la materia del mismo.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lastRenderedPageBreak/>
        <w:t xml:space="preserve">IV. No se actualice alguna de las causales del recurso de revisión previstas en el artículo 129 de la presente Ley.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V. Se esté tramitando ante los tribunales competentes algún recurso o medio de defensa interpuesto por el recurrente, o en su caso, por el tercero interesado, en contra del acto recurrido ante el Instituto.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 xml:space="preserve">VI. El recurrente modifique o amplíe su petición en el recurso de revisión, únicamente respecto de los nuevos contenidos.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VII. El recurrente no acredite interés jurídico.</w:t>
      </w:r>
    </w:p>
    <w:p w:rsidR="00AB3F9B" w:rsidRPr="00ED3EA2" w:rsidRDefault="00AB3F9B">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El desechamiento no implica la preclusión del derecho del titular para interponer ante el Instituto un nuevo recurso de revisión.</w:t>
      </w:r>
    </w:p>
    <w:p w:rsidR="00AB3F9B" w:rsidRPr="00ED3EA2" w:rsidRDefault="00AB3F9B">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Por consiguiente, de las constancias que obran en el expediente electrónico en que se actúa, se advierte que se actualiza el supuesto de sobreseimiento previsto en la fracción III, del artículo 139, el cual establece que admitido el recurso de revisión, se actualice alguna causal de improcedencia, en relación con la fracción II, del artículo 138, que señala “El titular o su representante no acrediten debidamente su identidad y personalidad de este último.”</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En este contexto, el artículo 137, de la Ley de Protección de Datos Personales en Posesión de Sujetos Obligados del Estado de México y Municipios señala el sentido de las resoluciones: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Sentido de las resoluciones</w:t>
      </w:r>
      <w:r w:rsidRPr="00ED3EA2">
        <w:rPr>
          <w:rFonts w:ascii="Palatino Linotype" w:eastAsia="Palatino Linotype" w:hAnsi="Palatino Linotype" w:cs="Palatino Linotype"/>
          <w:i/>
          <w:color w:val="000000"/>
          <w:sz w:val="22"/>
          <w:szCs w:val="22"/>
        </w:rPr>
        <w:t xml:space="preserve">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b/>
          <w:i/>
          <w:color w:val="000000"/>
          <w:sz w:val="22"/>
          <w:szCs w:val="22"/>
        </w:rPr>
        <w:t>Artículo 137</w:t>
      </w:r>
      <w:r w:rsidRPr="00ED3EA2">
        <w:rPr>
          <w:rFonts w:ascii="Palatino Linotype" w:eastAsia="Palatino Linotype" w:hAnsi="Palatino Linotype" w:cs="Palatino Linotype"/>
          <w:i/>
          <w:color w:val="000000"/>
          <w:sz w:val="22"/>
          <w:szCs w:val="22"/>
        </w:rPr>
        <w:t xml:space="preserve">. Las resoluciones del Instituto podrán: </w:t>
      </w:r>
    </w:p>
    <w:p w:rsidR="00AB3F9B" w:rsidRPr="00ED3EA2" w:rsidRDefault="00AB3F9B">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b/>
          <w:i/>
          <w:color w:val="000000"/>
          <w:sz w:val="22"/>
          <w:szCs w:val="22"/>
        </w:rPr>
      </w:pPr>
      <w:r w:rsidRPr="00ED3EA2">
        <w:rPr>
          <w:rFonts w:ascii="Palatino Linotype" w:eastAsia="Palatino Linotype" w:hAnsi="Palatino Linotype" w:cs="Palatino Linotype"/>
          <w:b/>
          <w:i/>
          <w:color w:val="000000"/>
          <w:sz w:val="22"/>
          <w:szCs w:val="22"/>
        </w:rPr>
        <w:t xml:space="preserve">I. Sobreseer o desechar el recurso de revisión por improcedente. </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II. Confirmar la respuesta del responsable.</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III. Revocar o modificar la respuesta del responsable.</w:t>
      </w:r>
    </w:p>
    <w:p w:rsidR="00AB3F9B" w:rsidRPr="00ED3EA2" w:rsidRDefault="00CA4D43">
      <w:pPr>
        <w:pBdr>
          <w:top w:val="nil"/>
          <w:left w:val="nil"/>
          <w:bottom w:val="nil"/>
          <w:right w:val="nil"/>
          <w:between w:val="nil"/>
        </w:pBdr>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IV. Ordenar el acceso, rectificación, cancelación u oposición de los datos personales, en caso de omisión del responsable.</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 xml:space="preserve">Por lo tanto, al prevalecer la causal de improcedencia inicial, lo procedente es sobreseer o desechar el recurso de revisión por improcedente. Ahora bien, en virtud de que </w:t>
      </w:r>
      <w:r w:rsidRPr="00ED3EA2">
        <w:rPr>
          <w:rFonts w:ascii="Palatino Linotype" w:eastAsia="Palatino Linotype" w:hAnsi="Palatino Linotype" w:cs="Palatino Linotype"/>
          <w:color w:val="000000"/>
        </w:rPr>
        <w:lastRenderedPageBreak/>
        <w:t>se insiste, no existen constancias tendientes a acreditar debidamente la identidad del titular o personalidad del representante del titular de los datos, desde la presentación de la solicitud ni durante la sustanciación del recurso de revisión que nos ocupa, se concluye que se está ante la presencia de la causal de desechamiento establecida en el diverso 138, fracción II, de la Ley de la materia; sin embargo, toda vez que fue admitido el medio de impugnación, y subsistió la causal de improcedencia consistente en la omisión de la Recurrente, resulta procedente Sobreseer el presente recurso de revisión.</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En ese contexto, de acuerdo con el procesalista Niceto Alcalá-Zamora y Castillo en su obra “Cuestiones de Terminología Procesal”, el sobreseimiento es “... una resolución en forma de auto, que produce la suspensión indefinida del procedimiento penal, o que pone fin al proceso, impidiendo en ambos casos, mientras subsista, la apertura del plenario o que en él se pronuncie sentencia...”</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Así, para la doctrina 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AB3F9B" w:rsidRPr="00ED3EA2" w:rsidRDefault="00CA4D43">
      <w:pPr>
        <w:pBdr>
          <w:top w:val="nil"/>
          <w:left w:val="nil"/>
          <w:bottom w:val="nil"/>
          <w:right w:val="nil"/>
          <w:between w:val="nil"/>
        </w:pBdr>
        <w:tabs>
          <w:tab w:val="left" w:pos="7938"/>
        </w:tabs>
        <w:ind w:left="1134" w:right="49"/>
        <w:jc w:val="both"/>
        <w:rPr>
          <w:rFonts w:ascii="Palatino Linotype" w:eastAsia="Palatino Linotype" w:hAnsi="Palatino Linotype" w:cs="Palatino Linotype"/>
          <w:i/>
          <w:color w:val="000000"/>
          <w:sz w:val="22"/>
          <w:szCs w:val="22"/>
        </w:rPr>
      </w:pPr>
      <w:r w:rsidRPr="00ED3EA2">
        <w:rPr>
          <w:rFonts w:ascii="Palatino Linotype" w:eastAsia="Palatino Linotype" w:hAnsi="Palatino Linotype" w:cs="Palatino Linotype"/>
          <w:i/>
          <w:color w:val="000000"/>
          <w:sz w:val="22"/>
          <w:szCs w:val="22"/>
        </w:rPr>
        <w:t>“SOBRESEIMIENTO EN EL JUICIO DE AMPARO DIRECTO. IMPIDE EL ESTUDIO DE LAS VIOLACIONES PROCESALES PLANTEADAS EN LOS CONCEPTOS DE VIOLACIÓN.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AB3F9B" w:rsidRPr="00ED3EA2" w:rsidRDefault="00AB3F9B">
      <w:pPr>
        <w:pBdr>
          <w:top w:val="nil"/>
          <w:left w:val="nil"/>
          <w:bottom w:val="nil"/>
          <w:right w:val="nil"/>
          <w:between w:val="nil"/>
        </w:pBdr>
        <w:spacing w:line="360" w:lineRule="auto"/>
        <w:ind w:left="851" w:right="-517"/>
        <w:jc w:val="both"/>
        <w:rPr>
          <w:rFonts w:ascii="Palatino Linotype" w:eastAsia="Palatino Linotype" w:hAnsi="Palatino Linotype" w:cs="Palatino Linotype"/>
          <w:i/>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ED3EA2">
        <w:rPr>
          <w:rFonts w:ascii="Palatino Linotype" w:eastAsia="Palatino Linotype" w:hAnsi="Palatino Linotype" w:cs="Palatino Linotype"/>
          <w:color w:val="000000"/>
        </w:rPr>
        <w:t>No obstante, se dejan a salvo los derechos del particular para que presente nuevas solicitudes para el ejercicio de acceso a datos personales, que a sus intereses convenga.</w:t>
      </w:r>
    </w:p>
    <w:p w:rsidR="00AB3F9B" w:rsidRPr="00ED3EA2" w:rsidRDefault="00AB3F9B">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B3F9B" w:rsidRPr="00ED3EA2" w:rsidRDefault="00CA4D4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bookmarkStart w:id="2" w:name="_heading=h.gjdgxs" w:colFirst="0" w:colLast="0"/>
      <w:bookmarkEnd w:id="2"/>
      <w:r w:rsidRPr="00ED3EA2">
        <w:rPr>
          <w:rFonts w:ascii="Palatino Linotype" w:eastAsia="Palatino Linotype" w:hAnsi="Palatino Linotype" w:cs="Palatino Linotype"/>
          <w:color w:val="000000"/>
        </w:rPr>
        <w:t xml:space="preserve">Por lo anteriormente expuesto y fundado, este </w:t>
      </w:r>
      <w:r w:rsidRPr="00ED3EA2">
        <w:rPr>
          <w:rFonts w:ascii="Palatino Linotype" w:eastAsia="Palatino Linotype" w:hAnsi="Palatino Linotype" w:cs="Palatino Linotype"/>
          <w:b/>
          <w:color w:val="000000"/>
        </w:rPr>
        <w:t>ÓRGANO GARANTE</w:t>
      </w:r>
      <w:r w:rsidRPr="00ED3EA2">
        <w:rPr>
          <w:rFonts w:ascii="Palatino Linotype" w:eastAsia="Palatino Linotype" w:hAnsi="Palatino Linotype" w:cs="Palatino Linotype"/>
          <w:color w:val="000000"/>
        </w:rPr>
        <w:t xml:space="preserve"> emite los siguientes:</w:t>
      </w:r>
    </w:p>
    <w:p w:rsidR="00AB3F9B" w:rsidRPr="00ED3EA2" w:rsidRDefault="00AB3F9B">
      <w:pPr>
        <w:pBdr>
          <w:top w:val="nil"/>
          <w:left w:val="nil"/>
          <w:bottom w:val="nil"/>
          <w:right w:val="nil"/>
          <w:between w:val="nil"/>
        </w:pBdr>
        <w:spacing w:line="360" w:lineRule="auto"/>
        <w:ind w:left="2912" w:right="-517"/>
        <w:jc w:val="both"/>
        <w:rPr>
          <w:rFonts w:ascii="Palatino Linotype" w:eastAsia="Palatino Linotype" w:hAnsi="Palatino Linotype" w:cs="Palatino Linotype"/>
        </w:rPr>
      </w:pPr>
      <w:bookmarkStart w:id="3" w:name="_heading=h.8j6dcgk2d46w" w:colFirst="0" w:colLast="0"/>
      <w:bookmarkEnd w:id="3"/>
    </w:p>
    <w:p w:rsidR="00AB3F9B" w:rsidRPr="00ED3EA2" w:rsidRDefault="00CA4D43">
      <w:pPr>
        <w:keepNext/>
        <w:keepLines/>
        <w:spacing w:line="360" w:lineRule="auto"/>
        <w:ind w:right="-517"/>
        <w:jc w:val="center"/>
        <w:rPr>
          <w:rFonts w:ascii="Palatino Linotype" w:eastAsia="Palatino Linotype" w:hAnsi="Palatino Linotype" w:cs="Palatino Linotype"/>
          <w:b/>
        </w:rPr>
      </w:pPr>
      <w:bookmarkStart w:id="4" w:name="_heading=h.30j0zll" w:colFirst="0" w:colLast="0"/>
      <w:bookmarkEnd w:id="4"/>
      <w:r w:rsidRPr="00ED3EA2">
        <w:rPr>
          <w:rFonts w:ascii="Palatino Linotype" w:eastAsia="Palatino Linotype" w:hAnsi="Palatino Linotype" w:cs="Palatino Linotype"/>
          <w:b/>
        </w:rPr>
        <w:t>R E S O L U T I V O S</w:t>
      </w:r>
    </w:p>
    <w:p w:rsidR="00AB3F9B" w:rsidRPr="00ED3EA2" w:rsidRDefault="00AB3F9B">
      <w:pPr>
        <w:spacing w:line="360" w:lineRule="auto"/>
        <w:ind w:right="-517"/>
        <w:jc w:val="both"/>
        <w:rPr>
          <w:rFonts w:ascii="Palatino Linotype" w:eastAsia="Palatino Linotype" w:hAnsi="Palatino Linotype" w:cs="Palatino Linotype"/>
          <w:b/>
        </w:rPr>
      </w:pPr>
    </w:p>
    <w:p w:rsidR="00AB3F9B" w:rsidRPr="00ED3EA2" w:rsidRDefault="00CA4D43">
      <w:pPr>
        <w:spacing w:line="360" w:lineRule="auto"/>
        <w:ind w:right="-517"/>
        <w:jc w:val="both"/>
        <w:rPr>
          <w:rFonts w:ascii="Palatino Linotype" w:eastAsia="Palatino Linotype" w:hAnsi="Palatino Linotype" w:cs="Palatino Linotype"/>
        </w:rPr>
      </w:pPr>
      <w:r w:rsidRPr="00ED3EA2">
        <w:rPr>
          <w:rFonts w:ascii="Palatino Linotype" w:eastAsia="Palatino Linotype" w:hAnsi="Palatino Linotype" w:cs="Palatino Linotype"/>
          <w:b/>
        </w:rPr>
        <w:t>PRIMERO</w:t>
      </w:r>
      <w:r w:rsidRPr="00ED3EA2">
        <w:rPr>
          <w:rFonts w:ascii="Palatino Linotype" w:eastAsia="Palatino Linotype" w:hAnsi="Palatino Linotype" w:cs="Palatino Linotype"/>
        </w:rPr>
        <w:t xml:space="preserve">. Se </w:t>
      </w:r>
      <w:r w:rsidRPr="00ED3EA2">
        <w:rPr>
          <w:rFonts w:ascii="Palatino Linotype" w:eastAsia="Palatino Linotype" w:hAnsi="Palatino Linotype" w:cs="Palatino Linotype"/>
          <w:b/>
        </w:rPr>
        <w:t xml:space="preserve">SOBRESEE por improcedente </w:t>
      </w:r>
      <w:r w:rsidRPr="00ED3EA2">
        <w:rPr>
          <w:rFonts w:ascii="Palatino Linotype" w:eastAsia="Palatino Linotype" w:hAnsi="Palatino Linotype" w:cs="Palatino Linotype"/>
        </w:rPr>
        <w:t>el Recurso de Revisión</w:t>
      </w:r>
      <w:r w:rsidRPr="00ED3EA2">
        <w:rPr>
          <w:rFonts w:ascii="Palatino Linotype" w:eastAsia="Palatino Linotype" w:hAnsi="Palatino Linotype" w:cs="Palatino Linotype"/>
          <w:b/>
        </w:rPr>
        <w:t xml:space="preserve"> </w:t>
      </w:r>
      <w:r w:rsidRPr="00ED3EA2">
        <w:rPr>
          <w:rFonts w:ascii="Palatino Linotype" w:eastAsia="Palatino Linotype" w:hAnsi="Palatino Linotype" w:cs="Palatino Linotype"/>
        </w:rPr>
        <w:t xml:space="preserve">número </w:t>
      </w:r>
      <w:r w:rsidRPr="00ED3EA2">
        <w:rPr>
          <w:rFonts w:ascii="Palatino Linotype" w:eastAsia="Palatino Linotype" w:hAnsi="Palatino Linotype" w:cs="Palatino Linotype"/>
          <w:b/>
        </w:rPr>
        <w:t xml:space="preserve"> 00163/INFOEM/AD/RR/2025,</w:t>
      </w:r>
      <w:r w:rsidRPr="00ED3EA2">
        <w:rPr>
          <w:rFonts w:ascii="Palatino Linotype" w:eastAsia="Palatino Linotype" w:hAnsi="Palatino Linotype" w:cs="Palatino Linotype"/>
        </w:rPr>
        <w:t xml:space="preserve"> de conformidad con lo dispuesto en el artículo 139, fracción III, en relación con el artículo 138, fracción II, de la Ley de Protección de Datos Personales en Posesión de Sujetos Obligados del Estado de México y Municipios, en términos del </w:t>
      </w:r>
      <w:r w:rsidRPr="00ED3EA2">
        <w:rPr>
          <w:rFonts w:ascii="Palatino Linotype" w:eastAsia="Palatino Linotype" w:hAnsi="Palatino Linotype" w:cs="Palatino Linotype"/>
          <w:b/>
        </w:rPr>
        <w:t>considerando CUARTO</w:t>
      </w:r>
      <w:r w:rsidRPr="00ED3EA2">
        <w:rPr>
          <w:rFonts w:ascii="Palatino Linotype" w:eastAsia="Palatino Linotype" w:hAnsi="Palatino Linotype" w:cs="Palatino Linotype"/>
        </w:rPr>
        <w:t xml:space="preserve"> de la presente Resolución.</w:t>
      </w:r>
    </w:p>
    <w:p w:rsidR="00AB3F9B" w:rsidRPr="00ED3EA2" w:rsidRDefault="00AB3F9B">
      <w:pPr>
        <w:spacing w:line="360" w:lineRule="auto"/>
        <w:ind w:right="-517"/>
        <w:jc w:val="both"/>
        <w:rPr>
          <w:rFonts w:ascii="Palatino Linotype" w:eastAsia="Palatino Linotype" w:hAnsi="Palatino Linotype" w:cs="Palatino Linotype"/>
        </w:rPr>
      </w:pPr>
    </w:p>
    <w:p w:rsidR="00AB3F9B" w:rsidRPr="00ED3EA2" w:rsidRDefault="00CA4D43">
      <w:pPr>
        <w:spacing w:line="360" w:lineRule="auto"/>
        <w:ind w:right="-517"/>
        <w:jc w:val="both"/>
        <w:rPr>
          <w:rFonts w:ascii="Palatino Linotype" w:eastAsia="Palatino Linotype" w:hAnsi="Palatino Linotype" w:cs="Palatino Linotype"/>
        </w:rPr>
      </w:pPr>
      <w:bookmarkStart w:id="5" w:name="_heading=h.1fob9te" w:colFirst="0" w:colLast="0"/>
      <w:bookmarkEnd w:id="5"/>
      <w:r w:rsidRPr="00ED3EA2">
        <w:rPr>
          <w:rFonts w:ascii="Palatino Linotype" w:eastAsia="Palatino Linotype" w:hAnsi="Palatino Linotype" w:cs="Palatino Linotype"/>
          <w:b/>
        </w:rPr>
        <w:t>SEGUNDO</w:t>
      </w:r>
      <w:r w:rsidRPr="00ED3EA2">
        <w:rPr>
          <w:rFonts w:ascii="Palatino Linotype" w:eastAsia="Palatino Linotype" w:hAnsi="Palatino Linotype" w:cs="Palatino Linotype"/>
        </w:rPr>
        <w:t>.</w:t>
      </w:r>
      <w:r w:rsidRPr="00ED3EA2">
        <w:t xml:space="preserve"> </w:t>
      </w:r>
      <w:r w:rsidRPr="00ED3EA2">
        <w:rPr>
          <w:rFonts w:ascii="Palatino Linotype" w:eastAsia="Palatino Linotype" w:hAnsi="Palatino Linotype" w:cs="Palatino Linotype"/>
          <w:b/>
        </w:rPr>
        <w:t>Notifíquese</w:t>
      </w:r>
      <w:r w:rsidRPr="00ED3EA2">
        <w:rPr>
          <w:rFonts w:ascii="Palatino Linotype" w:eastAsia="Palatino Linotype" w:hAnsi="Palatino Linotype" w:cs="Palatino Linotype"/>
        </w:rPr>
        <w:t xml:space="preserve"> al Titular de la Unidad de Transparencia </w:t>
      </w:r>
      <w:r w:rsidRPr="00ED3EA2">
        <w:rPr>
          <w:rFonts w:ascii="Palatino Linotype" w:eastAsia="Palatino Linotype" w:hAnsi="Palatino Linotype" w:cs="Palatino Linotype"/>
          <w:b/>
        </w:rPr>
        <w:t>del SUJETO OBLIGADO</w:t>
      </w:r>
      <w:r w:rsidRPr="00ED3EA2">
        <w:rPr>
          <w:rFonts w:ascii="Palatino Linotype" w:eastAsia="Palatino Linotype" w:hAnsi="Palatino Linotype" w:cs="Palatino Linotype"/>
        </w:rPr>
        <w:t xml:space="preserve">, vía </w:t>
      </w:r>
      <w:r w:rsidRPr="00ED3EA2">
        <w:rPr>
          <w:rFonts w:ascii="Palatino Linotype" w:eastAsia="Palatino Linotype" w:hAnsi="Palatino Linotype" w:cs="Palatino Linotype"/>
          <w:b/>
        </w:rPr>
        <w:t>SARCOEM</w:t>
      </w:r>
      <w:r w:rsidRPr="00ED3EA2">
        <w:rPr>
          <w:rFonts w:ascii="Palatino Linotype" w:eastAsia="Palatino Linotype" w:hAnsi="Palatino Linotype" w:cs="Palatino Linotype"/>
        </w:rPr>
        <w:t>, la presente resolución.</w:t>
      </w:r>
    </w:p>
    <w:p w:rsidR="00AB3F9B" w:rsidRPr="00ED3EA2" w:rsidRDefault="00AB3F9B">
      <w:pPr>
        <w:shd w:val="clear" w:color="auto" w:fill="FFFFFF"/>
        <w:spacing w:line="360" w:lineRule="auto"/>
        <w:ind w:right="-517"/>
        <w:jc w:val="both"/>
        <w:rPr>
          <w:rFonts w:ascii="Palatino Linotype" w:eastAsia="Palatino Linotype" w:hAnsi="Palatino Linotype" w:cs="Palatino Linotype"/>
          <w:b/>
          <w:color w:val="000000"/>
        </w:rPr>
      </w:pPr>
    </w:p>
    <w:p w:rsidR="00AB3F9B" w:rsidRPr="00ED3EA2" w:rsidRDefault="00CA4D43">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222222"/>
        </w:rPr>
      </w:pPr>
      <w:r w:rsidRPr="00ED3EA2">
        <w:rPr>
          <w:rFonts w:ascii="Palatino Linotype" w:eastAsia="Palatino Linotype" w:hAnsi="Palatino Linotype" w:cs="Palatino Linotype"/>
          <w:b/>
          <w:color w:val="000000"/>
        </w:rPr>
        <w:t>TERCERO</w:t>
      </w:r>
      <w:r w:rsidRPr="00ED3EA2">
        <w:rPr>
          <w:rFonts w:ascii="Palatino Linotype" w:eastAsia="Palatino Linotype" w:hAnsi="Palatino Linotype" w:cs="Palatino Linotype"/>
          <w:b/>
          <w:color w:val="222222"/>
        </w:rPr>
        <w:t xml:space="preserve">. Notifíquese </w:t>
      </w:r>
      <w:r w:rsidRPr="00ED3EA2">
        <w:rPr>
          <w:rFonts w:ascii="Palatino Linotype" w:eastAsia="Palatino Linotype" w:hAnsi="Palatino Linotype" w:cs="Palatino Linotype"/>
          <w:color w:val="222222"/>
        </w:rPr>
        <w:t>al</w:t>
      </w:r>
      <w:r w:rsidRPr="00ED3EA2">
        <w:rPr>
          <w:rFonts w:ascii="Palatino Linotype" w:eastAsia="Palatino Linotype" w:hAnsi="Palatino Linotype" w:cs="Palatino Linotype"/>
          <w:b/>
          <w:color w:val="222222"/>
        </w:rPr>
        <w:t xml:space="preserve"> RECURRENTE </w:t>
      </w:r>
      <w:r w:rsidRPr="00ED3EA2">
        <w:rPr>
          <w:rFonts w:ascii="Palatino Linotype" w:eastAsia="Palatino Linotype" w:hAnsi="Palatino Linotype" w:cs="Palatino Linotype"/>
          <w:color w:val="222222"/>
        </w:rPr>
        <w:t xml:space="preserve">la presente resolución, vía </w:t>
      </w:r>
      <w:r w:rsidRPr="00ED3EA2">
        <w:rPr>
          <w:rFonts w:ascii="Palatino Linotype" w:eastAsia="Palatino Linotype" w:hAnsi="Palatino Linotype" w:cs="Palatino Linotype"/>
          <w:b/>
          <w:color w:val="000000"/>
        </w:rPr>
        <w:t>SARCOEM</w:t>
      </w:r>
      <w:r w:rsidRPr="00ED3EA2">
        <w:rPr>
          <w:rFonts w:ascii="Palatino Linotype" w:eastAsia="Palatino Linotype" w:hAnsi="Palatino Linotype" w:cs="Palatino Linotype"/>
          <w:color w:val="222222"/>
        </w:rPr>
        <w:t>.</w:t>
      </w:r>
    </w:p>
    <w:p w:rsidR="00AB3F9B" w:rsidRPr="00ED3EA2" w:rsidRDefault="00AB3F9B">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222222"/>
        </w:rPr>
      </w:pPr>
    </w:p>
    <w:p w:rsidR="00AB3F9B" w:rsidRPr="00ED3EA2" w:rsidRDefault="00CA4D43">
      <w:pPr>
        <w:widowControl w:val="0"/>
        <w:pBdr>
          <w:top w:val="nil"/>
          <w:left w:val="nil"/>
          <w:bottom w:val="nil"/>
          <w:right w:val="nil"/>
          <w:between w:val="nil"/>
        </w:pBdr>
        <w:tabs>
          <w:tab w:val="left" w:pos="1701"/>
        </w:tabs>
        <w:spacing w:line="360" w:lineRule="auto"/>
        <w:ind w:right="-517"/>
        <w:jc w:val="both"/>
        <w:rPr>
          <w:rFonts w:ascii="Palatino Linotype" w:eastAsia="Palatino Linotype" w:hAnsi="Palatino Linotype" w:cs="Palatino Linotype"/>
          <w:color w:val="222222"/>
        </w:rPr>
      </w:pPr>
      <w:r w:rsidRPr="00ED3EA2">
        <w:rPr>
          <w:rFonts w:ascii="Palatino Linotype" w:eastAsia="Palatino Linotype" w:hAnsi="Palatino Linotype" w:cs="Palatino Linotype"/>
          <w:b/>
          <w:color w:val="222222"/>
        </w:rPr>
        <w:t xml:space="preserve">CUARTO. </w:t>
      </w:r>
      <w:r w:rsidRPr="00ED3EA2">
        <w:rPr>
          <w:rFonts w:ascii="Palatino Linotype" w:eastAsia="Palatino Linotype" w:hAnsi="Palatino Linotype" w:cs="Palatino Linotype"/>
          <w:color w:val="222222"/>
        </w:rPr>
        <w:t xml:space="preserve">Se hace de conocimiento del </w:t>
      </w:r>
      <w:r w:rsidRPr="00ED3EA2">
        <w:rPr>
          <w:rFonts w:ascii="Palatino Linotype" w:eastAsia="Palatino Linotype" w:hAnsi="Palatino Linotype" w:cs="Palatino Linotype"/>
          <w:b/>
          <w:color w:val="000000"/>
        </w:rPr>
        <w:t>RECURRENTE</w:t>
      </w:r>
      <w:r w:rsidRPr="00ED3EA2">
        <w:rPr>
          <w:rFonts w:ascii="Palatino Linotype" w:eastAsia="Palatino Linotype" w:hAnsi="Palatino Linotype" w:cs="Palatino Linotype"/>
          <w:color w:val="222222"/>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 vía Juicio de Amparo en los términos de las leyes aplicables.</w:t>
      </w:r>
    </w:p>
    <w:p w:rsidR="00AB3F9B" w:rsidRPr="00ED3EA2" w:rsidRDefault="00AB3F9B">
      <w:pPr>
        <w:spacing w:line="360" w:lineRule="auto"/>
        <w:ind w:right="-517"/>
        <w:jc w:val="both"/>
        <w:rPr>
          <w:rFonts w:ascii="Palatino Linotype" w:eastAsia="Palatino Linotype" w:hAnsi="Palatino Linotype" w:cs="Palatino Linotype"/>
        </w:rPr>
      </w:pPr>
    </w:p>
    <w:p w:rsidR="00FF336B" w:rsidRPr="003C7186" w:rsidRDefault="00FF336B" w:rsidP="00FF336B">
      <w:pPr>
        <w:spacing w:line="360" w:lineRule="auto"/>
        <w:ind w:left="-142" w:right="-518" w:firstLine="1"/>
        <w:jc w:val="both"/>
        <w:rPr>
          <w:rFonts w:ascii="Palatino Linotype" w:hAnsi="Palatino Linotype"/>
        </w:rPr>
      </w:pPr>
      <w:r w:rsidRPr="00ED3EA2">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NOVENA SESIÓN ORDINARIA CELEBRADA EL DOCE (12) DE MARZO DE DOS MIL VEINTICINCO, ANTE EL SECRETARIO TÉCNICO DEL PLENO ALEXIS TAPIA RAMÍREZ.</w:t>
      </w:r>
      <w:r w:rsidRPr="003C7186">
        <w:rPr>
          <w:rFonts w:ascii="Palatino Linotype" w:hAnsi="Palatino Linotype"/>
        </w:rPr>
        <w:t xml:space="preserve"> </w:t>
      </w:r>
    </w:p>
    <w:p w:rsidR="00AB3F9B" w:rsidRDefault="00AB3F9B">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p w:rsidR="00ED3EA2" w:rsidRDefault="00ED3EA2">
      <w:pPr>
        <w:tabs>
          <w:tab w:val="left" w:pos="1842"/>
        </w:tabs>
        <w:ind w:right="-517"/>
        <w:rPr>
          <w:rFonts w:ascii="Palatino Linotype" w:eastAsia="Palatino Linotype" w:hAnsi="Palatino Linotype" w:cs="Palatino Linotype"/>
        </w:rPr>
      </w:pPr>
    </w:p>
    <w:sectPr w:rsidR="00ED3EA2">
      <w:headerReference w:type="default" r:id="rId8"/>
      <w:footerReference w:type="default" r:id="rId9"/>
      <w:headerReference w:type="first" r:id="rId10"/>
      <w:footerReference w:type="first" r:id="rId11"/>
      <w:pgSz w:w="12240" w:h="15840"/>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E62" w:rsidRDefault="00F55E62">
      <w:r>
        <w:separator/>
      </w:r>
    </w:p>
  </w:endnote>
  <w:endnote w:type="continuationSeparator" w:id="0">
    <w:p w:rsidR="00F55E62" w:rsidRDefault="00F5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B" w:rsidRDefault="00CA4D4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12F3">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12F3">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rsidR="00AB3F9B" w:rsidRDefault="00AB3F9B">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B" w:rsidRDefault="00CA4D4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312F3">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312F3">
      <w:rPr>
        <w:rFonts w:ascii="Palatino Linotype" w:eastAsia="Palatino Linotype" w:hAnsi="Palatino Linotype" w:cs="Palatino Linotype"/>
        <w:b/>
        <w:noProof/>
        <w:color w:val="000000"/>
        <w:sz w:val="20"/>
        <w:szCs w:val="20"/>
      </w:rPr>
      <w:t>15</w:t>
    </w:r>
    <w:r>
      <w:rPr>
        <w:rFonts w:ascii="Palatino Linotype" w:eastAsia="Palatino Linotype" w:hAnsi="Palatino Linotype" w:cs="Palatino Linotype"/>
        <w:b/>
        <w:color w:val="000000"/>
        <w:sz w:val="20"/>
        <w:szCs w:val="20"/>
      </w:rPr>
      <w:fldChar w:fldCharType="end"/>
    </w:r>
  </w:p>
  <w:p w:rsidR="00AB3F9B" w:rsidRDefault="00AB3F9B">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E62" w:rsidRDefault="00F55E62">
      <w:r>
        <w:separator/>
      </w:r>
    </w:p>
  </w:footnote>
  <w:footnote w:type="continuationSeparator" w:id="0">
    <w:p w:rsidR="00F55E62" w:rsidRDefault="00F55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B" w:rsidRDefault="00CA4D4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7216" behindDoc="1" locked="0" layoutInCell="1" hidden="0" allowOverlap="1">
          <wp:simplePos x="0" y="0"/>
          <wp:positionH relativeFrom="margin">
            <wp:posOffset>-1044508</wp:posOffset>
          </wp:positionH>
          <wp:positionV relativeFrom="margin">
            <wp:posOffset>-1540444</wp:posOffset>
          </wp:positionV>
          <wp:extent cx="7677507" cy="9998614"/>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77507" cy="9998614"/>
                  </a:xfrm>
                  <a:prstGeom prst="rect">
                    <a:avLst/>
                  </a:prstGeom>
                  <a:ln/>
                </pic:spPr>
              </pic:pic>
            </a:graphicData>
          </a:graphic>
        </wp:anchor>
      </w:drawing>
    </w:r>
    <w:r>
      <w:rPr>
        <w:rFonts w:ascii="Calibri" w:eastAsia="Calibri" w:hAnsi="Calibri" w:cs="Calibri"/>
        <w:color w:val="000000"/>
      </w:rPr>
      <w:t xml:space="preserve">              </w:t>
    </w:r>
  </w:p>
  <w:tbl>
    <w:tblPr>
      <w:tblStyle w:val="a"/>
      <w:tblW w:w="5812" w:type="dxa"/>
      <w:tblInd w:w="3119" w:type="dxa"/>
      <w:tblLayout w:type="fixed"/>
      <w:tblLook w:val="0400" w:firstRow="0" w:lastRow="0" w:firstColumn="0" w:lastColumn="0" w:noHBand="0" w:noVBand="1"/>
    </w:tblPr>
    <w:tblGrid>
      <w:gridCol w:w="2551"/>
      <w:gridCol w:w="3261"/>
    </w:tblGrid>
    <w:tr w:rsidR="00AB3F9B">
      <w:tc>
        <w:tcPr>
          <w:tcW w:w="2551"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vAlign w:val="center"/>
        </w:tcPr>
        <w:p w:rsidR="00AB3F9B" w:rsidRDefault="00CA4D43">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00163/INFOEM/AD/RR/2025</w:t>
          </w:r>
        </w:p>
      </w:tc>
    </w:tr>
    <w:tr w:rsidR="00AB3F9B">
      <w:trPr>
        <w:trHeight w:val="228"/>
      </w:trPr>
      <w:tc>
        <w:tcPr>
          <w:tcW w:w="2551"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1" w:type="dxa"/>
          <w:vAlign w:val="center"/>
        </w:tcPr>
        <w:p w:rsidR="00AB3F9B" w:rsidRDefault="00CA4D43">
          <w:pPr>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la Paz</w:t>
          </w:r>
        </w:p>
      </w:tc>
    </w:tr>
    <w:tr w:rsidR="00AB3F9B">
      <w:tc>
        <w:tcPr>
          <w:tcW w:w="2551"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1" w:type="dxa"/>
          <w:vAlign w:val="center"/>
        </w:tcPr>
        <w:p w:rsidR="00AB3F9B" w:rsidRDefault="00CA4D43">
          <w:pPr>
            <w:ind w:right="-53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AB3F9B" w:rsidRDefault="00CA4D43">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9B" w:rsidRDefault="00F55E62">
    <w:pPr>
      <w:widowControl w:val="0"/>
      <w:pBdr>
        <w:top w:val="nil"/>
        <w:left w:val="nil"/>
        <w:bottom w:val="nil"/>
        <w:right w:val="nil"/>
        <w:between w:val="nil"/>
      </w:pBdr>
      <w:spacing w:line="276" w:lineRule="auto"/>
      <w:rPr>
        <w:rFonts w:ascii="Calibri" w:eastAsia="Calibri" w:hAnsi="Calibri" w:cs="Calibri"/>
        <w:color w:val="000000"/>
        <w:sz w:val="20"/>
        <w:szCs w:val="20"/>
      </w:rPr>
    </w:pPr>
    <w:r>
      <w:rPr>
        <w:rFonts w:ascii="Palatino Linotype" w:eastAsia="Palatino Linotype" w:hAnsi="Palatino Linotype" w:cs="Palatino Linotype"/>
        <w:b/>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73.65pt;margin-top:-150.65pt;width:663.5pt;height:12in;z-index:-251658240;mso-position-horizontal:absolute;mso-position-horizontal-relative:margin;mso-position-vertical:absolute;mso-position-vertical-relative:margin">
          <v:imagedata r:id="rId1" o:title="image1"/>
          <w10:wrap anchorx="margin" anchory="margin"/>
        </v:shape>
      </w:pict>
    </w:r>
  </w:p>
  <w:tbl>
    <w:tblPr>
      <w:tblStyle w:val="a0"/>
      <w:tblW w:w="6810" w:type="dxa"/>
      <w:tblInd w:w="3119" w:type="dxa"/>
      <w:tblLayout w:type="fixed"/>
      <w:tblLook w:val="0400" w:firstRow="0" w:lastRow="0" w:firstColumn="0" w:lastColumn="0" w:noHBand="0" w:noVBand="1"/>
    </w:tblPr>
    <w:tblGrid>
      <w:gridCol w:w="2550"/>
      <w:gridCol w:w="4260"/>
    </w:tblGrid>
    <w:tr w:rsidR="00AB3F9B">
      <w:tc>
        <w:tcPr>
          <w:tcW w:w="2550"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60" w:type="dxa"/>
          <w:vAlign w:val="center"/>
        </w:tcPr>
        <w:p w:rsidR="00AB3F9B" w:rsidRDefault="00CA4D43">
          <w:pPr>
            <w:ind w:right="-15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00163/INFOEM/AD/RR/2025</w:t>
          </w:r>
        </w:p>
      </w:tc>
    </w:tr>
    <w:tr w:rsidR="00AB3F9B">
      <w:tc>
        <w:tcPr>
          <w:tcW w:w="2550"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60" w:type="dxa"/>
          <w:vAlign w:val="center"/>
        </w:tcPr>
        <w:p w:rsidR="00AB3F9B" w:rsidRDefault="000312F3">
          <w:pPr>
            <w:ind w:right="-15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AB3F9B">
      <w:trPr>
        <w:trHeight w:val="228"/>
      </w:trPr>
      <w:tc>
        <w:tcPr>
          <w:tcW w:w="2550"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60" w:type="dxa"/>
          <w:vAlign w:val="center"/>
        </w:tcPr>
        <w:p w:rsidR="00AB3F9B" w:rsidRDefault="00CA4D43">
          <w:pPr>
            <w:ind w:right="-15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la Paz</w:t>
          </w:r>
        </w:p>
      </w:tc>
    </w:tr>
    <w:tr w:rsidR="00AB3F9B">
      <w:tc>
        <w:tcPr>
          <w:tcW w:w="2550" w:type="dxa"/>
          <w:vAlign w:val="center"/>
        </w:tcPr>
        <w:p w:rsidR="00AB3F9B" w:rsidRDefault="00CA4D4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60" w:type="dxa"/>
          <w:vAlign w:val="center"/>
        </w:tcPr>
        <w:p w:rsidR="00AB3F9B" w:rsidRDefault="00CA4D43">
          <w:pPr>
            <w:ind w:right="-152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AB3F9B" w:rsidRDefault="00AB3F9B">
    <w:pPr>
      <w:pBdr>
        <w:top w:val="nil"/>
        <w:left w:val="nil"/>
        <w:bottom w:val="nil"/>
        <w:right w:val="nil"/>
        <w:between w:val="nil"/>
      </w:pBdr>
      <w:tabs>
        <w:tab w:val="center" w:pos="4252"/>
        <w:tab w:val="right" w:pos="8504"/>
      </w:tabs>
      <w:rPr>
        <w:rFonts w:ascii="Calibri" w:eastAsia="Calibri" w:hAnsi="Calibri" w:cs="Calibri"/>
        <w:color w:val="000000"/>
      </w:rPr>
    </w:pPr>
  </w:p>
  <w:p w:rsidR="00AB3F9B" w:rsidRDefault="00AB3F9B">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5E9"/>
    <w:multiLevelType w:val="multilevel"/>
    <w:tmpl w:val="D6FC28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96319AB"/>
    <w:multiLevelType w:val="multilevel"/>
    <w:tmpl w:val="C73039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9163C5"/>
    <w:multiLevelType w:val="multilevel"/>
    <w:tmpl w:val="B3C8B05E"/>
    <w:lvl w:ilvl="0">
      <w:start w:val="1"/>
      <w:numFmt w:val="decimal"/>
      <w:lvlText w:val="%1."/>
      <w:lvlJc w:val="left"/>
      <w:pPr>
        <w:ind w:left="291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CE2A65"/>
    <w:multiLevelType w:val="multilevel"/>
    <w:tmpl w:val="4B8E0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9B"/>
    <w:rsid w:val="000312F3"/>
    <w:rsid w:val="009E482E"/>
    <w:rsid w:val="00AB3F9B"/>
    <w:rsid w:val="00CA4D43"/>
    <w:rsid w:val="00ED3EA2"/>
    <w:rsid w:val="00F55E62"/>
    <w:rsid w:val="00FF3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025E93F-F4BE-4360-90B2-E64903D9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53B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053B7"/>
    <w:pPr>
      <w:keepNext/>
      <w:keepLines/>
      <w:spacing w:before="40"/>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1053B7"/>
    <w:rPr>
      <w:rFonts w:asciiTheme="majorHAnsi" w:eastAsiaTheme="majorEastAsia" w:hAnsiTheme="majorHAnsi" w:cstheme="majorBidi"/>
      <w:color w:val="2E74B5" w:themeColor="accent1" w:themeShade="BF"/>
      <w:sz w:val="26"/>
      <w:szCs w:val="26"/>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1053B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1053B7"/>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1053B7"/>
    <w:pPr>
      <w:tabs>
        <w:tab w:val="center" w:pos="4419"/>
        <w:tab w:val="right" w:pos="8838"/>
      </w:tabs>
    </w:pPr>
  </w:style>
  <w:style w:type="character" w:customStyle="1" w:styleId="EncabezadoCar">
    <w:name w:val="Encabezado Car"/>
    <w:basedOn w:val="Fuentedeprrafopredeter"/>
    <w:link w:val="Encabezado"/>
    <w:uiPriority w:val="99"/>
    <w:rsid w:val="001053B7"/>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053B7"/>
    <w:pPr>
      <w:tabs>
        <w:tab w:val="center" w:pos="4419"/>
        <w:tab w:val="right" w:pos="8838"/>
      </w:tabs>
    </w:pPr>
  </w:style>
  <w:style w:type="character" w:customStyle="1" w:styleId="PiedepginaCar">
    <w:name w:val="Pie de página Car"/>
    <w:basedOn w:val="Fuentedeprrafopredeter"/>
    <w:link w:val="Piedepgina"/>
    <w:uiPriority w:val="99"/>
    <w:rsid w:val="001053B7"/>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91BEE"/>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HJ1s4kMam9Q5zOs1bOjBYKQ==">CgMxLjAyCWguMXQzaDVzZjIIaC5namRneHMyDmguOGo2ZGNnazJkNDZ3MgloLjMwajB6bGwyCWguMWZvYjl0ZTIJaC4zem55c2g3MgloLjN6bnlzaDc4AHIhMWNlS05PRVRSWnJaV21vYWNUc054T2hLWUZ0dUEtck1I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3823</Words>
  <Characters>21029</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Cuenta Microsoft</cp:lastModifiedBy>
  <cp:revision>4</cp:revision>
  <cp:lastPrinted>2025-03-13T16:20:00Z</cp:lastPrinted>
  <dcterms:created xsi:type="dcterms:W3CDTF">2025-02-27T16:09:00Z</dcterms:created>
  <dcterms:modified xsi:type="dcterms:W3CDTF">2025-03-31T20:17:00Z</dcterms:modified>
</cp:coreProperties>
</file>