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s-ES"/>
        </w:rPr>
        <w:id w:val="-119457176"/>
        <w:docPartObj>
          <w:docPartGallery w:val="Table of Contents"/>
          <w:docPartUnique/>
        </w:docPartObj>
      </w:sdtPr>
      <w:sdtEndPr>
        <w:rPr>
          <w:b/>
          <w:bCs/>
        </w:rPr>
      </w:sdtEndPr>
      <w:sdtContent>
        <w:p w14:paraId="652B5CF9" w14:textId="06D03440" w:rsidR="00DE69AA" w:rsidRPr="00DE69AA" w:rsidRDefault="00DE69AA">
          <w:pPr>
            <w:pStyle w:val="TtuloTDC"/>
            <w:rPr>
              <w:rFonts w:ascii="Palatino Linotype" w:hAnsi="Palatino Linotype"/>
              <w:sz w:val="22"/>
              <w:szCs w:val="22"/>
            </w:rPr>
          </w:pPr>
          <w:r w:rsidRPr="00DE69AA">
            <w:rPr>
              <w:rFonts w:ascii="Palatino Linotype" w:hAnsi="Palatino Linotype"/>
              <w:sz w:val="22"/>
              <w:szCs w:val="22"/>
              <w:lang w:val="es-ES"/>
            </w:rPr>
            <w:t>Tabla de contenido</w:t>
          </w:r>
        </w:p>
        <w:p w14:paraId="4E12D978" w14:textId="4ECF7ACC" w:rsidR="00DE69AA" w:rsidRPr="00DE69AA" w:rsidRDefault="00DE69AA">
          <w:pPr>
            <w:pStyle w:val="TDC1"/>
            <w:tabs>
              <w:tab w:val="right" w:leader="dot" w:pos="9034"/>
            </w:tabs>
            <w:rPr>
              <w:rFonts w:ascii="Palatino Linotype" w:eastAsiaTheme="minorEastAsia" w:hAnsi="Palatino Linotype" w:cstheme="minorBidi"/>
              <w:noProof/>
              <w:kern w:val="2"/>
              <w:sz w:val="28"/>
              <w:szCs w:val="28"/>
              <w14:ligatures w14:val="standardContextual"/>
            </w:rPr>
          </w:pPr>
          <w:r w:rsidRPr="00DE69AA">
            <w:rPr>
              <w:rFonts w:ascii="Palatino Linotype" w:hAnsi="Palatino Linotype"/>
              <w:sz w:val="22"/>
              <w:szCs w:val="22"/>
            </w:rPr>
            <w:fldChar w:fldCharType="begin"/>
          </w:r>
          <w:r w:rsidRPr="00DE69AA">
            <w:rPr>
              <w:rFonts w:ascii="Palatino Linotype" w:hAnsi="Palatino Linotype"/>
              <w:sz w:val="22"/>
              <w:szCs w:val="22"/>
            </w:rPr>
            <w:instrText xml:space="preserve"> TOC \o "1-3" \h \z \u </w:instrText>
          </w:r>
          <w:r w:rsidRPr="00DE69AA">
            <w:rPr>
              <w:rFonts w:ascii="Palatino Linotype" w:hAnsi="Palatino Linotype"/>
              <w:sz w:val="22"/>
              <w:szCs w:val="22"/>
            </w:rPr>
            <w:fldChar w:fldCharType="separate"/>
          </w:r>
          <w:hyperlink w:anchor="_Toc216361802" w:history="1">
            <w:r w:rsidRPr="00DE69AA">
              <w:rPr>
                <w:rStyle w:val="Hipervnculo"/>
                <w:rFonts w:ascii="Palatino Linotype" w:eastAsia="Palatino Linotype" w:hAnsi="Palatino Linotype" w:cs="Palatino Linotype"/>
                <w:noProof/>
                <w:sz w:val="22"/>
                <w:szCs w:val="22"/>
              </w:rPr>
              <w:t>A N T E C E D E N T E S</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_Toc216361802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2</w:t>
            </w:r>
            <w:r w:rsidRPr="00DE69AA">
              <w:rPr>
                <w:rFonts w:ascii="Palatino Linotype" w:hAnsi="Palatino Linotype"/>
                <w:noProof/>
                <w:webHidden/>
                <w:sz w:val="22"/>
                <w:szCs w:val="22"/>
              </w:rPr>
              <w:fldChar w:fldCharType="end"/>
            </w:r>
          </w:hyperlink>
        </w:p>
        <w:p w14:paraId="442DBF56" w14:textId="03279E8B"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03" w:history="1">
            <w:r w:rsidRPr="00DE69AA">
              <w:rPr>
                <w:rStyle w:val="Hipervnculo"/>
                <w:rFonts w:ascii="Palatino Linotype" w:eastAsia="Palatino Linotype" w:hAnsi="Palatino Linotype" w:cs="Palatino Linotype"/>
                <w:noProof/>
                <w:sz w:val="22"/>
                <w:szCs w:val="22"/>
              </w:rPr>
              <w:t>I. Presentación de la solicitud de acceso a datos personales.</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_Toc216361803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2</w:t>
            </w:r>
            <w:r w:rsidRPr="00DE69AA">
              <w:rPr>
                <w:rFonts w:ascii="Palatino Linotype" w:hAnsi="Palatino Linotype"/>
                <w:noProof/>
                <w:webHidden/>
                <w:sz w:val="22"/>
                <w:szCs w:val="22"/>
              </w:rPr>
              <w:fldChar w:fldCharType="end"/>
            </w:r>
          </w:hyperlink>
        </w:p>
        <w:p w14:paraId="2A1231EA" w14:textId="0CA6D593"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04" w:history="1">
            <w:r w:rsidRPr="00DE69AA">
              <w:rPr>
                <w:rStyle w:val="Hipervnculo"/>
                <w:rFonts w:ascii="Palatino Linotype" w:eastAsia="Palatino Linotype" w:hAnsi="Palatino Linotype" w:cs="Palatino Linotype"/>
                <w:noProof/>
                <w:sz w:val="22"/>
                <w:szCs w:val="22"/>
              </w:rPr>
              <w:t>II. Solicitud de aclaración.</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_Toc216361804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3</w:t>
            </w:r>
            <w:r w:rsidRPr="00DE69AA">
              <w:rPr>
                <w:rFonts w:ascii="Palatino Linotype" w:hAnsi="Palatino Linotype"/>
                <w:noProof/>
                <w:webHidden/>
                <w:sz w:val="22"/>
                <w:szCs w:val="22"/>
              </w:rPr>
              <w:fldChar w:fldCharType="end"/>
            </w:r>
          </w:hyperlink>
        </w:p>
        <w:p w14:paraId="1711B886" w14:textId="23785A7B"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05" w:history="1">
            <w:r w:rsidRPr="00DE69AA">
              <w:rPr>
                <w:rStyle w:val="Hipervnculo"/>
                <w:rFonts w:ascii="Palatino Linotype" w:eastAsia="Palatino Linotype" w:hAnsi="Palatino Linotype" w:cs="Palatino Linotype"/>
                <w:noProof/>
                <w:sz w:val="22"/>
                <w:szCs w:val="22"/>
              </w:rPr>
              <w:t>III. No Presentó Aclaración.</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_Toc216361805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3</w:t>
            </w:r>
            <w:r w:rsidRPr="00DE69AA">
              <w:rPr>
                <w:rFonts w:ascii="Palatino Linotype" w:hAnsi="Palatino Linotype"/>
                <w:noProof/>
                <w:webHidden/>
                <w:sz w:val="22"/>
                <w:szCs w:val="22"/>
              </w:rPr>
              <w:fldChar w:fldCharType="end"/>
            </w:r>
          </w:hyperlink>
        </w:p>
        <w:p w14:paraId="1DE0B058" w14:textId="72754B7D"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06" w:history="1">
            <w:r w:rsidRPr="00DE69AA">
              <w:rPr>
                <w:rStyle w:val="Hipervnculo"/>
                <w:rFonts w:ascii="Palatino Linotype" w:eastAsia="Palatino Linotype" w:hAnsi="Palatino Linotype" w:cs="Palatino Linotype"/>
                <w:noProof/>
                <w:sz w:val="22"/>
                <w:szCs w:val="22"/>
              </w:rPr>
              <w:t>IV. Interposición del Recurso de Revisión.</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_Toc216361806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3</w:t>
            </w:r>
            <w:r w:rsidRPr="00DE69AA">
              <w:rPr>
                <w:rFonts w:ascii="Palatino Linotype" w:hAnsi="Palatino Linotype"/>
                <w:noProof/>
                <w:webHidden/>
                <w:sz w:val="22"/>
                <w:szCs w:val="22"/>
              </w:rPr>
              <w:fldChar w:fldCharType="end"/>
            </w:r>
          </w:hyperlink>
        </w:p>
        <w:p w14:paraId="4FD9D445" w14:textId="163D7249"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07" w:history="1">
            <w:r w:rsidRPr="00DE69AA">
              <w:rPr>
                <w:rStyle w:val="Hipervnculo"/>
                <w:rFonts w:ascii="Palatino Linotype" w:eastAsia="Palatino Linotype" w:hAnsi="Palatino Linotype" w:cs="Palatino Linotype"/>
                <w:noProof/>
                <w:sz w:val="22"/>
                <w:szCs w:val="22"/>
              </w:rPr>
              <w:t>V. Trámite del Recurso de Revisión ante el Instituto.</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_Toc216361807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5</w:t>
            </w:r>
            <w:r w:rsidRPr="00DE69AA">
              <w:rPr>
                <w:rFonts w:ascii="Palatino Linotype" w:hAnsi="Palatino Linotype"/>
                <w:noProof/>
                <w:webHidden/>
                <w:sz w:val="22"/>
                <w:szCs w:val="22"/>
              </w:rPr>
              <w:fldChar w:fldCharType="end"/>
            </w:r>
          </w:hyperlink>
        </w:p>
        <w:p w14:paraId="72B12CA9" w14:textId="58B106CC" w:rsidR="00DE69AA" w:rsidRPr="00DE69AA" w:rsidRDefault="00DE69AA">
          <w:pPr>
            <w:pStyle w:val="TDC1"/>
            <w:tabs>
              <w:tab w:val="right" w:leader="dot" w:pos="9034"/>
            </w:tabs>
            <w:rPr>
              <w:rFonts w:ascii="Palatino Linotype" w:eastAsiaTheme="minorEastAsia" w:hAnsi="Palatino Linotype" w:cstheme="minorBidi"/>
              <w:noProof/>
              <w:kern w:val="2"/>
              <w:sz w:val="28"/>
              <w:szCs w:val="28"/>
              <w14:ligatures w14:val="standardContextual"/>
            </w:rPr>
          </w:pPr>
          <w:hyperlink w:anchor="_Toc216361808" w:history="1">
            <w:r w:rsidRPr="00DE69AA">
              <w:rPr>
                <w:rStyle w:val="Hipervnculo"/>
                <w:rFonts w:ascii="Palatino Linotype" w:eastAsia="Palatino Linotype" w:hAnsi="Palatino Linotype" w:cs="Palatino Linotype"/>
                <w:noProof/>
                <w:sz w:val="22"/>
                <w:szCs w:val="22"/>
              </w:rPr>
              <w:t>C O N S I D E R A N D O S</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_Toc216361808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9</w:t>
            </w:r>
            <w:r w:rsidRPr="00DE69AA">
              <w:rPr>
                <w:rFonts w:ascii="Palatino Linotype" w:hAnsi="Palatino Linotype"/>
                <w:noProof/>
                <w:webHidden/>
                <w:sz w:val="22"/>
                <w:szCs w:val="22"/>
              </w:rPr>
              <w:fldChar w:fldCharType="end"/>
            </w:r>
          </w:hyperlink>
        </w:p>
        <w:p w14:paraId="120B482F" w14:textId="3A13F326"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09" w:history="1">
            <w:r w:rsidRPr="00DE69AA">
              <w:rPr>
                <w:rStyle w:val="Hipervnculo"/>
                <w:rFonts w:ascii="Palatino Linotype" w:eastAsia="Palatino Linotype" w:hAnsi="Palatino Linotype" w:cs="Palatino Linotype"/>
                <w:noProof/>
                <w:sz w:val="22"/>
                <w:szCs w:val="22"/>
              </w:rPr>
              <w:t>PRIMERO. Competencia</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_Toc216361809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9</w:t>
            </w:r>
            <w:r w:rsidRPr="00DE69AA">
              <w:rPr>
                <w:rFonts w:ascii="Palatino Linotype" w:hAnsi="Palatino Linotype"/>
                <w:noProof/>
                <w:webHidden/>
                <w:sz w:val="22"/>
                <w:szCs w:val="22"/>
              </w:rPr>
              <w:fldChar w:fldCharType="end"/>
            </w:r>
          </w:hyperlink>
        </w:p>
        <w:p w14:paraId="55DCDF0E" w14:textId="5183C1E6"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10" w:history="1">
            <w:r w:rsidRPr="00DE69AA">
              <w:rPr>
                <w:rStyle w:val="Hipervnculo"/>
                <w:rFonts w:ascii="Palatino Linotype" w:eastAsia="Palatino Linotype" w:hAnsi="Palatino Linotype" w:cs="Palatino Linotype"/>
                <w:noProof/>
                <w:sz w:val="22"/>
                <w:szCs w:val="22"/>
              </w:rPr>
              <w:t>SEGUNDO. Causales de improcedencia y sobreseimiento</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_Toc216361810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9</w:t>
            </w:r>
            <w:r w:rsidRPr="00DE69AA">
              <w:rPr>
                <w:rFonts w:ascii="Palatino Linotype" w:hAnsi="Palatino Linotype"/>
                <w:noProof/>
                <w:webHidden/>
                <w:sz w:val="22"/>
                <w:szCs w:val="22"/>
              </w:rPr>
              <w:fldChar w:fldCharType="end"/>
            </w:r>
          </w:hyperlink>
        </w:p>
        <w:p w14:paraId="15660DD4" w14:textId="475E7D8F" w:rsidR="00DE69AA" w:rsidRPr="00DE69AA" w:rsidRDefault="00DE69AA">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6361811" w:history="1">
            <w:r w:rsidRPr="00DE69AA">
              <w:rPr>
                <w:rStyle w:val="Hipervnculo"/>
                <w:rFonts w:ascii="Palatino Linotype" w:eastAsia="Palatino Linotype" w:hAnsi="Palatino Linotype" w:cs="Palatino Linotype"/>
                <w:noProof/>
                <w:sz w:val="22"/>
                <w:szCs w:val="22"/>
              </w:rPr>
              <w:t>TERCERO. Decisión</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_Toc216361811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12</w:t>
            </w:r>
            <w:r w:rsidRPr="00DE69AA">
              <w:rPr>
                <w:rFonts w:ascii="Palatino Linotype" w:hAnsi="Palatino Linotype"/>
                <w:noProof/>
                <w:webHidden/>
                <w:sz w:val="22"/>
                <w:szCs w:val="22"/>
              </w:rPr>
              <w:fldChar w:fldCharType="end"/>
            </w:r>
          </w:hyperlink>
        </w:p>
        <w:p w14:paraId="072D4D85" w14:textId="1DAA4FA6" w:rsidR="00DE69AA" w:rsidRPr="00DE69AA" w:rsidRDefault="00DE69AA">
          <w:pPr>
            <w:pStyle w:val="TDC1"/>
            <w:tabs>
              <w:tab w:val="right" w:leader="dot" w:pos="9034"/>
            </w:tabs>
            <w:rPr>
              <w:rFonts w:ascii="Palatino Linotype" w:eastAsiaTheme="minorEastAsia" w:hAnsi="Palatino Linotype" w:cstheme="minorBidi"/>
              <w:noProof/>
              <w:kern w:val="2"/>
              <w:sz w:val="28"/>
              <w:szCs w:val="28"/>
              <w14:ligatures w14:val="standardContextual"/>
            </w:rPr>
          </w:pPr>
          <w:hyperlink w:anchor="_Toc216361812" w:history="1">
            <w:r w:rsidRPr="00DE69AA">
              <w:rPr>
                <w:rStyle w:val="Hipervnculo"/>
                <w:rFonts w:ascii="Palatino Linotype" w:eastAsia="Palatino Linotype" w:hAnsi="Palatino Linotype" w:cs="Palatino Linotype"/>
                <w:noProof/>
                <w:sz w:val="22"/>
                <w:szCs w:val="22"/>
              </w:rPr>
              <w:t>R E S U E L V E</w:t>
            </w:r>
            <w:r w:rsidRPr="00DE69AA">
              <w:rPr>
                <w:rFonts w:ascii="Palatino Linotype" w:hAnsi="Palatino Linotype"/>
                <w:noProof/>
                <w:webHidden/>
                <w:sz w:val="22"/>
                <w:szCs w:val="22"/>
              </w:rPr>
              <w:tab/>
            </w:r>
            <w:r w:rsidRPr="00DE69AA">
              <w:rPr>
                <w:rFonts w:ascii="Palatino Linotype" w:hAnsi="Palatino Linotype"/>
                <w:noProof/>
                <w:webHidden/>
                <w:sz w:val="22"/>
                <w:szCs w:val="22"/>
              </w:rPr>
              <w:fldChar w:fldCharType="begin"/>
            </w:r>
            <w:r w:rsidRPr="00DE69AA">
              <w:rPr>
                <w:rFonts w:ascii="Palatino Linotype" w:hAnsi="Palatino Linotype"/>
                <w:noProof/>
                <w:webHidden/>
                <w:sz w:val="22"/>
                <w:szCs w:val="22"/>
              </w:rPr>
              <w:instrText xml:space="preserve"> PAGEREF _Toc216361812 \h </w:instrText>
            </w:r>
            <w:r w:rsidRPr="00DE69AA">
              <w:rPr>
                <w:rFonts w:ascii="Palatino Linotype" w:hAnsi="Palatino Linotype"/>
                <w:noProof/>
                <w:webHidden/>
                <w:sz w:val="22"/>
                <w:szCs w:val="22"/>
              </w:rPr>
            </w:r>
            <w:r w:rsidRPr="00DE69AA">
              <w:rPr>
                <w:rFonts w:ascii="Palatino Linotype" w:hAnsi="Palatino Linotype"/>
                <w:noProof/>
                <w:webHidden/>
                <w:sz w:val="22"/>
                <w:szCs w:val="22"/>
              </w:rPr>
              <w:fldChar w:fldCharType="separate"/>
            </w:r>
            <w:r w:rsidR="004A3487">
              <w:rPr>
                <w:rFonts w:ascii="Palatino Linotype" w:hAnsi="Palatino Linotype"/>
                <w:noProof/>
                <w:webHidden/>
                <w:sz w:val="22"/>
                <w:szCs w:val="22"/>
              </w:rPr>
              <w:t>13</w:t>
            </w:r>
            <w:r w:rsidRPr="00DE69AA">
              <w:rPr>
                <w:rFonts w:ascii="Palatino Linotype" w:hAnsi="Palatino Linotype"/>
                <w:noProof/>
                <w:webHidden/>
                <w:sz w:val="22"/>
                <w:szCs w:val="22"/>
              </w:rPr>
              <w:fldChar w:fldCharType="end"/>
            </w:r>
          </w:hyperlink>
        </w:p>
        <w:p w14:paraId="4B9A9B9E" w14:textId="29BE5BB0" w:rsidR="00DE69AA" w:rsidRDefault="00DE69AA">
          <w:r w:rsidRPr="00DE69AA">
            <w:rPr>
              <w:rFonts w:ascii="Palatino Linotype" w:hAnsi="Palatino Linotype"/>
              <w:sz w:val="22"/>
              <w:szCs w:val="22"/>
              <w:lang w:val="es-ES"/>
            </w:rPr>
            <w:fldChar w:fldCharType="end"/>
          </w:r>
        </w:p>
      </w:sdtContent>
    </w:sdt>
    <w:p w14:paraId="47269B8E" w14:textId="1EE0208B" w:rsidR="001E7BFD" w:rsidRDefault="001E7BFD">
      <w:pPr>
        <w:spacing w:line="360" w:lineRule="auto"/>
        <w:rPr>
          <w:rFonts w:ascii="Palatino Linotype" w:eastAsia="Palatino Linotype" w:hAnsi="Palatino Linotype" w:cs="Palatino Linotype"/>
          <w:sz w:val="22"/>
          <w:szCs w:val="22"/>
        </w:rPr>
      </w:pPr>
    </w:p>
    <w:p w14:paraId="2F2A688F" w14:textId="77777777" w:rsidR="001E7BFD" w:rsidRDefault="001E7BFD">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08FA04DA" w14:textId="77777777" w:rsidR="001E7BFD" w:rsidRDefault="00B75432">
      <w:pPr>
        <w:spacing w:line="360" w:lineRule="auto"/>
        <w:rPr>
          <w:rFonts w:ascii="Palatino Linotype" w:eastAsia="Palatino Linotype" w:hAnsi="Palatino Linotype" w:cs="Palatino Linotype"/>
          <w:sz w:val="22"/>
          <w:szCs w:val="22"/>
        </w:rPr>
      </w:pPr>
      <w:bookmarkStart w:id="0" w:name="_heading=h.52m3hqhhkeu" w:colFirst="0" w:colLast="0"/>
      <w:bookmarkEnd w:id="0"/>
      <w:r>
        <w:br w:type="page"/>
      </w:r>
    </w:p>
    <w:p w14:paraId="7A98DCEF"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 fecha diez de diciembre de dos mil veinticinco.</w:t>
      </w:r>
    </w:p>
    <w:p w14:paraId="5560B070" w14:textId="77777777" w:rsidR="001E7BFD" w:rsidRDefault="001E7BFD">
      <w:pPr>
        <w:spacing w:line="360" w:lineRule="auto"/>
        <w:jc w:val="both"/>
        <w:rPr>
          <w:rFonts w:ascii="Palatino Linotype" w:eastAsia="Palatino Linotype" w:hAnsi="Palatino Linotype" w:cs="Palatino Linotype"/>
          <w:sz w:val="22"/>
          <w:szCs w:val="22"/>
        </w:rPr>
      </w:pPr>
    </w:p>
    <w:p w14:paraId="795D9D03" w14:textId="018D2DD0"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VISTO</w:t>
      </w:r>
      <w:r>
        <w:rPr>
          <w:rFonts w:ascii="Palatino Linotype" w:eastAsia="Palatino Linotype" w:hAnsi="Palatino Linotype" w:cs="Palatino Linotype"/>
          <w:sz w:val="22"/>
          <w:szCs w:val="22"/>
        </w:rPr>
        <w:t xml:space="preserve"> el expediente conformado con motivo del Recurso de Revisión </w:t>
      </w:r>
      <w:r>
        <w:rPr>
          <w:rFonts w:ascii="Palatino Linotype" w:eastAsia="Palatino Linotype" w:hAnsi="Palatino Linotype" w:cs="Palatino Linotype"/>
          <w:b/>
          <w:bCs/>
          <w:sz w:val="22"/>
          <w:szCs w:val="22"/>
        </w:rPr>
        <w:t>10481/INFOEM/AD/RR/2025</w:t>
      </w:r>
      <w:r>
        <w:rPr>
          <w:rFonts w:ascii="Palatino Linotype" w:eastAsia="Palatino Linotype" w:hAnsi="Palatino Linotype" w:cs="Palatino Linotype"/>
          <w:sz w:val="22"/>
          <w:szCs w:val="22"/>
        </w:rPr>
        <w:t xml:space="preserve">, interpuesto por </w:t>
      </w:r>
      <w:r w:rsidR="00A42BF1" w:rsidRPr="00A42BF1">
        <w:rPr>
          <w:rFonts w:ascii="Palatino Linotype" w:eastAsia="Palatino Linotype" w:hAnsi="Palatino Linotype" w:cs="Palatino Linotype"/>
          <w:b/>
          <w:bCs/>
          <w:sz w:val="22"/>
          <w:szCs w:val="22"/>
          <w:highlight w:val="black"/>
        </w:rPr>
        <w:t>XXXXXXXXXXXXXXXXXXX</w:t>
      </w:r>
      <w:r w:rsidR="00A42BF1" w:rsidRPr="00A42BF1">
        <w:rPr>
          <w:highlight w:val="black"/>
        </w:rPr>
        <w:t xml:space="preserve"> </w:t>
      </w:r>
      <w:r w:rsidR="00A42BF1" w:rsidRPr="00A42BF1">
        <w:rPr>
          <w:rFonts w:ascii="Palatino Linotype" w:eastAsia="Palatino Linotype" w:hAnsi="Palatino Linotype" w:cs="Palatino Linotype"/>
          <w:b/>
          <w:bCs/>
          <w:sz w:val="22"/>
          <w:szCs w:val="22"/>
          <w:highlight w:val="black"/>
        </w:rPr>
        <w:t>XXXXXXXXX</w:t>
      </w:r>
      <w:r>
        <w:rPr>
          <w:rFonts w:ascii="Palatino Linotype" w:eastAsia="Palatino Linotype" w:hAnsi="Palatino Linotype" w:cs="Palatino Linotype"/>
          <w:sz w:val="22"/>
          <w:szCs w:val="22"/>
        </w:rPr>
        <w:t xml:space="preserve">, en lo sucesivo, la persona Recurrente o Particular, en contra de la respuesta del Sujeto Obligado, </w:t>
      </w:r>
      <w:r>
        <w:rPr>
          <w:rFonts w:ascii="Palatino Linotype" w:eastAsia="Palatino Linotype" w:hAnsi="Palatino Linotype" w:cs="Palatino Linotype"/>
          <w:b/>
          <w:bCs/>
          <w:sz w:val="22"/>
          <w:szCs w:val="22"/>
        </w:rPr>
        <w:t>Instituto de Seguridad Social del Estado de México y Municipios</w:t>
      </w:r>
      <w:r>
        <w:rPr>
          <w:rFonts w:ascii="Palatino Linotype" w:eastAsia="Palatino Linotype" w:hAnsi="Palatino Linotype" w:cs="Palatino Linotype"/>
          <w:sz w:val="22"/>
          <w:szCs w:val="22"/>
        </w:rPr>
        <w:t>, se emite la presente Resolución con base en los antecedentes y considerandos que se exponen a continuación:</w:t>
      </w:r>
    </w:p>
    <w:p w14:paraId="175D849D"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9B52C8F" w14:textId="77777777" w:rsidR="001E7BFD" w:rsidRDefault="00B75432">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kofhhc1h2w9g" w:colFirst="0" w:colLast="0"/>
      <w:bookmarkStart w:id="2" w:name="_Toc216361802"/>
      <w:bookmarkEnd w:id="1"/>
      <w:r>
        <w:rPr>
          <w:rFonts w:ascii="Palatino Linotype" w:eastAsia="Palatino Linotype" w:hAnsi="Palatino Linotype" w:cs="Palatino Linotype"/>
          <w:b/>
          <w:bCs/>
          <w:color w:val="000000"/>
          <w:sz w:val="22"/>
          <w:szCs w:val="22"/>
        </w:rPr>
        <w:t>A N T E C E D E N T E S</w:t>
      </w:r>
      <w:bookmarkEnd w:id="2"/>
    </w:p>
    <w:p w14:paraId="367B6CA0" w14:textId="77777777" w:rsidR="001E7BFD" w:rsidRDefault="001E7BF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38030793" w14:textId="77777777" w:rsidR="001E7BFD" w:rsidRDefault="00B75432">
      <w:pPr>
        <w:pStyle w:val="Ttulo2"/>
        <w:spacing w:before="0" w:line="360" w:lineRule="auto"/>
        <w:rPr>
          <w:rFonts w:ascii="Palatino Linotype" w:eastAsia="Palatino Linotype" w:hAnsi="Palatino Linotype" w:cs="Palatino Linotype"/>
          <w:b/>
          <w:bCs/>
          <w:color w:val="000000"/>
          <w:sz w:val="22"/>
          <w:szCs w:val="22"/>
        </w:rPr>
      </w:pPr>
      <w:bookmarkStart w:id="3" w:name="_heading=h.aodugmu12mla" w:colFirst="0" w:colLast="0"/>
      <w:bookmarkStart w:id="4" w:name="_Toc216361803"/>
      <w:bookmarkEnd w:id="3"/>
      <w:r>
        <w:rPr>
          <w:rFonts w:ascii="Palatino Linotype" w:eastAsia="Palatino Linotype" w:hAnsi="Palatino Linotype" w:cs="Palatino Linotype"/>
          <w:b/>
          <w:bCs/>
          <w:color w:val="000000"/>
          <w:sz w:val="22"/>
          <w:szCs w:val="22"/>
        </w:rPr>
        <w:t>I. Presentación de la solicitud de acceso a datos personales.</w:t>
      </w:r>
      <w:bookmarkEnd w:id="4"/>
    </w:p>
    <w:p w14:paraId="674656E2" w14:textId="77777777" w:rsidR="001E7BFD" w:rsidRDefault="001E7BF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sz w:val="22"/>
          <w:szCs w:val="22"/>
        </w:rPr>
      </w:pPr>
    </w:p>
    <w:p w14:paraId="10801D0E" w14:textId="77777777" w:rsidR="001E7BFD" w:rsidRDefault="00B7543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fecha trece de agosto de dos mil veinticinco, la parte Solicitante presentó una solicitud de acceso a datos personales de una persona finada, mediante el Sistema de Acceso, Rectificación, Cancelación y Oposición de Datos Personales del Estado de México, en lo sucesivo el SARCOEM, ante la </w:t>
      </w:r>
      <w:r>
        <w:rPr>
          <w:rFonts w:ascii="Palatino Linotype" w:eastAsia="Palatino Linotype" w:hAnsi="Palatino Linotype" w:cs="Palatino Linotype"/>
          <w:b/>
          <w:bCs/>
          <w:sz w:val="22"/>
          <w:szCs w:val="22"/>
        </w:rPr>
        <w:t>Instituto de Seguridad Social del Estado de México y Municipios</w:t>
      </w:r>
      <w:r>
        <w:rPr>
          <w:rFonts w:ascii="Palatino Linotype" w:eastAsia="Palatino Linotype" w:hAnsi="Palatino Linotype" w:cs="Palatino Linotype"/>
          <w:sz w:val="22"/>
          <w:szCs w:val="22"/>
        </w:rPr>
        <w:t>, en los siguientes términos:</w:t>
      </w:r>
    </w:p>
    <w:p w14:paraId="1DE76CB8" w14:textId="77777777" w:rsidR="001E7BFD" w:rsidRDefault="001E7BFD">
      <w:pPr>
        <w:tabs>
          <w:tab w:val="left" w:pos="567"/>
        </w:tabs>
        <w:spacing w:line="360" w:lineRule="auto"/>
        <w:jc w:val="both"/>
        <w:rPr>
          <w:rFonts w:ascii="Palatino Linotype" w:eastAsia="Palatino Linotype" w:hAnsi="Palatino Linotype" w:cs="Palatino Linotype"/>
          <w:b/>
          <w:bCs/>
          <w:sz w:val="22"/>
          <w:szCs w:val="22"/>
        </w:rPr>
      </w:pPr>
    </w:p>
    <w:p w14:paraId="52427F06" w14:textId="77777777" w:rsidR="001E7BFD" w:rsidRDefault="00B75432">
      <w:pPr>
        <w:tabs>
          <w:tab w:val="left" w:pos="567"/>
        </w:tabs>
        <w:spacing w:line="360" w:lineRule="auto"/>
        <w:ind w:left="567" w:right="539"/>
        <w:jc w:val="both"/>
        <w:rPr>
          <w:rFonts w:ascii="Palatino Linotype" w:eastAsia="Palatino Linotype" w:hAnsi="Palatino Linotype" w:cs="Palatino Linotype"/>
          <w:b/>
          <w:bCs/>
        </w:rPr>
      </w:pPr>
      <w:r>
        <w:rPr>
          <w:rFonts w:ascii="Palatino Linotype" w:eastAsia="Palatino Linotype" w:hAnsi="Palatino Linotype" w:cs="Palatino Linotype"/>
          <w:b/>
          <w:bCs/>
        </w:rPr>
        <w:t>Folio de la solicitud: 01038/ISSEMYM/AD/2025</w:t>
      </w:r>
    </w:p>
    <w:p w14:paraId="5C0FDB26" w14:textId="77777777" w:rsidR="001E7BFD" w:rsidRDefault="00B75432">
      <w:pPr>
        <w:tabs>
          <w:tab w:val="left" w:pos="4667"/>
        </w:tabs>
        <w:spacing w:line="360" w:lineRule="auto"/>
        <w:ind w:left="567" w:right="567"/>
        <w:jc w:val="both"/>
        <w:rPr>
          <w:rFonts w:ascii="Palatino Linotype" w:eastAsia="Palatino Linotype" w:hAnsi="Palatino Linotype" w:cs="Palatino Linotype"/>
          <w:b/>
          <w:bCs/>
        </w:rPr>
      </w:pPr>
      <w:r>
        <w:rPr>
          <w:rFonts w:ascii="Palatino Linotype" w:eastAsia="Palatino Linotype" w:hAnsi="Palatino Linotype" w:cs="Palatino Linotype"/>
          <w:b/>
          <w:bCs/>
        </w:rPr>
        <w:t>DESCRIPCIÓN CLARA Y PRECISA DE LA INFORMACIÓN SOLICITADA</w:t>
      </w:r>
    </w:p>
    <w:p w14:paraId="67573611" w14:textId="77777777" w:rsidR="001E7BFD" w:rsidRDefault="00B7543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“SOLICITO COPIA CERTIFICADA DEL EXPEDIENTE CLÍNICO Y RADIOLOGICO DE MI MAMA FALLECIDA…, DE LA CLÍNICA DE CONSULTA EXTERNA NAUCALPAN, CLAVE….” (Sic.)</w:t>
      </w:r>
    </w:p>
    <w:p w14:paraId="17C20E48" w14:textId="77777777" w:rsidR="001E7BFD" w:rsidRDefault="001E7BFD">
      <w:pPr>
        <w:tabs>
          <w:tab w:val="left" w:pos="4667"/>
        </w:tabs>
        <w:spacing w:line="360" w:lineRule="auto"/>
        <w:ind w:right="567"/>
        <w:jc w:val="both"/>
        <w:rPr>
          <w:rFonts w:ascii="Palatino Linotype" w:eastAsia="Palatino Linotype" w:hAnsi="Palatino Linotype" w:cs="Palatino Linotype"/>
          <w:b/>
          <w:bCs/>
        </w:rPr>
      </w:pPr>
    </w:p>
    <w:p w14:paraId="0AAAAD69" w14:textId="77777777" w:rsidR="001E7BFD" w:rsidRDefault="00B75432">
      <w:pPr>
        <w:pBdr>
          <w:top w:val="nil"/>
          <w:left w:val="nil"/>
          <w:bottom w:val="nil"/>
          <w:right w:val="nil"/>
          <w:between w:val="nil"/>
        </w:pBdr>
        <w:spacing w:line="360" w:lineRule="auto"/>
        <w:ind w:left="567" w:right="555"/>
        <w:jc w:val="both"/>
        <w:rPr>
          <w:rFonts w:ascii="Palatino Linotype" w:eastAsia="Palatino Linotype" w:hAnsi="Palatino Linotype" w:cs="Palatino Linotype"/>
          <w:b/>
          <w:bCs/>
          <w:i/>
          <w:iCs/>
        </w:rPr>
      </w:pPr>
      <w:r>
        <w:rPr>
          <w:rFonts w:ascii="Palatino Linotype" w:eastAsia="Palatino Linotype" w:hAnsi="Palatino Linotype" w:cs="Palatino Linotype"/>
          <w:b/>
          <w:bCs/>
        </w:rPr>
        <w:t>MODALIDAD DE ACCESO</w:t>
      </w:r>
      <w:r>
        <w:rPr>
          <w:rFonts w:ascii="Palatino Linotype" w:eastAsia="Palatino Linotype" w:hAnsi="Palatino Linotype" w:cs="Palatino Linotype"/>
          <w:b/>
          <w:bCs/>
          <w:i/>
          <w:iCs/>
        </w:rPr>
        <w:t xml:space="preserve"> </w:t>
      </w:r>
    </w:p>
    <w:p w14:paraId="50CB5309" w14:textId="77777777" w:rsidR="001E7BFD" w:rsidRDefault="00B75432">
      <w:pPr>
        <w:pBdr>
          <w:top w:val="nil"/>
          <w:left w:val="nil"/>
          <w:bottom w:val="nil"/>
          <w:right w:val="nil"/>
          <w:between w:val="nil"/>
        </w:pBdr>
        <w:spacing w:line="360" w:lineRule="auto"/>
        <w:ind w:left="567" w:right="555"/>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 </w:t>
      </w:r>
      <w:r>
        <w:rPr>
          <w:rFonts w:ascii="Palatino Linotype" w:eastAsia="Palatino Linotype" w:hAnsi="Palatino Linotype" w:cs="Palatino Linotype"/>
          <w:i/>
          <w:iCs/>
        </w:rPr>
        <w:t>“Copias certificadas”</w:t>
      </w:r>
    </w:p>
    <w:p w14:paraId="233D5B76" w14:textId="77777777" w:rsidR="001E7BFD" w:rsidRDefault="00B75432">
      <w:pPr>
        <w:pBdr>
          <w:top w:val="nil"/>
          <w:left w:val="nil"/>
          <w:bottom w:val="nil"/>
          <w:right w:val="nil"/>
          <w:between w:val="nil"/>
        </w:pBdr>
        <w:spacing w:line="360" w:lineRule="auto"/>
        <w:ind w:left="567" w:right="555"/>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MEDIO PARA OÍR Y RECIBIR NOTIFICACIONES </w:t>
      </w:r>
    </w:p>
    <w:p w14:paraId="03EA7385" w14:textId="77777777" w:rsidR="001E7BFD" w:rsidRDefault="00B75432">
      <w:pPr>
        <w:pBdr>
          <w:top w:val="nil"/>
          <w:left w:val="nil"/>
          <w:bottom w:val="nil"/>
          <w:right w:val="nil"/>
          <w:between w:val="nil"/>
        </w:pBdr>
        <w:spacing w:line="360" w:lineRule="auto"/>
        <w:ind w:left="567" w:right="555"/>
        <w:jc w:val="both"/>
        <w:rPr>
          <w:rFonts w:ascii="Palatino Linotype" w:eastAsia="Palatino Linotype" w:hAnsi="Palatino Linotype" w:cs="Palatino Linotype"/>
          <w:i/>
          <w:iCs/>
        </w:rPr>
      </w:pPr>
      <w:r>
        <w:rPr>
          <w:rFonts w:ascii="Palatino Linotype" w:eastAsia="Palatino Linotype" w:hAnsi="Palatino Linotype" w:cs="Palatino Linotype"/>
          <w:i/>
          <w:iCs/>
        </w:rPr>
        <w:t>“CORREO ELECTRÓNICO: (…)</w:t>
      </w:r>
    </w:p>
    <w:p w14:paraId="545E6AE4" w14:textId="77777777" w:rsidR="001E7BFD" w:rsidRDefault="00B75432">
      <w:pPr>
        <w:pBdr>
          <w:top w:val="nil"/>
          <w:left w:val="nil"/>
          <w:bottom w:val="nil"/>
          <w:right w:val="nil"/>
          <w:between w:val="nil"/>
        </w:pBdr>
        <w:spacing w:line="360" w:lineRule="auto"/>
        <w:ind w:left="567" w:right="555"/>
        <w:jc w:val="both"/>
        <w:rPr>
          <w:rFonts w:ascii="Palatino Linotype" w:eastAsia="Palatino Linotype" w:hAnsi="Palatino Linotype" w:cs="Palatino Linotype"/>
        </w:rPr>
      </w:pPr>
      <w:r>
        <w:rPr>
          <w:rFonts w:ascii="Palatino Linotype" w:eastAsia="Palatino Linotype" w:hAnsi="Palatino Linotype" w:cs="Palatino Linotype"/>
          <w:i/>
          <w:iCs/>
        </w:rPr>
        <w:tab/>
        <w:t>TELÉFONO (Opcional): (…)”</w:t>
      </w:r>
    </w:p>
    <w:p w14:paraId="453781CC" w14:textId="77777777" w:rsidR="001E7BFD" w:rsidRDefault="001E7BFD">
      <w:pPr>
        <w:pBdr>
          <w:top w:val="nil"/>
          <w:left w:val="nil"/>
          <w:bottom w:val="nil"/>
          <w:right w:val="nil"/>
          <w:between w:val="nil"/>
        </w:pBdr>
        <w:spacing w:line="360" w:lineRule="auto"/>
        <w:ind w:left="567" w:right="555"/>
        <w:jc w:val="both"/>
        <w:rPr>
          <w:rFonts w:ascii="Palatino Linotype" w:eastAsia="Palatino Linotype" w:hAnsi="Palatino Linotype" w:cs="Palatino Linotype"/>
          <w:sz w:val="22"/>
          <w:szCs w:val="22"/>
        </w:rPr>
      </w:pPr>
    </w:p>
    <w:p w14:paraId="7D7B4832" w14:textId="77777777" w:rsidR="001E7BFD" w:rsidRDefault="00B754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persona Solicitante no adjuntó documentación a su solicitud de información.</w:t>
      </w:r>
    </w:p>
    <w:p w14:paraId="7D8DA53D" w14:textId="77777777" w:rsidR="001E7BFD" w:rsidRDefault="001E7BFD">
      <w:pPr>
        <w:tabs>
          <w:tab w:val="left" w:pos="1470"/>
        </w:tabs>
        <w:spacing w:line="360" w:lineRule="auto"/>
        <w:ind w:right="539"/>
        <w:jc w:val="both"/>
        <w:rPr>
          <w:rFonts w:ascii="Palatino Linotype" w:eastAsia="Palatino Linotype" w:hAnsi="Palatino Linotype" w:cs="Palatino Linotype"/>
          <w:b/>
          <w:bCs/>
          <w:sz w:val="22"/>
          <w:szCs w:val="22"/>
        </w:rPr>
      </w:pPr>
    </w:p>
    <w:p w14:paraId="3E0917C3" w14:textId="77777777" w:rsidR="001E7BFD" w:rsidRDefault="00B75432">
      <w:pPr>
        <w:pStyle w:val="Ttulo2"/>
        <w:spacing w:before="0" w:line="360" w:lineRule="auto"/>
        <w:rPr>
          <w:rFonts w:ascii="Palatino Linotype" w:eastAsia="Palatino Linotype" w:hAnsi="Palatino Linotype" w:cs="Palatino Linotype"/>
          <w:b/>
          <w:bCs/>
          <w:color w:val="000000"/>
          <w:sz w:val="22"/>
          <w:szCs w:val="22"/>
        </w:rPr>
      </w:pPr>
      <w:bookmarkStart w:id="5" w:name="_heading=h.3e4a1jutrxal" w:colFirst="0" w:colLast="0"/>
      <w:bookmarkStart w:id="6" w:name="_Toc216361804"/>
      <w:bookmarkEnd w:id="5"/>
      <w:r>
        <w:rPr>
          <w:rFonts w:ascii="Palatino Linotype" w:eastAsia="Palatino Linotype" w:hAnsi="Palatino Linotype" w:cs="Palatino Linotype"/>
          <w:b/>
          <w:bCs/>
          <w:color w:val="000000"/>
          <w:sz w:val="22"/>
          <w:szCs w:val="22"/>
        </w:rPr>
        <w:t>II. Solicitud de aclaración.</w:t>
      </w:r>
      <w:bookmarkEnd w:id="6"/>
    </w:p>
    <w:p w14:paraId="7DE15E64" w14:textId="77777777" w:rsidR="001E7BFD" w:rsidRDefault="00B75432">
      <w:pPr>
        <w:tabs>
          <w:tab w:val="left" w:pos="1470"/>
        </w:tabs>
        <w:spacing w:line="360" w:lineRule="auto"/>
        <w:ind w:right="5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49EF1844"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fecha dieciocho de agosto de dos mil veinticinco, el Sujeto Obligado a través de SARCOEM, requirió a la parte Solicitante para que, en un término de diez días hábiles, presentará el documento a través del cual </w:t>
      </w:r>
      <w:r>
        <w:rPr>
          <w:rFonts w:ascii="Palatino Linotype" w:eastAsia="Palatino Linotype" w:hAnsi="Palatino Linotype" w:cs="Palatino Linotype"/>
          <w:b/>
          <w:bCs/>
          <w:sz w:val="22"/>
          <w:szCs w:val="22"/>
        </w:rPr>
        <w:t>acredite la representación de la persona finada</w:t>
      </w:r>
      <w:r>
        <w:rPr>
          <w:rFonts w:ascii="Palatino Linotype" w:eastAsia="Palatino Linotype" w:hAnsi="Palatino Linotype" w:cs="Palatino Linotype"/>
          <w:sz w:val="22"/>
          <w:szCs w:val="22"/>
        </w:rPr>
        <w:t>.</w:t>
      </w:r>
    </w:p>
    <w:p w14:paraId="7482BECB" w14:textId="77777777" w:rsidR="001E7BFD" w:rsidRDefault="001E7BFD">
      <w:pPr>
        <w:spacing w:line="360" w:lineRule="auto"/>
        <w:jc w:val="both"/>
        <w:rPr>
          <w:rFonts w:ascii="Palatino Linotype" w:eastAsia="Palatino Linotype" w:hAnsi="Palatino Linotype" w:cs="Palatino Linotype"/>
          <w:sz w:val="22"/>
          <w:szCs w:val="22"/>
        </w:rPr>
      </w:pPr>
    </w:p>
    <w:p w14:paraId="56DE66A2" w14:textId="77777777" w:rsidR="001E7BFD" w:rsidRDefault="00B75432">
      <w:pPr>
        <w:pStyle w:val="Ttulo2"/>
        <w:spacing w:before="0" w:line="360" w:lineRule="auto"/>
        <w:rPr>
          <w:rFonts w:ascii="Palatino Linotype" w:eastAsia="Palatino Linotype" w:hAnsi="Palatino Linotype" w:cs="Palatino Linotype"/>
          <w:b/>
          <w:bCs/>
          <w:color w:val="000000"/>
          <w:sz w:val="22"/>
          <w:szCs w:val="22"/>
        </w:rPr>
      </w:pPr>
      <w:bookmarkStart w:id="7" w:name="_heading=h.gps78rfe7k3l" w:colFirst="0" w:colLast="0"/>
      <w:bookmarkStart w:id="8" w:name="_Toc216361805"/>
      <w:bookmarkEnd w:id="7"/>
      <w:r>
        <w:rPr>
          <w:rFonts w:ascii="Palatino Linotype" w:eastAsia="Palatino Linotype" w:hAnsi="Palatino Linotype" w:cs="Palatino Linotype"/>
          <w:b/>
          <w:bCs/>
          <w:color w:val="000000"/>
          <w:sz w:val="22"/>
          <w:szCs w:val="22"/>
        </w:rPr>
        <w:t>III. No Presentó Aclaración.</w:t>
      </w:r>
      <w:bookmarkEnd w:id="8"/>
    </w:p>
    <w:p w14:paraId="2D143C7B" w14:textId="77777777" w:rsidR="001E7BFD" w:rsidRDefault="00B75432">
      <w:pPr>
        <w:tabs>
          <w:tab w:val="left" w:pos="1470"/>
        </w:tabs>
        <w:spacing w:line="360" w:lineRule="auto"/>
        <w:ind w:right="5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7C60F62C"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fecha dos de septiembre de dos mil veinticinco, el Sujeto Obligado a través de SARCOEM, indicó que al no haber desahogado la aclaración se tuvo por no presentada la solicitud. </w:t>
      </w:r>
    </w:p>
    <w:p w14:paraId="2ED0FEBB" w14:textId="77777777" w:rsidR="001E7BFD" w:rsidRDefault="001E7BFD">
      <w:pPr>
        <w:spacing w:line="360" w:lineRule="auto"/>
        <w:jc w:val="both"/>
        <w:rPr>
          <w:rFonts w:ascii="Palatino Linotype" w:eastAsia="Palatino Linotype" w:hAnsi="Palatino Linotype" w:cs="Palatino Linotype"/>
          <w:sz w:val="22"/>
          <w:szCs w:val="22"/>
        </w:rPr>
      </w:pPr>
    </w:p>
    <w:p w14:paraId="22C91271" w14:textId="77777777" w:rsidR="001E7BFD" w:rsidRDefault="00B75432">
      <w:pPr>
        <w:pStyle w:val="Ttulo2"/>
        <w:spacing w:before="0" w:line="360" w:lineRule="auto"/>
        <w:rPr>
          <w:rFonts w:ascii="Palatino Linotype" w:eastAsia="Palatino Linotype" w:hAnsi="Palatino Linotype" w:cs="Palatino Linotype"/>
          <w:b/>
          <w:bCs/>
          <w:color w:val="000000"/>
          <w:sz w:val="22"/>
          <w:szCs w:val="22"/>
        </w:rPr>
      </w:pPr>
      <w:bookmarkStart w:id="9" w:name="_heading=h.ztd4w5pxt5a" w:colFirst="0" w:colLast="0"/>
      <w:bookmarkStart w:id="10" w:name="_Toc216361806"/>
      <w:bookmarkEnd w:id="9"/>
      <w:r>
        <w:rPr>
          <w:rFonts w:ascii="Palatino Linotype" w:eastAsia="Palatino Linotype" w:hAnsi="Palatino Linotype" w:cs="Palatino Linotype"/>
          <w:b/>
          <w:bCs/>
          <w:color w:val="000000"/>
          <w:sz w:val="22"/>
          <w:szCs w:val="22"/>
        </w:rPr>
        <w:t>IV. Interposición del Recurso de Revisión.</w:t>
      </w:r>
      <w:bookmarkEnd w:id="10"/>
    </w:p>
    <w:p w14:paraId="16D54FF8" w14:textId="77777777" w:rsidR="001E7BFD" w:rsidRDefault="001E7BFD">
      <w:pPr>
        <w:spacing w:line="360" w:lineRule="auto"/>
        <w:jc w:val="both"/>
        <w:rPr>
          <w:rFonts w:ascii="Palatino Linotype" w:eastAsia="Palatino Linotype" w:hAnsi="Palatino Linotype" w:cs="Palatino Linotype"/>
          <w:b/>
          <w:bCs/>
          <w:sz w:val="22"/>
          <w:szCs w:val="22"/>
        </w:rPr>
      </w:pPr>
    </w:p>
    <w:p w14:paraId="1069AB8C" w14:textId="77777777" w:rsidR="001E7BFD" w:rsidRDefault="00B75432">
      <w:pPr>
        <w:tabs>
          <w:tab w:val="left" w:pos="312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cinco de septiembre de dos mil veinticinco, por medio del SARCOEM, la parte Recurrente interpuso el Recurso de Revisión que nos ocupa, en el que manifestó lo siguiente:</w:t>
      </w:r>
    </w:p>
    <w:p w14:paraId="40E6D427" w14:textId="77777777" w:rsidR="001E7BFD" w:rsidRDefault="001E7BFD">
      <w:pPr>
        <w:spacing w:line="360" w:lineRule="auto"/>
        <w:jc w:val="both"/>
        <w:rPr>
          <w:rFonts w:ascii="Palatino Linotype" w:eastAsia="Palatino Linotype" w:hAnsi="Palatino Linotype" w:cs="Palatino Linotype"/>
          <w:sz w:val="22"/>
          <w:szCs w:val="22"/>
        </w:rPr>
      </w:pPr>
    </w:p>
    <w:p w14:paraId="7265C225" w14:textId="77777777" w:rsidR="001E7BFD" w:rsidRDefault="00B75432">
      <w:pPr>
        <w:tabs>
          <w:tab w:val="left" w:pos="4667"/>
        </w:tabs>
        <w:spacing w:line="360" w:lineRule="auto"/>
        <w:ind w:left="567" w:right="567"/>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ACTO IMPUGNADO</w:t>
      </w:r>
    </w:p>
    <w:p w14:paraId="44D5E773" w14:textId="77777777" w:rsidR="001E7BFD" w:rsidRDefault="00B7543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 SE ME PROPORCIONÓ LA INFORMACIÓN SOLICITADA” (Sic.)</w:t>
      </w:r>
    </w:p>
    <w:p w14:paraId="5D1CF0BB" w14:textId="77777777" w:rsidR="001E7BFD" w:rsidRDefault="001E7BFD">
      <w:pPr>
        <w:spacing w:line="360" w:lineRule="auto"/>
        <w:ind w:left="567" w:right="567"/>
        <w:jc w:val="both"/>
        <w:rPr>
          <w:rFonts w:ascii="Palatino Linotype" w:eastAsia="Palatino Linotype" w:hAnsi="Palatino Linotype" w:cs="Palatino Linotype"/>
          <w:i/>
          <w:iCs/>
        </w:rPr>
      </w:pPr>
    </w:p>
    <w:p w14:paraId="3A4C1A7D" w14:textId="77777777" w:rsidR="001E7BFD" w:rsidRDefault="00B75432">
      <w:pPr>
        <w:spacing w:line="360" w:lineRule="auto"/>
        <w:ind w:left="567" w:right="567"/>
        <w:jc w:val="both"/>
        <w:rPr>
          <w:rFonts w:ascii="Palatino Linotype" w:eastAsia="Palatino Linotype" w:hAnsi="Palatino Linotype" w:cs="Palatino Linotype"/>
          <w:b/>
          <w:bCs/>
        </w:rPr>
      </w:pPr>
      <w:r>
        <w:rPr>
          <w:rFonts w:ascii="Palatino Linotype" w:eastAsia="Palatino Linotype" w:hAnsi="Palatino Linotype" w:cs="Palatino Linotype"/>
          <w:b/>
          <w:bCs/>
        </w:rPr>
        <w:t>RAZONES O MOTIVOS DE LA INCONFORMIDAD</w:t>
      </w:r>
    </w:p>
    <w:p w14:paraId="14A0FE1C" w14:textId="77777777" w:rsidR="001E7BFD" w:rsidRDefault="00B7543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“Ingresé una solicitud en SARCOEM, el día trece de agosto del año en curso, para solicitar copia certificada del expediente clínico y radiológico, de mi mamá … de la Clínica de Consulta Externa Naucalpan, con clave de ISSEMYM ... Posteriormente, la Unidad de Transparencia me requirió complementara mi solicitud de acceso a datos, debido a que no anexe el documento mediante el cual mi difunta madre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con los documentos que adjunto al presente recurso de revisión, consistentes en mi identificación oficial y mi acta de nacimiento, identificación oficial, credencial del ISSEMYM, acta de defunción de mi mamá …  y la póliza de seguro donde aparezco como beneficiaria. Por lo anterior, solicito al ISSEMYM, que se me entregue copia certificada del expediente clínico y radiológico de mi mamá…, con clave ISSEMYM…, ya que lo que requiero para el trámite de cobro de seguro de vida.” (Sic.)</w:t>
      </w:r>
    </w:p>
    <w:p w14:paraId="7F4143B2" w14:textId="77777777" w:rsidR="001E7BFD" w:rsidRDefault="001E7BFD">
      <w:pPr>
        <w:spacing w:line="360" w:lineRule="auto"/>
        <w:ind w:right="-28"/>
        <w:jc w:val="both"/>
        <w:rPr>
          <w:rFonts w:ascii="Palatino Linotype" w:eastAsia="Palatino Linotype" w:hAnsi="Palatino Linotype" w:cs="Palatino Linotype"/>
          <w:sz w:val="22"/>
          <w:szCs w:val="22"/>
        </w:rPr>
      </w:pPr>
    </w:p>
    <w:p w14:paraId="05CF0778" w14:textId="77777777" w:rsidR="001E7BFD" w:rsidRDefault="00B7543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Recurrente adjuntó la siguiente documentación:</w:t>
      </w:r>
    </w:p>
    <w:p w14:paraId="725E272F" w14:textId="77777777" w:rsidR="001E7BFD" w:rsidRDefault="001E7BFD">
      <w:pPr>
        <w:spacing w:line="360" w:lineRule="auto"/>
        <w:ind w:right="-28"/>
        <w:jc w:val="both"/>
        <w:rPr>
          <w:rFonts w:ascii="Palatino Linotype" w:eastAsia="Palatino Linotype" w:hAnsi="Palatino Linotype" w:cs="Palatino Linotype"/>
          <w:sz w:val="22"/>
          <w:szCs w:val="22"/>
        </w:rPr>
      </w:pPr>
    </w:p>
    <w:p w14:paraId="211236CE" w14:textId="77777777" w:rsidR="001E7BFD" w:rsidRDefault="00B75432">
      <w:pPr>
        <w:numPr>
          <w:ilvl w:val="0"/>
          <w:numId w:val="3"/>
        </w:numPr>
        <w:pBdr>
          <w:top w:val="nil"/>
          <w:left w:val="nil"/>
          <w:bottom w:val="nil"/>
          <w:right w:val="nil"/>
          <w:between w:val="nil"/>
        </w:pBdr>
        <w:spacing w:line="360" w:lineRule="auto"/>
        <w:ind w:right="539"/>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lastRenderedPageBreak/>
        <w:t xml:space="preserve">DOCUMENTOS 1038 AD.pdf; </w:t>
      </w:r>
      <w:r>
        <w:rPr>
          <w:rFonts w:ascii="Palatino Linotype" w:eastAsia="Palatino Linotype" w:hAnsi="Palatino Linotype" w:cs="Palatino Linotype"/>
          <w:color w:val="000000"/>
          <w:sz w:val="22"/>
          <w:szCs w:val="22"/>
        </w:rPr>
        <w:t>archivo del que se desprenden los siguientes:</w:t>
      </w:r>
    </w:p>
    <w:p w14:paraId="52CD328F" w14:textId="77777777" w:rsidR="001E7BFD" w:rsidRDefault="00B75432">
      <w:pPr>
        <w:numPr>
          <w:ilvl w:val="1"/>
          <w:numId w:val="3"/>
        </w:num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Acta de nacimiento de la Recurrente</w:t>
      </w:r>
    </w:p>
    <w:p w14:paraId="25197ADB" w14:textId="77777777" w:rsidR="001E7BFD" w:rsidRDefault="00B75432">
      <w:pPr>
        <w:numPr>
          <w:ilvl w:val="1"/>
          <w:numId w:val="3"/>
        </w:num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Credencial para votar emitida por el Instituto Nacional Electoral a favor de la Recurrente</w:t>
      </w:r>
    </w:p>
    <w:p w14:paraId="5D8AF468" w14:textId="77777777" w:rsidR="001E7BFD" w:rsidRDefault="00B75432">
      <w:pPr>
        <w:numPr>
          <w:ilvl w:val="1"/>
          <w:numId w:val="3"/>
        </w:num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Credencial del ISSEMYM de la titular de los datos personales</w:t>
      </w:r>
    </w:p>
    <w:p w14:paraId="36CF133F" w14:textId="77777777" w:rsidR="001E7BFD" w:rsidRDefault="00B75432">
      <w:pPr>
        <w:numPr>
          <w:ilvl w:val="1"/>
          <w:numId w:val="3"/>
        </w:num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Acta de defunción de la persona titular de los datos personales</w:t>
      </w:r>
    </w:p>
    <w:p w14:paraId="41222D15" w14:textId="77777777" w:rsidR="001E7BFD" w:rsidRDefault="00B75432">
      <w:pPr>
        <w:numPr>
          <w:ilvl w:val="1"/>
          <w:numId w:val="3"/>
        </w:numPr>
        <w:pBdr>
          <w:top w:val="nil"/>
          <w:left w:val="nil"/>
          <w:bottom w:val="nil"/>
          <w:right w:val="nil"/>
          <w:between w:val="nil"/>
        </w:pBdr>
        <w:spacing w:line="360" w:lineRule="auto"/>
        <w:ind w:right="539"/>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 xml:space="preserve">Credencial para votar emitida por el Instituto Nacional Electoral a favor de la persona titular de los datos personales </w:t>
      </w:r>
    </w:p>
    <w:p w14:paraId="57284642" w14:textId="77777777" w:rsidR="001E7BFD" w:rsidRDefault="001E7BFD">
      <w:pPr>
        <w:pBdr>
          <w:top w:val="nil"/>
          <w:left w:val="nil"/>
          <w:bottom w:val="nil"/>
          <w:right w:val="nil"/>
          <w:between w:val="nil"/>
        </w:pBdr>
        <w:spacing w:line="360" w:lineRule="auto"/>
        <w:ind w:left="1440" w:right="539"/>
        <w:jc w:val="both"/>
        <w:rPr>
          <w:rFonts w:ascii="Palatino Linotype" w:eastAsia="Palatino Linotype" w:hAnsi="Palatino Linotype" w:cs="Palatino Linotype"/>
          <w:i/>
          <w:iCs/>
          <w:color w:val="000000"/>
          <w:sz w:val="22"/>
          <w:szCs w:val="22"/>
        </w:rPr>
      </w:pPr>
    </w:p>
    <w:p w14:paraId="3F1C44B1" w14:textId="77777777" w:rsidR="001E7BFD" w:rsidRDefault="00B75432">
      <w:pPr>
        <w:numPr>
          <w:ilvl w:val="0"/>
          <w:numId w:val="3"/>
        </w:numPr>
        <w:pBdr>
          <w:top w:val="nil"/>
          <w:left w:val="nil"/>
          <w:bottom w:val="nil"/>
          <w:right w:val="nil"/>
          <w:between w:val="nil"/>
        </w:pBdr>
        <w:spacing w:line="360" w:lineRule="auto"/>
        <w:ind w:right="539"/>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POLIZA DE SEGURO 1038 AD.zip; </w:t>
      </w:r>
      <w:r>
        <w:rPr>
          <w:rFonts w:ascii="Palatino Linotype" w:eastAsia="Palatino Linotype" w:hAnsi="Palatino Linotype" w:cs="Palatino Linotype"/>
          <w:color w:val="000000"/>
          <w:sz w:val="22"/>
          <w:szCs w:val="22"/>
        </w:rPr>
        <w:t xml:space="preserve">del que se desprende un archivo en formato JPEG, del que se advierte la Carátula de la Póliza de Seguros en el que la titular de los datos personales señaló a la Recurrente como beneficiaria. </w:t>
      </w:r>
    </w:p>
    <w:p w14:paraId="3A8417A9" w14:textId="77777777" w:rsidR="001E7BFD" w:rsidRDefault="001E7BFD">
      <w:pPr>
        <w:spacing w:line="360" w:lineRule="auto"/>
        <w:ind w:right="539"/>
        <w:jc w:val="both"/>
        <w:rPr>
          <w:rFonts w:ascii="Palatino Linotype" w:eastAsia="Palatino Linotype" w:hAnsi="Palatino Linotype" w:cs="Palatino Linotype"/>
          <w:sz w:val="22"/>
          <w:szCs w:val="22"/>
        </w:rPr>
      </w:pPr>
    </w:p>
    <w:p w14:paraId="788C94AB" w14:textId="77777777" w:rsidR="001E7BFD" w:rsidRDefault="00B75432">
      <w:pPr>
        <w:pStyle w:val="Ttulo2"/>
        <w:spacing w:before="0" w:line="360" w:lineRule="auto"/>
        <w:rPr>
          <w:rFonts w:ascii="Palatino Linotype" w:eastAsia="Palatino Linotype" w:hAnsi="Palatino Linotype" w:cs="Palatino Linotype"/>
          <w:i/>
          <w:iCs/>
          <w:color w:val="000000"/>
          <w:sz w:val="22"/>
          <w:szCs w:val="22"/>
        </w:rPr>
      </w:pPr>
      <w:bookmarkStart w:id="11" w:name="_heading=h.cz8tpoxhn1cf" w:colFirst="0" w:colLast="0"/>
      <w:bookmarkStart w:id="12" w:name="_Toc216361807"/>
      <w:bookmarkEnd w:id="11"/>
      <w:r>
        <w:rPr>
          <w:rFonts w:ascii="Palatino Linotype" w:eastAsia="Palatino Linotype" w:hAnsi="Palatino Linotype" w:cs="Palatino Linotype"/>
          <w:b/>
          <w:bCs/>
          <w:color w:val="000000"/>
          <w:sz w:val="22"/>
          <w:szCs w:val="22"/>
        </w:rPr>
        <w:t>V. Trámite del Recurso de Revisión ante el Instituto.</w:t>
      </w:r>
      <w:bookmarkEnd w:id="12"/>
    </w:p>
    <w:p w14:paraId="44306200" w14:textId="77777777" w:rsidR="001E7BFD" w:rsidRDefault="001E7BFD">
      <w:pPr>
        <w:spacing w:line="360" w:lineRule="auto"/>
        <w:jc w:val="both"/>
        <w:rPr>
          <w:rFonts w:ascii="Palatino Linotype" w:eastAsia="Palatino Linotype" w:hAnsi="Palatino Linotype" w:cs="Palatino Linotype"/>
          <w:b/>
          <w:bCs/>
          <w:sz w:val="22"/>
          <w:szCs w:val="22"/>
        </w:rPr>
      </w:pPr>
    </w:p>
    <w:p w14:paraId="0F2C79D6" w14:textId="77777777" w:rsidR="001E7BFD" w:rsidRDefault="00B754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cinco de septiembre de dos mil veinticinco, el SARCOEM, asignó el número </w:t>
      </w:r>
      <w:r>
        <w:rPr>
          <w:rFonts w:ascii="Palatino Linotype" w:eastAsia="Palatino Linotype" w:hAnsi="Palatino Linotype" w:cs="Palatino Linotype"/>
          <w:b/>
          <w:bCs/>
          <w:sz w:val="22"/>
          <w:szCs w:val="22"/>
        </w:rPr>
        <w:t>10481/INFOEM/AD/RR/2025</w:t>
      </w:r>
      <w:r>
        <w:rPr>
          <w:rFonts w:ascii="Palatino Linotype" w:eastAsia="Palatino Linotype" w:hAnsi="Palatino Linotype" w:cs="Palatino Linotype"/>
          <w:sz w:val="22"/>
          <w:szCs w:val="22"/>
        </w:rPr>
        <w:t xml:space="preserve"> al medio de impugnación que nos ocupa y con base en el sistema aprobado por el Pleno de este Órgano Garante, lo turnó al Comisionado Ponente Luis Gustavo Parra Noriega, para los efectos de los artículos 129, 130 y 131, de la Ley de Protección de Datos Personales en Posesión de Sujetos Obligados del Estado de México y Municipios.</w:t>
      </w:r>
    </w:p>
    <w:p w14:paraId="384AC66F" w14:textId="77777777" w:rsidR="001E7BFD" w:rsidRDefault="001E7BFD">
      <w:pPr>
        <w:spacing w:line="360" w:lineRule="auto"/>
        <w:jc w:val="both"/>
        <w:rPr>
          <w:rFonts w:ascii="Palatino Linotype" w:eastAsia="Palatino Linotype" w:hAnsi="Palatino Linotype" w:cs="Palatino Linotype"/>
          <w:b/>
          <w:bCs/>
          <w:sz w:val="22"/>
          <w:szCs w:val="22"/>
        </w:rPr>
      </w:pPr>
    </w:p>
    <w:p w14:paraId="27AB52F0" w14:textId="77777777" w:rsidR="001E7BFD" w:rsidRDefault="00B754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En fecha doce de septiembre de dos mil veinticinco, se emitió y notificó a través del SARCOEM y correo electrónico, la admisión del Recurso de Revisión interpuesto por la parte Recurrente en contra de la Instituto de Seguridad Social del </w:t>
      </w:r>
      <w:r>
        <w:rPr>
          <w:rFonts w:ascii="Palatino Linotype" w:eastAsia="Palatino Linotype" w:hAnsi="Palatino Linotype" w:cs="Palatino Linotype"/>
          <w:sz w:val="22"/>
          <w:szCs w:val="22"/>
        </w:rPr>
        <w:lastRenderedPageBreak/>
        <w:t>Estado de México y Municipios y se les otorgó a las partes un plazo no mayor a siete días hábiles a partir del día siguiente a la notificación, a fin de manifestar su voluntad de conciliar en el presente asunto.</w:t>
      </w:r>
    </w:p>
    <w:p w14:paraId="72998705" w14:textId="77777777" w:rsidR="001E7BFD" w:rsidRDefault="001E7BFD">
      <w:pPr>
        <w:spacing w:line="360" w:lineRule="auto"/>
        <w:jc w:val="both"/>
        <w:rPr>
          <w:rFonts w:ascii="Palatino Linotype" w:eastAsia="Palatino Linotype" w:hAnsi="Palatino Linotype" w:cs="Palatino Linotype"/>
          <w:sz w:val="22"/>
          <w:szCs w:val="22"/>
        </w:rPr>
      </w:pPr>
    </w:p>
    <w:p w14:paraId="06DDAFC0"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Etapa de conciliación. </w:t>
      </w:r>
      <w:r>
        <w:rPr>
          <w:rFonts w:ascii="Palatino Linotype" w:eastAsia="Palatino Linotype" w:hAnsi="Palatino Linotype" w:cs="Palatino Linotype"/>
          <w:sz w:val="22"/>
          <w:szCs w:val="22"/>
        </w:rPr>
        <w:t xml:space="preserve">En fecha diecinueve de septiembre de dos mil veinticinco, a través de SARCOEM, la Particular adjuntó un escrito en el que manifestó expresamente su voluntad de conciliar el presente asunto. </w:t>
      </w:r>
    </w:p>
    <w:p w14:paraId="01ABFFA4" w14:textId="77777777" w:rsidR="001E7BFD" w:rsidRDefault="001E7BFD">
      <w:pPr>
        <w:spacing w:line="360" w:lineRule="auto"/>
        <w:jc w:val="both"/>
        <w:rPr>
          <w:rFonts w:ascii="Palatino Linotype" w:eastAsia="Palatino Linotype" w:hAnsi="Palatino Linotype" w:cs="Palatino Linotype"/>
          <w:sz w:val="22"/>
          <w:szCs w:val="22"/>
        </w:rPr>
      </w:pPr>
    </w:p>
    <w:p w14:paraId="3E7AF478"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diecisiete de septiembre de dos mil veinticinco, a través de SARCOEM, el Sujeto Obligado remitió un oficio suscrito por el Responsable y Titular de la Unidad de Transparencia en el manifestó expresamente su voluntad de conciliar el presente asunto. </w:t>
      </w:r>
    </w:p>
    <w:p w14:paraId="0E017ACA" w14:textId="77777777" w:rsidR="001E7BFD" w:rsidRDefault="001E7BFD">
      <w:pPr>
        <w:spacing w:line="360" w:lineRule="auto"/>
        <w:jc w:val="both"/>
        <w:rPr>
          <w:rFonts w:ascii="Palatino Linotype" w:eastAsia="Palatino Linotype" w:hAnsi="Palatino Linotype" w:cs="Palatino Linotype"/>
          <w:sz w:val="22"/>
          <w:szCs w:val="22"/>
        </w:rPr>
      </w:pPr>
    </w:p>
    <w:p w14:paraId="69D03DAB"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atención a ello, en fecha doce de noviembre de dos mil veinticinco se notificó y citó vía SARCOEM y correo electrónico a las partes para comparecer en audiencia virtual, a través de reunión por MEET, por lo que se proporcionó los datos correspondientes para que tuviera lugar dicha audiencia, cuya cita sería el catorce de noviembre de dos mil veinticinco.</w:t>
      </w:r>
    </w:p>
    <w:p w14:paraId="74DAC25A" w14:textId="77777777" w:rsidR="001E7BFD" w:rsidRDefault="001E7BFD">
      <w:pPr>
        <w:spacing w:line="360" w:lineRule="auto"/>
        <w:jc w:val="both"/>
        <w:rPr>
          <w:rFonts w:ascii="Palatino Linotype" w:eastAsia="Palatino Linotype" w:hAnsi="Palatino Linotype" w:cs="Palatino Linotype"/>
          <w:sz w:val="22"/>
          <w:szCs w:val="22"/>
        </w:rPr>
      </w:pPr>
    </w:p>
    <w:p w14:paraId="075EF2DB"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Audiencia de conciliación. </w:t>
      </w:r>
      <w:r>
        <w:rPr>
          <w:rFonts w:ascii="Palatino Linotype" w:eastAsia="Palatino Linotype" w:hAnsi="Palatino Linotype" w:cs="Palatino Linotype"/>
          <w:sz w:val="22"/>
          <w:szCs w:val="22"/>
        </w:rPr>
        <w:t>En fecha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catorce de noviembre de dos mil veinticinco, ambas partes comparecieron vía METT y previa acreditación de la identidad de las partes, se determinó medularmente lo siguiente:</w:t>
      </w:r>
    </w:p>
    <w:p w14:paraId="60976E49" w14:textId="77777777" w:rsidR="001E7BFD" w:rsidRDefault="001E7BFD">
      <w:pPr>
        <w:spacing w:line="360" w:lineRule="auto"/>
        <w:jc w:val="both"/>
        <w:rPr>
          <w:rFonts w:ascii="Palatino Linotype" w:eastAsia="Palatino Linotype" w:hAnsi="Palatino Linotype" w:cs="Palatino Linotype"/>
          <w:sz w:val="22"/>
          <w:szCs w:val="22"/>
        </w:rPr>
      </w:pPr>
    </w:p>
    <w:p w14:paraId="2C6EBF3C" w14:textId="77777777" w:rsidR="001E7BFD" w:rsidRDefault="00B75432">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2FAB3D09" w14:textId="77777777" w:rsidR="001E7BFD" w:rsidRDefault="00B75432">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*La parte Recurrente manifestó expresamente tener claros los costos y su conformidad con las cantidades anteriores y con realizar el pago correspondiente para la entrega de la información. </w:t>
      </w:r>
    </w:p>
    <w:p w14:paraId="57514CBF" w14:textId="77777777" w:rsidR="001E7BFD" w:rsidRDefault="001E7BFD">
      <w:pPr>
        <w:spacing w:line="360" w:lineRule="auto"/>
        <w:ind w:left="567" w:right="539"/>
        <w:jc w:val="both"/>
        <w:rPr>
          <w:rFonts w:ascii="Palatino Linotype" w:eastAsia="Palatino Linotype" w:hAnsi="Palatino Linotype" w:cs="Palatino Linotype"/>
          <w:i/>
          <w:iCs/>
        </w:rPr>
      </w:pPr>
    </w:p>
    <w:p w14:paraId="64FA2A5B" w14:textId="77777777" w:rsidR="001E7BFD" w:rsidRDefault="00B75432">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*Ambas partes expresaron su conformidad con los costos y el pago previo. </w:t>
      </w:r>
    </w:p>
    <w:p w14:paraId="6C37BF45" w14:textId="77777777" w:rsidR="001E7BFD" w:rsidRDefault="001E7BFD">
      <w:pPr>
        <w:spacing w:line="360" w:lineRule="auto"/>
        <w:ind w:left="567" w:right="539"/>
        <w:jc w:val="both"/>
        <w:rPr>
          <w:rFonts w:ascii="Palatino Linotype" w:eastAsia="Palatino Linotype" w:hAnsi="Palatino Linotype" w:cs="Palatino Linotype"/>
          <w:i/>
          <w:iCs/>
        </w:rPr>
      </w:pPr>
    </w:p>
    <w:p w14:paraId="31B1AE95" w14:textId="77777777" w:rsidR="001E7BFD" w:rsidRDefault="00B75432">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*La parte Recurrente indicó que revisaría con la aseguradora sí la entrega de la documentación debía ser en copias simples y certificadas, por lo cual, señaló expresamente que asistiría el próximo jueves veinte de noviembre del año en curso, para realizar el pago y que se le entregue la información.  </w:t>
      </w:r>
    </w:p>
    <w:p w14:paraId="08834EFE" w14:textId="77777777" w:rsidR="001E7BFD" w:rsidRDefault="001E7BFD">
      <w:pPr>
        <w:spacing w:line="360" w:lineRule="auto"/>
        <w:ind w:left="567" w:right="539"/>
        <w:jc w:val="both"/>
        <w:rPr>
          <w:rFonts w:ascii="Palatino Linotype" w:eastAsia="Palatino Linotype" w:hAnsi="Palatino Linotype" w:cs="Palatino Linotype"/>
          <w:i/>
          <w:iCs/>
        </w:rPr>
      </w:pPr>
    </w:p>
    <w:p w14:paraId="307A16FA" w14:textId="77777777" w:rsidR="001E7BFD" w:rsidRDefault="00B75432">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i/>
          <w:iCs/>
        </w:rPr>
        <w:t>*Las partes acordaron que se realizaría la entrega de la información previo pago, por parte del ISSEMyM, a la Particular se comprometió a asistir a las oficinas del Sujeto Obligado y realizar el pago previo y recibir la documentación.</w:t>
      </w:r>
    </w:p>
    <w:p w14:paraId="56D05135" w14:textId="77777777" w:rsidR="001E7BFD" w:rsidRDefault="00B75432">
      <w:pPr>
        <w:spacing w:line="360" w:lineRule="auto"/>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i/>
          <w:iCs/>
        </w:rPr>
        <w:t>…”</w:t>
      </w:r>
    </w:p>
    <w:p w14:paraId="10C836AC" w14:textId="77777777" w:rsidR="001E7BFD" w:rsidRDefault="001E7BFD">
      <w:pPr>
        <w:spacing w:line="360" w:lineRule="auto"/>
        <w:jc w:val="both"/>
        <w:rPr>
          <w:rFonts w:ascii="Palatino Linotype" w:eastAsia="Palatino Linotype" w:hAnsi="Palatino Linotype" w:cs="Palatino Linotype"/>
          <w:b/>
          <w:bCs/>
          <w:sz w:val="22"/>
          <w:szCs w:val="22"/>
        </w:rPr>
      </w:pPr>
    </w:p>
    <w:p w14:paraId="6BE624D8" w14:textId="77777777" w:rsidR="001E7BFD" w:rsidRDefault="00B7543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Cumplimiento de las obligaciones contraídas en audiencia de conciliación</w:t>
      </w:r>
    </w:p>
    <w:p w14:paraId="772073CB"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Adicionalmente en fecha veintisiete de noviembre del año en curso el Sujeto Obligado remitió a través de SARCOEM, lo siguiente:</w:t>
      </w:r>
    </w:p>
    <w:p w14:paraId="33072038" w14:textId="77777777" w:rsidR="001E7BFD" w:rsidRDefault="001E7BFD">
      <w:pPr>
        <w:spacing w:line="360" w:lineRule="auto"/>
        <w:jc w:val="both"/>
        <w:rPr>
          <w:rFonts w:ascii="Palatino Linotype" w:eastAsia="Palatino Linotype" w:hAnsi="Palatino Linotype" w:cs="Palatino Linotype"/>
          <w:sz w:val="22"/>
          <w:szCs w:val="22"/>
        </w:rPr>
      </w:pPr>
    </w:p>
    <w:p w14:paraId="336BC65B" w14:textId="77777777" w:rsidR="001E7BFD" w:rsidRDefault="00B7543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Acuse de recibido de fecha 27 de noviembre de 2025, en el que la Recurrente manifiesta expresamente que recibió la información requerida, suscrito por la Recurrente y el Sujeto Obligado. </w:t>
      </w:r>
    </w:p>
    <w:p w14:paraId="48A56BDF" w14:textId="77777777" w:rsidR="001E7BFD" w:rsidRDefault="00B7543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Orden de Pago de entrega de la información con el sello de pagado. </w:t>
      </w:r>
    </w:p>
    <w:p w14:paraId="0D28298C" w14:textId="77777777" w:rsidR="001E7BFD" w:rsidRDefault="00B7543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Credencial para votar de la parte Recurrente emitida por el Instituto Nacional Electoral</w:t>
      </w:r>
    </w:p>
    <w:p w14:paraId="58CEAA0A" w14:textId="77777777" w:rsidR="001E7BFD" w:rsidRDefault="001E7BFD">
      <w:pPr>
        <w:spacing w:line="360" w:lineRule="auto"/>
        <w:jc w:val="both"/>
        <w:rPr>
          <w:rFonts w:ascii="Palatino Linotype" w:eastAsia="Palatino Linotype" w:hAnsi="Palatino Linotype" w:cs="Palatino Linotype"/>
          <w:b/>
          <w:bCs/>
          <w:sz w:val="22"/>
          <w:szCs w:val="22"/>
        </w:rPr>
      </w:pPr>
    </w:p>
    <w:p w14:paraId="0B5E14BB"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Corrección de correo electrónico de la Recurrente. </w:t>
      </w:r>
      <w:r>
        <w:rPr>
          <w:rFonts w:ascii="Palatino Linotype" w:eastAsia="Palatino Linotype" w:hAnsi="Palatino Linotype" w:cs="Palatino Linotype"/>
          <w:sz w:val="22"/>
          <w:szCs w:val="22"/>
        </w:rPr>
        <w:t>En fecha catorce de noviembre de dos mil veinticinco, mediante correo electrónico oficial de miembros de esta Ponencia; la Particular informó, lo siguiente:</w:t>
      </w:r>
    </w:p>
    <w:p w14:paraId="334E0E45" w14:textId="77777777" w:rsidR="001E7BFD" w:rsidRDefault="001E7BFD">
      <w:pPr>
        <w:spacing w:line="360" w:lineRule="auto"/>
        <w:jc w:val="both"/>
        <w:rPr>
          <w:rFonts w:ascii="Palatino Linotype" w:eastAsia="Palatino Linotype" w:hAnsi="Palatino Linotype" w:cs="Palatino Linotype"/>
          <w:sz w:val="22"/>
          <w:szCs w:val="22"/>
        </w:rPr>
      </w:pPr>
    </w:p>
    <w:p w14:paraId="548639B8" w14:textId="77777777" w:rsidR="001E7BFD" w:rsidRDefault="00B75432">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“Holaa buenas tardes solo para comentarle que se registro mal mi correo en el SARCOEM deseo recibir las notificaciones en este correo…”</w:t>
      </w:r>
    </w:p>
    <w:p w14:paraId="3C611AB7" w14:textId="77777777" w:rsidR="001E7BFD" w:rsidRDefault="001E7BFD">
      <w:pPr>
        <w:spacing w:line="360" w:lineRule="auto"/>
        <w:jc w:val="both"/>
        <w:rPr>
          <w:rFonts w:ascii="Palatino Linotype" w:eastAsia="Palatino Linotype" w:hAnsi="Palatino Linotype" w:cs="Palatino Linotype"/>
          <w:sz w:val="22"/>
          <w:szCs w:val="22"/>
        </w:rPr>
      </w:pPr>
    </w:p>
    <w:p w14:paraId="744AB445"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Aunado, a ello adjuntó la imagen de su credencial para votar emitida por el Instituto Nacional Electoral, la cual coincide con la que obra en el expediente digital en SARCOEM. </w:t>
      </w:r>
    </w:p>
    <w:p w14:paraId="70F2BA71" w14:textId="77777777" w:rsidR="001E7BFD" w:rsidRDefault="001E7BFD">
      <w:pPr>
        <w:spacing w:line="360" w:lineRule="auto"/>
        <w:jc w:val="both"/>
        <w:rPr>
          <w:rFonts w:ascii="Palatino Linotype" w:eastAsia="Palatino Linotype" w:hAnsi="Palatino Linotype" w:cs="Palatino Linotype"/>
          <w:b/>
          <w:bCs/>
          <w:sz w:val="22"/>
          <w:szCs w:val="22"/>
        </w:rPr>
      </w:pPr>
    </w:p>
    <w:p w14:paraId="2AE7792A"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f) Ampliación de plazo para resolver. </w:t>
      </w:r>
      <w:r>
        <w:rPr>
          <w:rFonts w:ascii="Palatino Linotype" w:eastAsia="Palatino Linotype" w:hAnsi="Palatino Linotype" w:cs="Palatino Linotype"/>
          <w:sz w:val="22"/>
          <w:szCs w:val="22"/>
        </w:rPr>
        <w:t>El dos de diciembre de dos mil veinticinco, el Comisionado Ponente, con fundamento en el artículo 133, de la Ley de Protección de Datos</w:t>
      </w:r>
    </w:p>
    <w:p w14:paraId="0D1FFA55" w14:textId="77777777" w:rsidR="001E7BFD" w:rsidRDefault="00B754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Personales en Posesión de Sujetos Obligados del Estado de México y Municipios, acordó ampliar por un periodo de veinte días hábiles, el plazo para resolver el Recurso de Revisión que nos ocupa; acto que fue notificado a las partes, mediante el SARCOEM y correo electrónico en la misma fecha.</w:t>
      </w:r>
    </w:p>
    <w:p w14:paraId="1ED33997" w14:textId="77777777" w:rsidR="001E7BFD" w:rsidRDefault="001E7BFD">
      <w:pPr>
        <w:spacing w:line="360" w:lineRule="auto"/>
        <w:jc w:val="both"/>
        <w:rPr>
          <w:rFonts w:ascii="Palatino Linotype" w:eastAsia="Palatino Linotype" w:hAnsi="Palatino Linotype" w:cs="Palatino Linotype"/>
          <w:b/>
          <w:bCs/>
          <w:sz w:val="22"/>
          <w:szCs w:val="22"/>
        </w:rPr>
      </w:pPr>
    </w:p>
    <w:p w14:paraId="28551DDD"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g) Cierre de instrucción. </w:t>
      </w:r>
      <w:r>
        <w:rPr>
          <w:rFonts w:ascii="Palatino Linotype" w:eastAsia="Palatino Linotype" w:hAnsi="Palatino Linotype" w:cs="Palatino Linotype"/>
          <w:sz w:val="22"/>
          <w:szCs w:val="22"/>
        </w:rPr>
        <w:t>En fecha dos de diciembre de dos mil veinticinco, se emitió y notificó vía SARCOEM y correo electrónico un acuerdo en el que se acordó procedente el nuevo correo electrónico de la Particular para recibir notificaciones; y que, al no existir diligencias pendientes por desahogar, se declaró cerrada la instrucción y se determinó pasar el expediente a resolución, en términos de lo dispuesto en los artículos 185, fracciones VI y VIII, de la Ley de Transparencia y Acceso a la Información Pública del Estado de México y Municipios en aplicación supletoria.</w:t>
      </w:r>
    </w:p>
    <w:p w14:paraId="6467701D" w14:textId="77777777" w:rsidR="001E7BFD" w:rsidRDefault="001E7BFD">
      <w:pPr>
        <w:spacing w:line="360" w:lineRule="auto"/>
        <w:jc w:val="both"/>
        <w:rPr>
          <w:rFonts w:ascii="Palatino Linotype" w:eastAsia="Palatino Linotype" w:hAnsi="Palatino Linotype" w:cs="Palatino Linotype"/>
          <w:sz w:val="22"/>
          <w:szCs w:val="22"/>
        </w:rPr>
      </w:pPr>
    </w:p>
    <w:p w14:paraId="6F44F7A7"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Debido a que fue debidamente sustanciado el expediente electrónico y no existir diligencia pendiente de desahogo, se emite la resolución que conforme a Derecho proceda, de acuerdo con los siguientes:</w:t>
      </w:r>
    </w:p>
    <w:p w14:paraId="43DDA9D2" w14:textId="77777777" w:rsidR="001E7BFD" w:rsidRDefault="001E7BFD">
      <w:pPr>
        <w:spacing w:line="360" w:lineRule="auto"/>
        <w:jc w:val="center"/>
        <w:rPr>
          <w:rFonts w:ascii="Palatino Linotype" w:eastAsia="Palatino Linotype" w:hAnsi="Palatino Linotype" w:cs="Palatino Linotype"/>
          <w:sz w:val="22"/>
          <w:szCs w:val="22"/>
        </w:rPr>
      </w:pPr>
    </w:p>
    <w:p w14:paraId="29C8A333" w14:textId="77777777" w:rsidR="001E7BFD" w:rsidRDefault="00B75432">
      <w:pPr>
        <w:pStyle w:val="Ttulo1"/>
        <w:spacing w:before="0" w:line="360" w:lineRule="auto"/>
        <w:jc w:val="center"/>
        <w:rPr>
          <w:rFonts w:ascii="Palatino Linotype" w:eastAsia="Palatino Linotype" w:hAnsi="Palatino Linotype" w:cs="Palatino Linotype"/>
          <w:b/>
          <w:bCs/>
          <w:color w:val="000000"/>
          <w:sz w:val="22"/>
          <w:szCs w:val="22"/>
        </w:rPr>
      </w:pPr>
      <w:bookmarkStart w:id="13" w:name="_heading=h.5vwjafdjhyip" w:colFirst="0" w:colLast="0"/>
      <w:bookmarkStart w:id="14" w:name="_Toc216361808"/>
      <w:bookmarkEnd w:id="13"/>
      <w:r>
        <w:rPr>
          <w:rFonts w:ascii="Palatino Linotype" w:eastAsia="Palatino Linotype" w:hAnsi="Palatino Linotype" w:cs="Palatino Linotype"/>
          <w:b/>
          <w:bCs/>
          <w:color w:val="000000"/>
          <w:sz w:val="22"/>
          <w:szCs w:val="22"/>
        </w:rPr>
        <w:t>C O N S I D E R A N D O S</w:t>
      </w:r>
      <w:bookmarkEnd w:id="14"/>
    </w:p>
    <w:p w14:paraId="1129A110" w14:textId="77777777" w:rsidR="001E7BFD" w:rsidRDefault="001E7BFD">
      <w:pPr>
        <w:spacing w:line="360" w:lineRule="auto"/>
        <w:jc w:val="both"/>
        <w:rPr>
          <w:rFonts w:ascii="Palatino Linotype" w:eastAsia="Palatino Linotype" w:hAnsi="Palatino Linotype" w:cs="Palatino Linotype"/>
          <w:b/>
          <w:bCs/>
          <w:sz w:val="22"/>
          <w:szCs w:val="22"/>
        </w:rPr>
      </w:pPr>
    </w:p>
    <w:p w14:paraId="0514ABDF" w14:textId="77777777" w:rsidR="001E7BFD" w:rsidRDefault="00B75432">
      <w:pPr>
        <w:pStyle w:val="Ttulo2"/>
        <w:spacing w:before="0" w:line="360" w:lineRule="auto"/>
        <w:rPr>
          <w:rFonts w:ascii="Palatino Linotype" w:eastAsia="Palatino Linotype" w:hAnsi="Palatino Linotype" w:cs="Palatino Linotype"/>
          <w:b/>
          <w:bCs/>
          <w:color w:val="000000"/>
          <w:sz w:val="22"/>
          <w:szCs w:val="22"/>
        </w:rPr>
      </w:pPr>
      <w:bookmarkStart w:id="15" w:name="_heading=h.lcj096xae2q" w:colFirst="0" w:colLast="0"/>
      <w:bookmarkStart w:id="16" w:name="_Toc216361809"/>
      <w:bookmarkEnd w:id="15"/>
      <w:r>
        <w:rPr>
          <w:rFonts w:ascii="Palatino Linotype" w:eastAsia="Palatino Linotype" w:hAnsi="Palatino Linotype" w:cs="Palatino Linotype"/>
          <w:b/>
          <w:bCs/>
          <w:color w:val="000000"/>
          <w:sz w:val="22"/>
          <w:szCs w:val="22"/>
        </w:rPr>
        <w:t>PRIMERO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Competencia</w:t>
      </w:r>
      <w:bookmarkEnd w:id="16"/>
    </w:p>
    <w:p w14:paraId="05124150" w14:textId="77777777" w:rsidR="001E7BFD" w:rsidRDefault="00B754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28604F7D" w14:textId="30ADC8AF"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sidR="00784BA2">
        <w:rPr>
          <w:rFonts w:ascii="Palatino Linotype" w:eastAsia="Palatino Linotype" w:hAnsi="Palatino Linotype" w:cs="Palatino Linotype"/>
          <w:sz w:val="22"/>
          <w:szCs w:val="22"/>
        </w:rPr>
        <w:t>cuarto</w:t>
      </w:r>
      <w:r>
        <w:rPr>
          <w:rFonts w:ascii="Palatino Linotype" w:eastAsia="Palatino Linotype" w:hAnsi="Palatino Linotype" w:cs="Palatino Linotype"/>
          <w:sz w:val="22"/>
          <w:szCs w:val="22"/>
        </w:rPr>
        <w:t xml:space="preserve">, cuadragésimo </w:t>
      </w:r>
      <w:r w:rsidR="00784BA2">
        <w:rPr>
          <w:rFonts w:ascii="Palatino Linotype" w:eastAsia="Palatino Linotype" w:hAnsi="Palatino Linotype" w:cs="Palatino Linotype"/>
          <w:sz w:val="22"/>
          <w:szCs w:val="22"/>
        </w:rPr>
        <w:t xml:space="preserve">quinto </w:t>
      </w:r>
      <w:r>
        <w:rPr>
          <w:rFonts w:ascii="Palatino Linotype" w:eastAsia="Palatino Linotype" w:hAnsi="Palatino Linotype" w:cs="Palatino Linotype"/>
          <w:sz w:val="22"/>
          <w:szCs w:val="22"/>
        </w:rPr>
        <w:t xml:space="preserve">y cuadragésimo </w:t>
      </w:r>
      <w:r w:rsidR="00784BA2">
        <w:rPr>
          <w:rFonts w:ascii="Palatino Linotype" w:eastAsia="Palatino Linotype" w:hAnsi="Palatino Linotype" w:cs="Palatino Linotype"/>
          <w:sz w:val="22"/>
          <w:szCs w:val="22"/>
        </w:rPr>
        <w:t>sexto</w:t>
      </w:r>
      <w:r>
        <w:rPr>
          <w:rFonts w:ascii="Palatino Linotype" w:eastAsia="Palatino Linotype" w:hAnsi="Palatino Linotype" w:cs="Palatino Linotype"/>
          <w:sz w:val="22"/>
          <w:szCs w:val="22"/>
        </w:rPr>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14:paraId="11D63572" w14:textId="77777777" w:rsidR="001E7BFD" w:rsidRDefault="001E7BFD">
      <w:pPr>
        <w:spacing w:line="360" w:lineRule="auto"/>
        <w:jc w:val="both"/>
        <w:rPr>
          <w:rFonts w:ascii="Palatino Linotype" w:eastAsia="Palatino Linotype" w:hAnsi="Palatino Linotype" w:cs="Palatino Linotype"/>
          <w:sz w:val="22"/>
          <w:szCs w:val="22"/>
        </w:rPr>
      </w:pPr>
    </w:p>
    <w:p w14:paraId="61CD1162" w14:textId="77777777" w:rsidR="001E7BFD" w:rsidRDefault="00B75432">
      <w:pPr>
        <w:pStyle w:val="Ttulo2"/>
        <w:spacing w:before="0" w:line="360" w:lineRule="auto"/>
        <w:rPr>
          <w:rFonts w:ascii="Palatino Linotype" w:eastAsia="Palatino Linotype" w:hAnsi="Palatino Linotype" w:cs="Palatino Linotype"/>
          <w:color w:val="000000"/>
          <w:sz w:val="22"/>
          <w:szCs w:val="22"/>
        </w:rPr>
      </w:pPr>
      <w:bookmarkStart w:id="17" w:name="_heading=h.h2m2vrx925kb" w:colFirst="0" w:colLast="0"/>
      <w:bookmarkStart w:id="18" w:name="_Toc216361810"/>
      <w:bookmarkEnd w:id="17"/>
      <w:r>
        <w:rPr>
          <w:rFonts w:ascii="Palatino Linotype" w:eastAsia="Palatino Linotype" w:hAnsi="Palatino Linotype" w:cs="Palatino Linotype"/>
          <w:b/>
          <w:bCs/>
          <w:color w:val="000000"/>
          <w:sz w:val="22"/>
          <w:szCs w:val="22"/>
        </w:rPr>
        <w:t>SEGUNDO. Causales de improcedencia y sobreseimiento</w:t>
      </w:r>
      <w:bookmarkEnd w:id="18"/>
    </w:p>
    <w:p w14:paraId="1320B492" w14:textId="77777777" w:rsidR="001E7BFD" w:rsidRDefault="001E7BFD">
      <w:pPr>
        <w:spacing w:line="360" w:lineRule="auto"/>
        <w:jc w:val="both"/>
        <w:rPr>
          <w:rFonts w:ascii="Palatino Linotype" w:eastAsia="Palatino Linotype" w:hAnsi="Palatino Linotype" w:cs="Palatino Linotype"/>
          <w:sz w:val="22"/>
          <w:szCs w:val="22"/>
        </w:rPr>
      </w:pPr>
    </w:p>
    <w:p w14:paraId="68BC01F4"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w:t>
      </w:r>
      <w:r>
        <w:rPr>
          <w:rFonts w:ascii="Palatino Linotype" w:eastAsia="Palatino Linotype" w:hAnsi="Palatino Linotype" w:cs="Palatino Linotype"/>
          <w:sz w:val="22"/>
          <w:szCs w:val="22"/>
        </w:rPr>
        <w:lastRenderedPageBreak/>
        <w:t>(acorde con el Criterio orientador en la Tesis de Jurisprudencia número 940, pág. 1538, segunda parte del Apéndice del Semanario Judicial de la Federación 1917-1988.).</w:t>
      </w:r>
    </w:p>
    <w:p w14:paraId="0FA3E155" w14:textId="77777777" w:rsidR="001E7BFD" w:rsidRDefault="001E7BFD">
      <w:pPr>
        <w:spacing w:line="360" w:lineRule="auto"/>
        <w:jc w:val="both"/>
        <w:rPr>
          <w:rFonts w:ascii="Palatino Linotype" w:eastAsia="Palatino Linotype" w:hAnsi="Palatino Linotype" w:cs="Palatino Linotype"/>
          <w:sz w:val="22"/>
          <w:szCs w:val="22"/>
        </w:rPr>
      </w:pPr>
    </w:p>
    <w:p w14:paraId="1D083EBE" w14:textId="77777777" w:rsidR="001E7BFD" w:rsidRDefault="00B7543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Causales de improcedencia</w:t>
      </w:r>
    </w:p>
    <w:p w14:paraId="605BAFBA" w14:textId="77777777" w:rsidR="001E7BFD" w:rsidRDefault="001E7BFD">
      <w:pPr>
        <w:spacing w:line="360" w:lineRule="auto"/>
        <w:jc w:val="both"/>
        <w:rPr>
          <w:rFonts w:ascii="Palatino Linotype" w:eastAsia="Palatino Linotype" w:hAnsi="Palatino Linotype" w:cs="Palatino Linotype"/>
          <w:sz w:val="22"/>
          <w:szCs w:val="22"/>
        </w:rPr>
      </w:pPr>
    </w:p>
    <w:p w14:paraId="38714EF5"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la persona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fracción III de la Ley en cita; no se tiene conocimiento que ante Tribunales competentes se esté tramitando algún recurso o medio de defensa en contra del acto recurrido ante este Instituto; la persona Particular no modificó ni amplió su solicitud de acceso a datos personales y; finalmente la parte Recurrente acreditó el interés jurídico para efectos de interponer el medio de impugnación que nos ocupa.</w:t>
      </w:r>
    </w:p>
    <w:p w14:paraId="6DEEE56B" w14:textId="77777777" w:rsidR="001E7BFD" w:rsidRDefault="001E7BFD">
      <w:pPr>
        <w:spacing w:line="360" w:lineRule="auto"/>
        <w:jc w:val="both"/>
        <w:rPr>
          <w:rFonts w:ascii="Palatino Linotype" w:eastAsia="Palatino Linotype" w:hAnsi="Palatino Linotype" w:cs="Palatino Linotype"/>
          <w:sz w:val="22"/>
          <w:szCs w:val="22"/>
        </w:rPr>
      </w:pPr>
    </w:p>
    <w:p w14:paraId="00E4209A" w14:textId="77777777" w:rsidR="001E7BFD" w:rsidRDefault="00B7543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Causales de sobreseimiento</w:t>
      </w:r>
    </w:p>
    <w:p w14:paraId="4AC3689F" w14:textId="77777777" w:rsidR="001E7BFD" w:rsidRDefault="001E7BFD">
      <w:pPr>
        <w:spacing w:line="360" w:lineRule="auto"/>
        <w:jc w:val="both"/>
        <w:rPr>
          <w:rFonts w:ascii="Palatino Linotype" w:eastAsia="Palatino Linotype" w:hAnsi="Palatino Linotype" w:cs="Palatino Linotype"/>
          <w:sz w:val="22"/>
          <w:szCs w:val="22"/>
        </w:rPr>
      </w:pPr>
    </w:p>
    <w:p w14:paraId="459169D7"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el artículo 139, de la Ley de Protección de Datos Personales en Posesión de Sujetos Obligados del Estado de México y Municipios, señala que el Recurso de Revisión será sobreseído cuando una vez admitido, se actualice algún de los supuestos siguientes:</w:t>
      </w:r>
    </w:p>
    <w:p w14:paraId="76962662" w14:textId="77777777" w:rsidR="001E7BFD" w:rsidRDefault="001E7BFD">
      <w:pPr>
        <w:spacing w:line="360" w:lineRule="auto"/>
        <w:jc w:val="both"/>
        <w:rPr>
          <w:rFonts w:ascii="Palatino Linotype" w:eastAsia="Palatino Linotype" w:hAnsi="Palatino Linotype" w:cs="Palatino Linotype"/>
          <w:sz w:val="22"/>
          <w:szCs w:val="22"/>
        </w:rPr>
      </w:pPr>
    </w:p>
    <w:p w14:paraId="794B702A" w14:textId="77777777" w:rsidR="001E7BFD" w:rsidRDefault="00B75432">
      <w:pPr>
        <w:spacing w:line="360" w:lineRule="auto"/>
        <w:ind w:left="720" w:right="539"/>
        <w:jc w:val="both"/>
        <w:rPr>
          <w:rFonts w:ascii="Palatino Linotype" w:eastAsia="Palatino Linotype" w:hAnsi="Palatino Linotype" w:cs="Palatino Linotype"/>
          <w:i/>
          <w:iCs/>
        </w:rPr>
      </w:pPr>
      <w:r>
        <w:rPr>
          <w:rFonts w:ascii="Palatino Linotype" w:eastAsia="Palatino Linotype" w:hAnsi="Palatino Linotype" w:cs="Palatino Linotype"/>
          <w:i/>
          <w:iCs/>
        </w:rPr>
        <w:t>“I. El recurrente se desista expresamente.</w:t>
      </w:r>
    </w:p>
    <w:p w14:paraId="5E1AF11E" w14:textId="77777777" w:rsidR="001E7BFD" w:rsidRDefault="00B75432">
      <w:pPr>
        <w:spacing w:line="360" w:lineRule="auto"/>
        <w:ind w:left="720" w:right="539"/>
        <w:jc w:val="both"/>
        <w:rPr>
          <w:rFonts w:ascii="Palatino Linotype" w:eastAsia="Palatino Linotype" w:hAnsi="Palatino Linotype" w:cs="Palatino Linotype"/>
          <w:i/>
          <w:iCs/>
        </w:rPr>
      </w:pPr>
      <w:r>
        <w:rPr>
          <w:rFonts w:ascii="Palatino Linotype" w:eastAsia="Palatino Linotype" w:hAnsi="Palatino Linotype" w:cs="Palatino Linotype"/>
          <w:i/>
          <w:iCs/>
        </w:rPr>
        <w:t>II. El recurrente fallezca.</w:t>
      </w:r>
    </w:p>
    <w:p w14:paraId="4AA10176" w14:textId="77777777" w:rsidR="001E7BFD" w:rsidRDefault="00B75432">
      <w:pPr>
        <w:spacing w:line="360" w:lineRule="auto"/>
        <w:ind w:left="720" w:right="53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III. Admitido el recurso de revisión, se actualice alguna causal de improcedencia en los términos de la presente Ley.</w:t>
      </w:r>
    </w:p>
    <w:p w14:paraId="1DC1E57C" w14:textId="77777777" w:rsidR="001E7BFD" w:rsidRDefault="00B75432">
      <w:pPr>
        <w:spacing w:line="360" w:lineRule="auto"/>
        <w:ind w:left="720"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IV. El responsable modifique o revoque su respuesta de tal manera que el recurso de revisión quede sin materia.</w:t>
      </w:r>
    </w:p>
    <w:p w14:paraId="328D82D1" w14:textId="77777777" w:rsidR="001E7BFD" w:rsidRDefault="00B75432">
      <w:pPr>
        <w:spacing w:line="360" w:lineRule="auto"/>
        <w:ind w:left="720" w:right="539"/>
        <w:jc w:val="both"/>
        <w:rPr>
          <w:rFonts w:ascii="Palatino Linotype" w:eastAsia="Palatino Linotype" w:hAnsi="Palatino Linotype" w:cs="Palatino Linotype"/>
        </w:rPr>
      </w:pPr>
      <w:bookmarkStart w:id="19" w:name="_heading=h.oxljtc4a59t4" w:colFirst="0" w:colLast="0"/>
      <w:bookmarkEnd w:id="19"/>
      <w:r>
        <w:rPr>
          <w:rFonts w:ascii="Palatino Linotype" w:eastAsia="Palatino Linotype" w:hAnsi="Palatino Linotype" w:cs="Palatino Linotype"/>
          <w:i/>
          <w:iCs/>
        </w:rPr>
        <w:t>V. Quede sin materia el recurso de revisión</w:t>
      </w:r>
      <w:r>
        <w:rPr>
          <w:rFonts w:ascii="Palatino Linotype" w:eastAsia="Palatino Linotype" w:hAnsi="Palatino Linotype" w:cs="Palatino Linotype"/>
        </w:rPr>
        <w:t>.”</w:t>
      </w:r>
    </w:p>
    <w:p w14:paraId="79E04B50" w14:textId="77777777" w:rsidR="001E7BFD" w:rsidRDefault="001E7BFD">
      <w:pPr>
        <w:spacing w:line="360" w:lineRule="auto"/>
        <w:ind w:left="720" w:right="539"/>
        <w:jc w:val="both"/>
        <w:rPr>
          <w:rFonts w:ascii="Palatino Linotype" w:eastAsia="Palatino Linotype" w:hAnsi="Palatino Linotype" w:cs="Palatino Linotype"/>
          <w:sz w:val="22"/>
          <w:szCs w:val="22"/>
        </w:rPr>
      </w:pPr>
    </w:p>
    <w:p w14:paraId="2CB62F87"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atención a lo anterior, se procede al desahogo del análisis del sobreseimiento en atención a la actualización del supuesto previsto en la fracción IV del artículo 139, de la Ley de Protección de Datos Personales en Posesión de Sujetos Obligados del Estado de México y Municipios, en razón de que el responsable modifique o revoque su respuesta de tal manera que el recurso de revisión quede sin materia.</w:t>
      </w:r>
    </w:p>
    <w:p w14:paraId="644A246F" w14:textId="77777777" w:rsidR="001E7BFD" w:rsidRDefault="001E7BFD">
      <w:pPr>
        <w:spacing w:line="360" w:lineRule="auto"/>
        <w:jc w:val="both"/>
        <w:rPr>
          <w:rFonts w:ascii="Palatino Linotype" w:eastAsia="Palatino Linotype" w:hAnsi="Palatino Linotype" w:cs="Palatino Linotype"/>
          <w:sz w:val="22"/>
          <w:szCs w:val="22"/>
        </w:rPr>
      </w:pPr>
    </w:p>
    <w:p w14:paraId="0B64A0BA"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asunto; el Sujeto Obligado, no negó la información, sino que requirió a la Particular, el documento que acredite la disposición testamentaria del ejercicio de derechos ARCO, conforme se contempla en el artículo 106 de la Ley de Protección de Datos Personales en Posesión de Sujetos Obligados del Estado de México y Municipios.</w:t>
      </w:r>
    </w:p>
    <w:p w14:paraId="2E76B05A" w14:textId="77777777" w:rsidR="001E7BFD" w:rsidRDefault="001E7BFD">
      <w:pPr>
        <w:spacing w:line="360" w:lineRule="auto"/>
        <w:jc w:val="both"/>
        <w:rPr>
          <w:rFonts w:ascii="Palatino Linotype" w:eastAsia="Palatino Linotype" w:hAnsi="Palatino Linotype" w:cs="Palatino Linotype"/>
          <w:b/>
          <w:bCs/>
          <w:sz w:val="22"/>
          <w:szCs w:val="22"/>
        </w:rPr>
      </w:pPr>
    </w:p>
    <w:p w14:paraId="1A5829B1"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Particular se inconformó de la negativa a obtener la información, por lo que, este Organismo Garante, citó a las partes a comparecer a audiencia de conciliación, quienes aceptaron someterse a dicho procedimiento. </w:t>
      </w:r>
    </w:p>
    <w:p w14:paraId="4344193B" w14:textId="77777777" w:rsidR="001E7BFD" w:rsidRDefault="001E7BFD">
      <w:pPr>
        <w:spacing w:line="360" w:lineRule="auto"/>
        <w:jc w:val="both"/>
        <w:rPr>
          <w:rFonts w:ascii="Palatino Linotype" w:eastAsia="Palatino Linotype" w:hAnsi="Palatino Linotype" w:cs="Palatino Linotype"/>
          <w:sz w:val="22"/>
          <w:szCs w:val="22"/>
        </w:rPr>
      </w:pPr>
    </w:p>
    <w:p w14:paraId="2688D389"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partes, acudieron a la audiencia de conciliación; el Sujeto Obligado, acordó poner a disposición de la Particular la información, quién, se comprometió a acudir a recoger la información en las oficinas de la Unidad de Transparencia del Sujeto Obligado.</w:t>
      </w:r>
    </w:p>
    <w:p w14:paraId="6A280635" w14:textId="77777777" w:rsidR="001E7BFD" w:rsidRDefault="001E7BFD">
      <w:pPr>
        <w:spacing w:line="360" w:lineRule="auto"/>
        <w:jc w:val="both"/>
        <w:rPr>
          <w:rFonts w:ascii="Palatino Linotype" w:eastAsia="Palatino Linotype" w:hAnsi="Palatino Linotype" w:cs="Palatino Linotype"/>
          <w:sz w:val="22"/>
          <w:szCs w:val="22"/>
        </w:rPr>
      </w:pPr>
    </w:p>
    <w:p w14:paraId="1C831E7C"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Es así, que a través de la información entregada en la etapa de conciliación, en cumplimiento a los acuerdos adoptados en la audiencia, el Sujeto Obligado, modificó su respuesta y acreditó que entregó la información de tal manera, que dejó sin materia el presente medio de impugnación, por lo que se actualiza lo contemplado en los artículos 131, párrafo segundo, 132, fracción V y VI y 139, fracción IV, todos de la Ley de Protección de Datos Personales en Posesión de Sujetos Obligados del Estado de México y Municipios, por lo que se sobresee el presente medio de impugnación.</w:t>
      </w:r>
    </w:p>
    <w:p w14:paraId="6D353EDB" w14:textId="77777777" w:rsidR="001E7BFD" w:rsidRDefault="001E7BFD">
      <w:pPr>
        <w:spacing w:line="360" w:lineRule="auto"/>
        <w:jc w:val="both"/>
        <w:rPr>
          <w:rFonts w:ascii="Palatino Linotype" w:eastAsia="Palatino Linotype" w:hAnsi="Palatino Linotype" w:cs="Palatino Linotype"/>
          <w:sz w:val="22"/>
          <w:szCs w:val="22"/>
        </w:rPr>
      </w:pPr>
    </w:p>
    <w:p w14:paraId="2EB94029" w14:textId="77777777" w:rsidR="001E7BFD" w:rsidRDefault="00B75432">
      <w:pPr>
        <w:pStyle w:val="Ttulo2"/>
        <w:spacing w:before="0" w:line="360" w:lineRule="auto"/>
        <w:rPr>
          <w:rFonts w:ascii="Palatino Linotype" w:eastAsia="Palatino Linotype" w:hAnsi="Palatino Linotype" w:cs="Palatino Linotype"/>
          <w:b/>
          <w:bCs/>
          <w:color w:val="000000"/>
          <w:sz w:val="22"/>
          <w:szCs w:val="22"/>
        </w:rPr>
      </w:pPr>
      <w:bookmarkStart w:id="20" w:name="_heading=h.6vbyf3ypfi1n" w:colFirst="0" w:colLast="0"/>
      <w:bookmarkStart w:id="21" w:name="_Toc216361811"/>
      <w:bookmarkEnd w:id="20"/>
      <w:r>
        <w:rPr>
          <w:rFonts w:ascii="Palatino Linotype" w:eastAsia="Palatino Linotype" w:hAnsi="Palatino Linotype" w:cs="Palatino Linotype"/>
          <w:b/>
          <w:bCs/>
          <w:color w:val="000000"/>
          <w:sz w:val="22"/>
          <w:szCs w:val="22"/>
        </w:rPr>
        <w:t>TERCERO. Decisión</w:t>
      </w:r>
      <w:bookmarkEnd w:id="21"/>
    </w:p>
    <w:p w14:paraId="13DF2E41" w14:textId="77777777" w:rsidR="001E7BFD" w:rsidRDefault="001E7BFD">
      <w:pPr>
        <w:spacing w:line="360" w:lineRule="auto"/>
        <w:jc w:val="both"/>
        <w:rPr>
          <w:rFonts w:ascii="Palatino Linotype" w:eastAsia="Palatino Linotype" w:hAnsi="Palatino Linotype" w:cs="Palatino Linotype"/>
          <w:b/>
          <w:bCs/>
          <w:sz w:val="22"/>
          <w:szCs w:val="22"/>
        </w:rPr>
      </w:pPr>
    </w:p>
    <w:p w14:paraId="73FE206B"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conformidad con los artículos 131, párrafo segundo, 132, fracción V y VI y 139, fracción IV, de la Ley de Protección de Datos Personales en Posesión de Sujetos Obligados del Estado de México y Municipios, este Pleno determina el </w:t>
      </w:r>
      <w:r>
        <w:rPr>
          <w:rFonts w:ascii="Palatino Linotype" w:eastAsia="Palatino Linotype" w:hAnsi="Palatino Linotype" w:cs="Palatino Linotype"/>
          <w:b/>
          <w:bCs/>
          <w:sz w:val="22"/>
          <w:szCs w:val="22"/>
        </w:rPr>
        <w:t xml:space="preserve">SOBRESEIMIENTO </w:t>
      </w:r>
      <w:r>
        <w:rPr>
          <w:rFonts w:ascii="Palatino Linotype" w:eastAsia="Palatino Linotype" w:hAnsi="Palatino Linotype" w:cs="Palatino Linotype"/>
          <w:sz w:val="22"/>
          <w:szCs w:val="22"/>
        </w:rPr>
        <w:t>del presente Recurso de Revisión, toda vez que se dio cumplimiento al acuerdo adoptado en la audiencia de conciliación.</w:t>
      </w:r>
    </w:p>
    <w:p w14:paraId="772E9A89" w14:textId="77777777" w:rsidR="001E7BFD" w:rsidRDefault="001E7BFD">
      <w:pPr>
        <w:spacing w:line="360" w:lineRule="auto"/>
        <w:jc w:val="both"/>
        <w:rPr>
          <w:rFonts w:ascii="Palatino Linotype" w:eastAsia="Palatino Linotype" w:hAnsi="Palatino Linotype" w:cs="Palatino Linotype"/>
          <w:sz w:val="22"/>
          <w:szCs w:val="22"/>
        </w:rPr>
      </w:pPr>
    </w:p>
    <w:p w14:paraId="51EB68BD"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u w:val="single"/>
        </w:rPr>
        <w:t>Términos de la Resolución para conocimiento de la parte Recurrente.</w:t>
      </w:r>
    </w:p>
    <w:p w14:paraId="4F1DF4F3" w14:textId="77777777" w:rsidR="001E7BFD" w:rsidRDefault="001E7BFD">
      <w:pPr>
        <w:spacing w:line="360" w:lineRule="auto"/>
        <w:jc w:val="both"/>
        <w:rPr>
          <w:rFonts w:ascii="Palatino Linotype" w:eastAsia="Palatino Linotype" w:hAnsi="Palatino Linotype" w:cs="Palatino Linotype"/>
          <w:sz w:val="22"/>
          <w:szCs w:val="22"/>
        </w:rPr>
      </w:pPr>
    </w:p>
    <w:p w14:paraId="4B4AE365" w14:textId="77777777" w:rsidR="001E7BFD" w:rsidRDefault="00B75432">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u w:val="single"/>
        </w:rPr>
        <w:t xml:space="preserve">Este Instituto, verificó el cumplimiento de las obligaciones contraídas en la audiencia de conciliación, que se acreditó a través del documento remitido por la Unidad de Transparencia del Sujeto Obligado, en el que se advierte que la Particular recibió de forma satisfactoria la información solicitada, la cual se entregó de forma personal y previa acreditación de la identidad.  </w:t>
      </w:r>
    </w:p>
    <w:p w14:paraId="130280B9" w14:textId="77777777" w:rsidR="001E7BFD" w:rsidRDefault="001E7BFD">
      <w:pPr>
        <w:spacing w:line="360" w:lineRule="auto"/>
        <w:jc w:val="both"/>
        <w:rPr>
          <w:rFonts w:ascii="Palatino Linotype" w:eastAsia="Palatino Linotype" w:hAnsi="Palatino Linotype" w:cs="Palatino Linotype"/>
          <w:sz w:val="22"/>
          <w:szCs w:val="22"/>
          <w:u w:val="single"/>
        </w:rPr>
      </w:pPr>
    </w:p>
    <w:p w14:paraId="6210E351" w14:textId="77777777" w:rsidR="001E7BFD" w:rsidRDefault="00B75432">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u w:val="single"/>
        </w:rPr>
        <w:lastRenderedPageBreak/>
        <w:t>La labor del INFOEM, es apoyar a la población para acceder a la información pública y garantizar la protección y el acceso de sus datos personales.</w:t>
      </w:r>
    </w:p>
    <w:p w14:paraId="3CED776A" w14:textId="77777777" w:rsidR="001E7BFD" w:rsidRDefault="001E7BFD">
      <w:pPr>
        <w:spacing w:line="360" w:lineRule="auto"/>
        <w:jc w:val="both"/>
        <w:rPr>
          <w:rFonts w:ascii="Palatino Linotype" w:eastAsia="Palatino Linotype" w:hAnsi="Palatino Linotype" w:cs="Palatino Linotype"/>
          <w:sz w:val="22"/>
          <w:szCs w:val="22"/>
          <w:u w:val="single"/>
        </w:rPr>
      </w:pPr>
    </w:p>
    <w:p w14:paraId="7D0AE0F1" w14:textId="77777777" w:rsidR="001E7BFD" w:rsidRDefault="00B7543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256469AD" w14:textId="77777777" w:rsidR="001E7BFD" w:rsidRDefault="001E7BFD">
      <w:pPr>
        <w:tabs>
          <w:tab w:val="left" w:pos="1470"/>
        </w:tabs>
        <w:spacing w:line="360" w:lineRule="auto"/>
        <w:ind w:right="-28"/>
        <w:jc w:val="both"/>
        <w:rPr>
          <w:rFonts w:ascii="Palatino Linotype" w:eastAsia="Palatino Linotype" w:hAnsi="Palatino Linotype" w:cs="Palatino Linotype"/>
          <w:sz w:val="22"/>
          <w:szCs w:val="22"/>
        </w:rPr>
      </w:pPr>
    </w:p>
    <w:p w14:paraId="1836C986" w14:textId="77777777" w:rsidR="001E7BFD" w:rsidRDefault="00B75432">
      <w:pPr>
        <w:pStyle w:val="Ttulo1"/>
        <w:spacing w:before="0" w:line="360" w:lineRule="auto"/>
        <w:jc w:val="center"/>
        <w:rPr>
          <w:rFonts w:ascii="Palatino Linotype" w:eastAsia="Palatino Linotype" w:hAnsi="Palatino Linotype" w:cs="Palatino Linotype"/>
          <w:b/>
          <w:bCs/>
          <w:color w:val="000000"/>
          <w:sz w:val="22"/>
          <w:szCs w:val="22"/>
        </w:rPr>
      </w:pPr>
      <w:bookmarkStart w:id="22" w:name="_heading=h.h6aq8jr91uf2" w:colFirst="0" w:colLast="0"/>
      <w:bookmarkStart w:id="23" w:name="_Toc216361812"/>
      <w:bookmarkEnd w:id="22"/>
      <w:r>
        <w:rPr>
          <w:rFonts w:ascii="Palatino Linotype" w:eastAsia="Palatino Linotype" w:hAnsi="Palatino Linotype" w:cs="Palatino Linotype"/>
          <w:b/>
          <w:bCs/>
          <w:color w:val="000000"/>
          <w:sz w:val="22"/>
          <w:szCs w:val="22"/>
        </w:rPr>
        <w:t>R E S U E L V E</w:t>
      </w:r>
      <w:bookmarkEnd w:id="23"/>
    </w:p>
    <w:p w14:paraId="08DDCB96" w14:textId="77777777" w:rsidR="001E7BFD" w:rsidRDefault="001E7BFD">
      <w:pPr>
        <w:spacing w:line="360" w:lineRule="auto"/>
        <w:jc w:val="both"/>
        <w:rPr>
          <w:rFonts w:ascii="Palatino Linotype" w:eastAsia="Palatino Linotype" w:hAnsi="Palatino Linotype" w:cs="Palatino Linotype"/>
          <w:b/>
          <w:bCs/>
          <w:sz w:val="22"/>
          <w:szCs w:val="22"/>
        </w:rPr>
      </w:pPr>
    </w:p>
    <w:p w14:paraId="3FD7EBEB" w14:textId="77777777" w:rsidR="001E7BFD" w:rsidRDefault="00B754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PRIMERO. S</w:t>
      </w:r>
      <w:r>
        <w:rPr>
          <w:rFonts w:ascii="Palatino Linotype" w:eastAsia="Palatino Linotype" w:hAnsi="Palatino Linotype" w:cs="Palatino Linotype"/>
          <w:sz w:val="22"/>
          <w:szCs w:val="22"/>
        </w:rPr>
        <w:t xml:space="preserve">e </w:t>
      </w:r>
      <w:r>
        <w:rPr>
          <w:rFonts w:ascii="Palatino Linotype" w:eastAsia="Palatino Linotype" w:hAnsi="Palatino Linotype" w:cs="Palatino Linotype"/>
          <w:b/>
          <w:bCs/>
          <w:sz w:val="22"/>
          <w:szCs w:val="22"/>
        </w:rPr>
        <w:t>SOBRESEE</w:t>
      </w:r>
      <w:r>
        <w:rPr>
          <w:rFonts w:ascii="Palatino Linotype" w:eastAsia="Palatino Linotype" w:hAnsi="Palatino Linotype" w:cs="Palatino Linotype"/>
          <w:sz w:val="22"/>
          <w:szCs w:val="22"/>
        </w:rPr>
        <w:t xml:space="preserve"> el Recurso de Revisión </w:t>
      </w:r>
      <w:r>
        <w:rPr>
          <w:rFonts w:ascii="Palatino Linotype" w:eastAsia="Palatino Linotype" w:hAnsi="Palatino Linotype" w:cs="Palatino Linotype"/>
          <w:b/>
          <w:bCs/>
          <w:sz w:val="22"/>
          <w:szCs w:val="22"/>
        </w:rPr>
        <w:t>10481/INFOEM/AD/RR/2025</w:t>
      </w:r>
      <w:r>
        <w:rPr>
          <w:rFonts w:ascii="Palatino Linotype" w:eastAsia="Palatino Linotype" w:hAnsi="Palatino Linotype" w:cs="Palatino Linotype"/>
          <w:sz w:val="22"/>
          <w:szCs w:val="22"/>
        </w:rPr>
        <w:t xml:space="preserve">, toda vez que el Sujeto Obligado, modificó su respuesta a través del cumplimiento al acuerdo adoptado en la audiencia de conciliación, en términos de los artículos 131, párrafo segundo, 132, fracción V y VI y 139, fracción IV de la Ley de Protección de Datos Personales en Posesión de Sujetos Obligados del Estado de México y Municipios, de conformidad con los Considerandos TERCERO y CUARTO de la presente Resolución. </w:t>
      </w:r>
    </w:p>
    <w:p w14:paraId="59827993" w14:textId="77777777" w:rsidR="001E7BFD" w:rsidRDefault="001E7BFD">
      <w:pPr>
        <w:spacing w:line="360" w:lineRule="auto"/>
        <w:jc w:val="both"/>
        <w:rPr>
          <w:rFonts w:ascii="Palatino Linotype" w:eastAsia="Palatino Linotype" w:hAnsi="Palatino Linotype" w:cs="Palatino Linotype"/>
          <w:b/>
          <w:bCs/>
          <w:sz w:val="22"/>
          <w:szCs w:val="22"/>
        </w:rPr>
      </w:pPr>
    </w:p>
    <w:p w14:paraId="7D7EE91F" w14:textId="77777777" w:rsidR="001E7BFD" w:rsidRDefault="00B75432">
      <w:pPr>
        <w:spacing w:line="360" w:lineRule="auto"/>
        <w:ind w:right="-2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SEGUNDO. NOTIFÍQUESE POR SARCOEM </w:t>
      </w:r>
      <w:r>
        <w:rPr>
          <w:rFonts w:ascii="Palatino Linotype" w:eastAsia="Palatino Linotype" w:hAnsi="Palatino Linotype" w:cs="Palatino Linotype"/>
          <w:color w:val="000000"/>
          <w:sz w:val="22"/>
          <w:szCs w:val="22"/>
        </w:rPr>
        <w:t>la presente resolución al Titular de la Unidad de Transparencia del Sujeto Obligado.</w:t>
      </w:r>
    </w:p>
    <w:p w14:paraId="08C2399C" w14:textId="77777777" w:rsidR="001E7BFD" w:rsidRDefault="001E7BFD">
      <w:pPr>
        <w:spacing w:line="360" w:lineRule="auto"/>
        <w:jc w:val="both"/>
        <w:rPr>
          <w:rFonts w:ascii="Palatino Linotype" w:eastAsia="Palatino Linotype" w:hAnsi="Palatino Linotype" w:cs="Palatino Linotype"/>
          <w:color w:val="000000"/>
          <w:sz w:val="22"/>
          <w:szCs w:val="22"/>
        </w:rPr>
      </w:pPr>
    </w:p>
    <w:p w14:paraId="1E28C601" w14:textId="77777777" w:rsidR="001E7BFD" w:rsidRDefault="00B7543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TERCERO. NOTIFÍQUESE POR SARCOEM Y POR CORREO </w:t>
      </w:r>
      <w:r>
        <w:rPr>
          <w:rFonts w:ascii="Palatino Linotype" w:eastAsia="Palatino Linotype" w:hAnsi="Palatino Linotype" w:cs="Palatino Linotype"/>
          <w:b/>
          <w:bCs/>
          <w:sz w:val="22"/>
          <w:szCs w:val="22"/>
        </w:rPr>
        <w:t>ELECTRÓNICO</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sz w:val="22"/>
          <w:szCs w:val="22"/>
        </w:rPr>
        <w:t xml:space="preserve">a </w:t>
      </w:r>
      <w:r>
        <w:rPr>
          <w:rFonts w:ascii="Palatino Linotype" w:eastAsia="Palatino Linotype" w:hAnsi="Palatino Linotype" w:cs="Palatino Linotype"/>
          <w:color w:val="000000"/>
          <w:sz w:val="22"/>
          <w:szCs w:val="22"/>
        </w:rPr>
        <w:t xml:space="preserve">la persona </w:t>
      </w:r>
      <w:r>
        <w:rPr>
          <w:rFonts w:ascii="Palatino Linotype" w:eastAsia="Palatino Linotype" w:hAnsi="Palatino Linotype" w:cs="Palatino Linotype"/>
          <w:sz w:val="22"/>
          <w:szCs w:val="22"/>
        </w:rPr>
        <w:t>Recurrente la presente Resolución, asimismo, se hace de su conocimiento que de conformidad con lo establecido en el artículo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142 de la Ley de Protección de Datos Personales en Posesión de Sujetos Obligados del Estado de México y Municipios podrá promover el Juicio de Amparo en los términos de las leyes aplicables. </w:t>
      </w:r>
    </w:p>
    <w:p w14:paraId="1D40CDE9" w14:textId="77777777" w:rsidR="001E7BFD" w:rsidRDefault="001E7BFD">
      <w:pPr>
        <w:spacing w:line="360" w:lineRule="auto"/>
        <w:jc w:val="both"/>
        <w:rPr>
          <w:rFonts w:ascii="Palatino Linotype" w:eastAsia="Palatino Linotype" w:hAnsi="Palatino Linotype" w:cs="Palatino Linotype"/>
          <w:sz w:val="22"/>
          <w:szCs w:val="22"/>
        </w:rPr>
      </w:pPr>
    </w:p>
    <w:p w14:paraId="5A282A4D" w14:textId="77777777" w:rsidR="001E7BFD" w:rsidRDefault="00B75432">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w:t>
      </w:r>
      <w:r>
        <w:rPr>
          <w:rFonts w:ascii="Palatino Linotype" w:eastAsia="Palatino Linotype" w:hAnsi="Palatino Linotype" w:cs="Palatino Linotype"/>
          <w:sz w:val="22"/>
          <w:szCs w:val="22"/>
        </w:rPr>
        <w:lastRenderedPageBreak/>
        <w:t>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p>
    <w:p w14:paraId="51EBB0D3" w14:textId="77777777" w:rsidR="001E7BFD" w:rsidRDefault="001E7BFD">
      <w:pPr>
        <w:spacing w:line="360" w:lineRule="auto"/>
        <w:ind w:right="-93"/>
        <w:jc w:val="both"/>
        <w:rPr>
          <w:rFonts w:ascii="Palatino Linotype" w:eastAsia="Palatino Linotype" w:hAnsi="Palatino Linotype" w:cs="Palatino Linotype"/>
          <w:sz w:val="22"/>
          <w:szCs w:val="22"/>
        </w:rPr>
      </w:pPr>
    </w:p>
    <w:p w14:paraId="59EB7B39" w14:textId="77777777" w:rsidR="001E7BFD" w:rsidRDefault="001E7BFD">
      <w:pPr>
        <w:spacing w:line="360" w:lineRule="auto"/>
        <w:ind w:right="-93"/>
        <w:jc w:val="both"/>
        <w:rPr>
          <w:rFonts w:ascii="Palatino Linotype" w:eastAsia="Palatino Linotype" w:hAnsi="Palatino Linotype" w:cs="Palatino Linotype"/>
          <w:sz w:val="22"/>
          <w:szCs w:val="22"/>
        </w:rPr>
      </w:pPr>
    </w:p>
    <w:p w14:paraId="39E31B1D" w14:textId="77777777" w:rsidR="001E7BFD" w:rsidRDefault="001E7BFD">
      <w:pPr>
        <w:spacing w:line="360" w:lineRule="auto"/>
        <w:ind w:right="-93"/>
        <w:jc w:val="both"/>
        <w:rPr>
          <w:rFonts w:ascii="Palatino Linotype" w:eastAsia="Palatino Linotype" w:hAnsi="Palatino Linotype" w:cs="Palatino Linotype"/>
          <w:sz w:val="22"/>
          <w:szCs w:val="22"/>
        </w:rPr>
      </w:pPr>
    </w:p>
    <w:p w14:paraId="58940678" w14:textId="77777777" w:rsidR="001E7BFD" w:rsidRDefault="001E7BFD">
      <w:pPr>
        <w:spacing w:line="360" w:lineRule="auto"/>
        <w:ind w:right="-93"/>
        <w:jc w:val="both"/>
        <w:rPr>
          <w:rFonts w:ascii="Palatino Linotype" w:eastAsia="Palatino Linotype" w:hAnsi="Palatino Linotype" w:cs="Palatino Linotype"/>
          <w:sz w:val="22"/>
          <w:szCs w:val="22"/>
        </w:rPr>
      </w:pPr>
    </w:p>
    <w:p w14:paraId="41C908C1" w14:textId="77777777" w:rsidR="001E7BFD" w:rsidRDefault="001E7BFD">
      <w:pPr>
        <w:spacing w:line="360" w:lineRule="auto"/>
        <w:ind w:right="-93"/>
        <w:jc w:val="both"/>
        <w:rPr>
          <w:rFonts w:ascii="Palatino Linotype" w:eastAsia="Palatino Linotype" w:hAnsi="Palatino Linotype" w:cs="Palatino Linotype"/>
          <w:sz w:val="22"/>
          <w:szCs w:val="22"/>
        </w:rPr>
      </w:pPr>
    </w:p>
    <w:p w14:paraId="5861A1D0" w14:textId="77777777" w:rsidR="001E7BFD" w:rsidRDefault="001E7BFD">
      <w:pPr>
        <w:spacing w:line="360" w:lineRule="auto"/>
        <w:ind w:right="-93"/>
        <w:jc w:val="both"/>
        <w:rPr>
          <w:rFonts w:ascii="Palatino Linotype" w:eastAsia="Palatino Linotype" w:hAnsi="Palatino Linotype" w:cs="Palatino Linotype"/>
          <w:sz w:val="22"/>
          <w:szCs w:val="22"/>
        </w:rPr>
      </w:pPr>
    </w:p>
    <w:p w14:paraId="34899044"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1C70432B"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19CD8085"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7BC8351F"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4AAAD90D"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1755AC0E"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4CB650E1"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09499FA2"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687DBFCC"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3B33ECEC"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5214DE38"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059DE4F0"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15646F75"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49148BAF"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343F8A8C"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04B2EBC3"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5F0B5594"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p w14:paraId="50DF0261" w14:textId="77777777" w:rsidR="001E7BFD" w:rsidRDefault="001E7BFD">
      <w:pPr>
        <w:tabs>
          <w:tab w:val="center" w:pos="4568"/>
        </w:tabs>
        <w:spacing w:line="360" w:lineRule="auto"/>
        <w:ind w:right="-93"/>
        <w:jc w:val="both"/>
        <w:rPr>
          <w:rFonts w:ascii="Palatino Linotype" w:eastAsia="Palatino Linotype" w:hAnsi="Palatino Linotype" w:cs="Palatino Linotype"/>
          <w:sz w:val="22"/>
          <w:szCs w:val="22"/>
        </w:rPr>
      </w:pPr>
    </w:p>
    <w:sectPr w:rsidR="001E7BFD">
      <w:headerReference w:type="default" r:id="rId9"/>
      <w:footerReference w:type="default" r:id="rId10"/>
      <w:headerReference w:type="first" r:id="rId11"/>
      <w:footerReference w:type="first" r:id="rId12"/>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98373" w14:textId="77777777" w:rsidR="006B3360" w:rsidRDefault="006B3360">
      <w:r>
        <w:separator/>
      </w:r>
    </w:p>
  </w:endnote>
  <w:endnote w:type="continuationSeparator" w:id="0">
    <w:p w14:paraId="270AB078" w14:textId="77777777" w:rsidR="006B3360" w:rsidRDefault="006B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7E0C026-9D37-4A19-B76B-A5E751DE87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0CFDE08-C8CB-497F-B7A0-8B5B7A516C5B}"/>
    <w:embedItalic r:id="rId3" w:fontKey="{481D2EE5-A3FE-496B-BA8D-7C52E758BB2E}"/>
  </w:font>
  <w:font w:name="Calibri Light">
    <w:panose1 w:val="020F0302020204030204"/>
    <w:charset w:val="00"/>
    <w:family w:val="swiss"/>
    <w:pitch w:val="variable"/>
    <w:sig w:usb0="E4002EFF" w:usb1="C000247B" w:usb2="00000009" w:usb3="00000000" w:csb0="000001FF" w:csb1="00000000"/>
    <w:embedRegular r:id="rId4" w:fontKey="{FB39B659-45B8-45B2-AD30-246760053EF4}"/>
    <w:embedItalic r:id="rId5" w:fontKey="{B9326551-FD50-400E-9EA6-4D5A5B1C7181}"/>
  </w:font>
  <w:font w:name="Century Gothic">
    <w:panose1 w:val="020B0502020202020204"/>
    <w:charset w:val="00"/>
    <w:family w:val="swiss"/>
    <w:pitch w:val="variable"/>
    <w:sig w:usb0="00000287" w:usb1="00000000" w:usb2="00000000" w:usb3="00000000" w:csb0="0000009F" w:csb1="00000000"/>
    <w:embedRegular r:id="rId6" w:fontKey="{A4939168-26DC-4B4F-B9BE-946F28703549}"/>
  </w:font>
  <w:font w:name="Segoe UI">
    <w:panose1 w:val="020B0502040204020203"/>
    <w:charset w:val="00"/>
    <w:family w:val="swiss"/>
    <w:pitch w:val="variable"/>
    <w:sig w:usb0="E4002EFF" w:usb1="C000E47F" w:usb2="00000009" w:usb3="00000000" w:csb0="000001FF" w:csb1="00000000"/>
    <w:embedRegular r:id="rId7" w:fontKey="{36EA9BEF-0762-4793-AF01-04222B27583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Italic r:id="rId8" w:fontKey="{D69842F9-864A-436E-B661-31F32D7F487B}"/>
  </w:font>
  <w:font w:name="Palatino Linotype">
    <w:panose1 w:val="02040502050505030304"/>
    <w:charset w:val="00"/>
    <w:family w:val="roman"/>
    <w:pitch w:val="variable"/>
    <w:sig w:usb0="E0000287" w:usb1="40000013" w:usb2="00000000" w:usb3="00000000" w:csb0="0000019F" w:csb1="00000000"/>
    <w:embedRegular r:id="rId9" w:fontKey="{BF7118ED-5AC6-43F5-95A6-FB0347B01E52}"/>
    <w:embedBold r:id="rId10" w:fontKey="{35B9740D-5595-4901-9CBB-2A0D2660358E}"/>
    <w:embedItalic r:id="rId11" w:fontKey="{218CEFD6-E600-4ECD-93E2-F112D81C5029}"/>
    <w:embedBoldItalic r:id="rId12" w:fontKey="{ABE6A8AE-C203-4DBD-85B0-CCE4B9CBC091}"/>
  </w:font>
  <w:font w:name="Garamond">
    <w:panose1 w:val="02020404030301010803"/>
    <w:charset w:val="00"/>
    <w:family w:val="roman"/>
    <w:pitch w:val="variable"/>
    <w:sig w:usb0="00000287" w:usb1="00000000" w:usb2="00000000" w:usb3="00000000" w:csb0="0000009F" w:csb1="00000000"/>
    <w:embedRegular r:id="rId13" w:fontKey="{B25C0B60-0FD2-45AE-A756-D6342ABA7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25B59" w14:textId="77777777" w:rsidR="001E7BFD" w:rsidRDefault="001E7BFD">
    <w:pPr>
      <w:pBdr>
        <w:top w:val="nil"/>
        <w:left w:val="nil"/>
        <w:bottom w:val="nil"/>
        <w:right w:val="nil"/>
        <w:between w:val="nil"/>
      </w:pBdr>
      <w:tabs>
        <w:tab w:val="center" w:pos="4419"/>
        <w:tab w:val="right" w:pos="8838"/>
      </w:tabs>
      <w:jc w:val="right"/>
      <w:rPr>
        <w:color w:val="000000"/>
      </w:rPr>
    </w:pPr>
  </w:p>
  <w:p w14:paraId="42C715D0" w14:textId="346F196E" w:rsidR="001E7BFD" w:rsidRDefault="00B7543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A3487">
      <w:rPr>
        <w:b/>
        <w:bCs/>
        <w:noProof/>
        <w:color w:val="000000"/>
        <w:sz w:val="24"/>
        <w:szCs w:val="24"/>
      </w:rPr>
      <w:t>14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A3487">
      <w:rPr>
        <w:b/>
        <w:bCs/>
        <w:noProof/>
        <w:color w:val="000000"/>
        <w:sz w:val="24"/>
        <w:szCs w:val="24"/>
      </w:rPr>
      <w:t>15</w:t>
    </w:r>
    <w:r>
      <w:rPr>
        <w:b/>
        <w:bCs/>
        <w:color w:val="000000"/>
        <w:sz w:val="24"/>
        <w:szCs w:val="24"/>
      </w:rPr>
      <w:fldChar w:fldCharType="end"/>
    </w:r>
  </w:p>
  <w:p w14:paraId="6A9C940B" w14:textId="77777777" w:rsidR="001E7BFD" w:rsidRDefault="001E7BF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39B4" w14:textId="77777777" w:rsidR="001E7BFD" w:rsidRDefault="00B7543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A348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A3487">
      <w:rPr>
        <w:b/>
        <w:bCs/>
        <w:noProof/>
        <w:color w:val="000000"/>
        <w:sz w:val="24"/>
        <w:szCs w:val="24"/>
      </w:rPr>
      <w:t>15</w:t>
    </w:r>
    <w:r>
      <w:rPr>
        <w:b/>
        <w:bCs/>
        <w:color w:val="000000"/>
        <w:sz w:val="24"/>
        <w:szCs w:val="24"/>
      </w:rPr>
      <w:fldChar w:fldCharType="end"/>
    </w:r>
  </w:p>
  <w:p w14:paraId="4EE68D06" w14:textId="77777777" w:rsidR="001E7BFD" w:rsidRDefault="001E7BF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71398" w14:textId="77777777" w:rsidR="006B3360" w:rsidRDefault="006B3360">
      <w:r>
        <w:separator/>
      </w:r>
    </w:p>
  </w:footnote>
  <w:footnote w:type="continuationSeparator" w:id="0">
    <w:p w14:paraId="4E3005F1" w14:textId="77777777" w:rsidR="006B3360" w:rsidRDefault="006B3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1A51" w14:textId="77777777" w:rsidR="001E7BFD" w:rsidRDefault="001E7BFD">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bl>
    <w:tblPr>
      <w:tblStyle w:val="ab"/>
      <w:tblW w:w="7015" w:type="dxa"/>
      <w:tblInd w:w="2552" w:type="dxa"/>
      <w:tblLayout w:type="fixed"/>
      <w:tblLook w:val="0400" w:firstRow="0" w:lastRow="0" w:firstColumn="0" w:lastColumn="0" w:noHBand="0" w:noVBand="1"/>
    </w:tblPr>
    <w:tblGrid>
      <w:gridCol w:w="283"/>
      <w:gridCol w:w="6732"/>
    </w:tblGrid>
    <w:tr w:rsidR="001E7BFD" w14:paraId="6D30E608" w14:textId="77777777">
      <w:trPr>
        <w:trHeight w:val="1435"/>
      </w:trPr>
      <w:tc>
        <w:tcPr>
          <w:tcW w:w="283" w:type="dxa"/>
        </w:tcPr>
        <w:p w14:paraId="124E9841" w14:textId="77777777" w:rsidR="001E7BFD" w:rsidRDefault="001E7BFD">
          <w:pPr>
            <w:tabs>
              <w:tab w:val="right" w:pos="4273"/>
            </w:tabs>
            <w:rPr>
              <w:rFonts w:ascii="Garamond" w:eastAsia="Garamond" w:hAnsi="Garamond" w:cs="Garamond"/>
              <w:sz w:val="16"/>
              <w:szCs w:val="16"/>
            </w:rPr>
          </w:pPr>
        </w:p>
      </w:tc>
      <w:tc>
        <w:tcPr>
          <w:tcW w:w="6732" w:type="dxa"/>
        </w:tcPr>
        <w:p w14:paraId="6C33AEA2" w14:textId="77777777" w:rsidR="001E7BFD" w:rsidRDefault="001E7BFD"/>
        <w:tbl>
          <w:tblPr>
            <w:tblStyle w:val="ac"/>
            <w:tblW w:w="59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4"/>
            <w:gridCol w:w="3401"/>
          </w:tblGrid>
          <w:tr w:rsidR="001E7BFD" w14:paraId="354DB00E" w14:textId="77777777">
            <w:trPr>
              <w:trHeight w:val="99"/>
            </w:trPr>
            <w:tc>
              <w:tcPr>
                <w:tcW w:w="2584" w:type="dxa"/>
              </w:tcPr>
              <w:p w14:paraId="15BF5F76" w14:textId="77777777" w:rsidR="001E7BFD" w:rsidRDefault="00B754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01" w:type="dxa"/>
              </w:tcPr>
              <w:p w14:paraId="69BDE6D7" w14:textId="77777777" w:rsidR="001E7BFD" w:rsidRDefault="00B75432">
                <w:pPr>
                  <w:tabs>
                    <w:tab w:val="right" w:pos="8838"/>
                  </w:tabs>
                  <w:ind w:left="-28"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10481/INFOEM/AD/RR/2025</w:t>
                </w:r>
              </w:p>
            </w:tc>
          </w:tr>
          <w:tr w:rsidR="001E7BFD" w14:paraId="7733C6EB" w14:textId="77777777">
            <w:trPr>
              <w:trHeight w:val="195"/>
            </w:trPr>
            <w:tc>
              <w:tcPr>
                <w:tcW w:w="2584" w:type="dxa"/>
              </w:tcPr>
              <w:p w14:paraId="0067DCC9" w14:textId="77777777" w:rsidR="001E7BFD" w:rsidRDefault="00B754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01" w:type="dxa"/>
              </w:tcPr>
              <w:p w14:paraId="2B8DBA60" w14:textId="77777777" w:rsidR="001E7BFD" w:rsidRDefault="00B75432">
                <w:pPr>
                  <w:tabs>
                    <w:tab w:val="left" w:pos="2834"/>
                    <w:tab w:val="right" w:pos="8838"/>
                  </w:tabs>
                  <w:ind w:left="-28"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Instituto de Seguridad Social del Estado de México y Municipios</w:t>
                </w:r>
              </w:p>
            </w:tc>
          </w:tr>
          <w:tr w:rsidR="001E7BFD" w14:paraId="6C105BA7" w14:textId="77777777">
            <w:trPr>
              <w:trHeight w:val="404"/>
            </w:trPr>
            <w:tc>
              <w:tcPr>
                <w:tcW w:w="2584" w:type="dxa"/>
              </w:tcPr>
              <w:p w14:paraId="18632FFE" w14:textId="77777777" w:rsidR="001E7BFD" w:rsidRDefault="00B75432">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401" w:type="dxa"/>
              </w:tcPr>
              <w:p w14:paraId="3034D819" w14:textId="77777777" w:rsidR="001E7BFD" w:rsidRDefault="00B75432">
                <w:pPr>
                  <w:tabs>
                    <w:tab w:val="right" w:pos="8838"/>
                  </w:tabs>
                  <w:ind w:left="-2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76531317" w14:textId="77777777" w:rsidR="001E7BFD" w:rsidRDefault="001E7BFD">
                <w:pPr>
                  <w:tabs>
                    <w:tab w:val="right" w:pos="8838"/>
                  </w:tabs>
                  <w:ind w:left="-28" w:right="171"/>
                  <w:jc w:val="both"/>
                  <w:rPr>
                    <w:rFonts w:ascii="Palatino Linotype" w:eastAsia="Palatino Linotype" w:hAnsi="Palatino Linotype" w:cs="Palatino Linotype"/>
                    <w:b/>
                    <w:bCs/>
                    <w:sz w:val="22"/>
                    <w:szCs w:val="22"/>
                  </w:rPr>
                </w:pPr>
              </w:p>
            </w:tc>
          </w:tr>
        </w:tbl>
        <w:p w14:paraId="4A991113" w14:textId="77777777" w:rsidR="001E7BFD" w:rsidRDefault="001E7BFD">
          <w:pPr>
            <w:tabs>
              <w:tab w:val="right" w:pos="8838"/>
            </w:tabs>
            <w:ind w:left="-28"/>
            <w:jc w:val="both"/>
            <w:rPr>
              <w:rFonts w:ascii="Arial" w:eastAsia="Arial" w:hAnsi="Arial" w:cs="Arial"/>
              <w:b/>
              <w:bCs/>
              <w:sz w:val="22"/>
              <w:szCs w:val="22"/>
            </w:rPr>
          </w:pPr>
        </w:p>
      </w:tc>
    </w:tr>
  </w:tbl>
  <w:p w14:paraId="07F5C2D6" w14:textId="77777777" w:rsidR="001E7BFD" w:rsidRDefault="00B75432">
    <w:pPr>
      <w:pBdr>
        <w:top w:val="nil"/>
        <w:left w:val="nil"/>
        <w:bottom w:val="nil"/>
        <w:right w:val="nil"/>
        <w:between w:val="nil"/>
      </w:pBdr>
      <w:tabs>
        <w:tab w:val="center" w:pos="4419"/>
        <w:tab w:val="right" w:pos="8838"/>
        <w:tab w:val="left" w:pos="1467"/>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AD109CE" wp14:editId="2071FB5B">
          <wp:simplePos x="0" y="0"/>
          <wp:positionH relativeFrom="page">
            <wp:posOffset>228600</wp:posOffset>
          </wp:positionH>
          <wp:positionV relativeFrom="margin">
            <wp:posOffset>-1752595</wp:posOffset>
          </wp:positionV>
          <wp:extent cx="8426450" cy="10972800"/>
          <wp:effectExtent l="0" t="0" r="0" b="0"/>
          <wp:wrapNone/>
          <wp:docPr id="21137242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r>
      <w:rPr>
        <w:color w:val="000000"/>
        <w:sz w:val="14"/>
        <w:szCs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E788" w14:textId="77777777" w:rsidR="001E7BFD" w:rsidRDefault="001E7BFD">
    <w:pPr>
      <w:widowControl w:val="0"/>
      <w:pBdr>
        <w:top w:val="nil"/>
        <w:left w:val="nil"/>
        <w:bottom w:val="nil"/>
        <w:right w:val="nil"/>
        <w:between w:val="nil"/>
      </w:pBdr>
      <w:spacing w:line="276" w:lineRule="auto"/>
      <w:rPr>
        <w:color w:val="000000"/>
        <w:sz w:val="14"/>
        <w:szCs w:val="14"/>
      </w:rPr>
    </w:pPr>
  </w:p>
  <w:tbl>
    <w:tblPr>
      <w:tblStyle w:val="ad"/>
      <w:tblW w:w="6660" w:type="dxa"/>
      <w:tblInd w:w="2552" w:type="dxa"/>
      <w:tblLayout w:type="fixed"/>
      <w:tblLook w:val="0400" w:firstRow="0" w:lastRow="0" w:firstColumn="0" w:lastColumn="0" w:noHBand="0" w:noVBand="1"/>
    </w:tblPr>
    <w:tblGrid>
      <w:gridCol w:w="283"/>
      <w:gridCol w:w="6377"/>
    </w:tblGrid>
    <w:tr w:rsidR="001E7BFD" w14:paraId="00F83606" w14:textId="77777777">
      <w:trPr>
        <w:trHeight w:val="1435"/>
      </w:trPr>
      <w:tc>
        <w:tcPr>
          <w:tcW w:w="283" w:type="dxa"/>
        </w:tcPr>
        <w:p w14:paraId="201931F0" w14:textId="77777777" w:rsidR="001E7BFD" w:rsidRDefault="001E7BFD">
          <w:pPr>
            <w:tabs>
              <w:tab w:val="right" w:pos="4273"/>
            </w:tabs>
            <w:rPr>
              <w:rFonts w:ascii="Garamond" w:eastAsia="Garamond" w:hAnsi="Garamond" w:cs="Garamond"/>
              <w:sz w:val="22"/>
              <w:szCs w:val="22"/>
            </w:rPr>
          </w:pPr>
        </w:p>
      </w:tc>
      <w:tc>
        <w:tcPr>
          <w:tcW w:w="6377" w:type="dxa"/>
        </w:tcPr>
        <w:p w14:paraId="019D7C63" w14:textId="77777777" w:rsidR="001E7BFD" w:rsidRDefault="001E7BFD">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e"/>
            <w:tblW w:w="59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258"/>
          </w:tblGrid>
          <w:tr w:rsidR="001E7BFD" w14:paraId="4CA32A32" w14:textId="77777777">
            <w:trPr>
              <w:trHeight w:val="144"/>
            </w:trPr>
            <w:tc>
              <w:tcPr>
                <w:tcW w:w="2727" w:type="dxa"/>
              </w:tcPr>
              <w:p w14:paraId="11B99E49" w14:textId="77777777" w:rsidR="001E7BFD" w:rsidRDefault="00B75432">
                <w:pPr>
                  <w:tabs>
                    <w:tab w:val="right" w:pos="8838"/>
                  </w:tabs>
                  <w:ind w:left="-74" w:right="-105"/>
                  <w:rPr>
                    <w:rFonts w:ascii="Palatino Linotype" w:eastAsia="Palatino Linotype" w:hAnsi="Palatino Linotype" w:cs="Palatino Linotype"/>
                    <w:b/>
                    <w:bCs/>
                    <w:sz w:val="22"/>
                    <w:szCs w:val="22"/>
                  </w:rPr>
                </w:pPr>
                <w:bookmarkStart w:id="24" w:name="_heading=h.t95po9yx6k1s" w:colFirst="0" w:colLast="0"/>
                <w:bookmarkEnd w:id="24"/>
                <w:r>
                  <w:rPr>
                    <w:rFonts w:ascii="Palatino Linotype" w:eastAsia="Palatino Linotype" w:hAnsi="Palatino Linotype" w:cs="Palatino Linotype"/>
                    <w:b/>
                    <w:bCs/>
                    <w:sz w:val="22"/>
                    <w:szCs w:val="22"/>
                  </w:rPr>
                  <w:t>Recurso de Revisión:</w:t>
                </w:r>
              </w:p>
            </w:tc>
            <w:tc>
              <w:tcPr>
                <w:tcW w:w="3258" w:type="dxa"/>
              </w:tcPr>
              <w:p w14:paraId="18FA1277" w14:textId="77777777" w:rsidR="001E7BFD" w:rsidRDefault="00B75432">
                <w:pPr>
                  <w:tabs>
                    <w:tab w:val="right" w:pos="8838"/>
                  </w:tabs>
                  <w:ind w:left="-106"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10481/INFOEM/AD/RR/2025</w:t>
                </w:r>
              </w:p>
            </w:tc>
          </w:tr>
          <w:tr w:rsidR="001E7BFD" w14:paraId="6D1EA8A3" w14:textId="77777777">
            <w:trPr>
              <w:trHeight w:val="144"/>
            </w:trPr>
            <w:tc>
              <w:tcPr>
                <w:tcW w:w="2727" w:type="dxa"/>
              </w:tcPr>
              <w:p w14:paraId="2A96A2E2" w14:textId="1B59297E" w:rsidR="001E7BFD" w:rsidRDefault="00B75432">
                <w:pPr>
                  <w:tabs>
                    <w:tab w:val="right" w:pos="8838"/>
                  </w:tabs>
                  <w:ind w:left="-74" w:right="-105"/>
                  <w:rPr>
                    <w:rFonts w:ascii="Palatino Linotype" w:eastAsia="Palatino Linotype" w:hAnsi="Palatino Linotype" w:cs="Palatino Linotype"/>
                    <w:b/>
                    <w:bCs/>
                    <w:sz w:val="22"/>
                    <w:szCs w:val="22"/>
                  </w:rPr>
                </w:pPr>
                <w:bookmarkStart w:id="25" w:name="_heading=h.rqrfrz67hq7y" w:colFirst="0" w:colLast="0"/>
                <w:bookmarkEnd w:id="25"/>
                <w:r>
                  <w:rPr>
                    <w:rFonts w:ascii="Palatino Linotype" w:eastAsia="Palatino Linotype" w:hAnsi="Palatino Linotype" w:cs="Palatino Linotype"/>
                    <w:b/>
                    <w:bCs/>
                    <w:sz w:val="22"/>
                    <w:szCs w:val="22"/>
                  </w:rPr>
                  <w:t>Recurrente:</w:t>
                </w:r>
              </w:p>
            </w:tc>
            <w:tc>
              <w:tcPr>
                <w:tcW w:w="3258" w:type="dxa"/>
              </w:tcPr>
              <w:p w14:paraId="6FF38ABF" w14:textId="4886DB69" w:rsidR="001E7BFD" w:rsidRPr="00A42BF1" w:rsidRDefault="00A42BF1">
                <w:pPr>
                  <w:tabs>
                    <w:tab w:val="left" w:pos="3122"/>
                    <w:tab w:val="right" w:pos="8838"/>
                  </w:tabs>
                  <w:ind w:left="-105" w:right="-105"/>
                  <w:jc w:val="both"/>
                  <w:rPr>
                    <w:rFonts w:ascii="Palatino Linotype" w:eastAsia="Palatino Linotype" w:hAnsi="Palatino Linotype" w:cs="Palatino Linotype"/>
                    <w:b/>
                    <w:bCs/>
                    <w:sz w:val="22"/>
                    <w:szCs w:val="22"/>
                  </w:rPr>
                </w:pPr>
                <w:r w:rsidRPr="00A42BF1">
                  <w:rPr>
                    <w:rFonts w:ascii="Palatino Linotype" w:eastAsia="Palatino Linotype" w:hAnsi="Palatino Linotype" w:cs="Palatino Linotype"/>
                    <w:b/>
                    <w:bCs/>
                    <w:sz w:val="22"/>
                    <w:szCs w:val="22"/>
                    <w:highlight w:val="black"/>
                  </w:rPr>
                  <w:t>XXXXXXXXXXXXXXXXXXX</w:t>
                </w:r>
                <w:r w:rsidRPr="00A42BF1">
                  <w:rPr>
                    <w:rFonts w:ascii="Palatino Linotype" w:eastAsia="Palatino Linotype" w:hAnsi="Palatino Linotype" w:cs="Palatino Linotype"/>
                    <w:b/>
                    <w:bCs/>
                    <w:sz w:val="22"/>
                    <w:szCs w:val="22"/>
                    <w:highlight w:val="black"/>
                  </w:rPr>
                  <w:t xml:space="preserve"> </w:t>
                </w:r>
                <w:proofErr w:type="spellStart"/>
                <w:r w:rsidRPr="00A42BF1">
                  <w:rPr>
                    <w:rFonts w:ascii="Palatino Linotype" w:eastAsia="Palatino Linotype" w:hAnsi="Palatino Linotype" w:cs="Palatino Linotype"/>
                    <w:b/>
                    <w:bCs/>
                    <w:sz w:val="22"/>
                    <w:szCs w:val="22"/>
                    <w:highlight w:val="black"/>
                  </w:rPr>
                  <w:t>XXXXXXXXXXXXXXXXXXX</w:t>
                </w:r>
                <w:proofErr w:type="spellEnd"/>
                <w:r w:rsidR="00B75432" w:rsidRPr="00A42BF1">
                  <w:rPr>
                    <w:rFonts w:ascii="Palatino Linotype" w:eastAsia="Palatino Linotype" w:hAnsi="Palatino Linotype" w:cs="Palatino Linotype"/>
                    <w:b/>
                    <w:bCs/>
                    <w:sz w:val="22"/>
                    <w:szCs w:val="22"/>
                  </w:rPr>
                  <w:tab/>
                </w:r>
              </w:p>
            </w:tc>
          </w:tr>
          <w:tr w:rsidR="001E7BFD" w14:paraId="583887E6" w14:textId="77777777">
            <w:trPr>
              <w:trHeight w:val="283"/>
            </w:trPr>
            <w:tc>
              <w:tcPr>
                <w:tcW w:w="2727" w:type="dxa"/>
              </w:tcPr>
              <w:p w14:paraId="4C385A98" w14:textId="77777777" w:rsidR="001E7BFD" w:rsidRDefault="00B7543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258" w:type="dxa"/>
              </w:tcPr>
              <w:p w14:paraId="28F849EB" w14:textId="77777777" w:rsidR="001E7BFD" w:rsidRDefault="00B75432">
                <w:pPr>
                  <w:tabs>
                    <w:tab w:val="left" w:pos="2834"/>
                    <w:tab w:val="right" w:pos="8838"/>
                  </w:tabs>
                  <w:ind w:left="-108"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Instituto de Seguridad Social del Estado de México y Municipios</w:t>
                </w:r>
              </w:p>
            </w:tc>
          </w:tr>
          <w:tr w:rsidR="001E7BFD" w14:paraId="6AB5FB4E" w14:textId="77777777">
            <w:trPr>
              <w:trHeight w:val="283"/>
            </w:trPr>
            <w:tc>
              <w:tcPr>
                <w:tcW w:w="2727" w:type="dxa"/>
              </w:tcPr>
              <w:p w14:paraId="0BC25FFE" w14:textId="77777777" w:rsidR="001E7BFD" w:rsidRDefault="00B7543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258" w:type="dxa"/>
              </w:tcPr>
              <w:p w14:paraId="3AE95A28" w14:textId="77777777" w:rsidR="001E7BFD" w:rsidRDefault="00B75432">
                <w:pPr>
                  <w:tabs>
                    <w:tab w:val="right" w:pos="8838"/>
                  </w:tabs>
                  <w:ind w:left="-108"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253483EE" w14:textId="77777777" w:rsidR="001E7BFD" w:rsidRDefault="001E7BFD">
                <w:pPr>
                  <w:tabs>
                    <w:tab w:val="right" w:pos="8838"/>
                  </w:tabs>
                  <w:ind w:left="-108" w:right="-105"/>
                  <w:jc w:val="both"/>
                  <w:rPr>
                    <w:rFonts w:ascii="Palatino Linotype" w:eastAsia="Palatino Linotype" w:hAnsi="Palatino Linotype" w:cs="Palatino Linotype"/>
                    <w:sz w:val="22"/>
                    <w:szCs w:val="22"/>
                  </w:rPr>
                </w:pPr>
              </w:p>
            </w:tc>
          </w:tr>
        </w:tbl>
        <w:p w14:paraId="6276C1DD" w14:textId="77777777" w:rsidR="001E7BFD" w:rsidRDefault="001E7BFD">
          <w:pPr>
            <w:tabs>
              <w:tab w:val="right" w:pos="8838"/>
            </w:tabs>
            <w:ind w:left="-28"/>
            <w:jc w:val="both"/>
            <w:rPr>
              <w:rFonts w:ascii="Arial" w:eastAsia="Arial" w:hAnsi="Arial" w:cs="Arial"/>
              <w:b/>
              <w:bCs/>
              <w:sz w:val="22"/>
              <w:szCs w:val="22"/>
            </w:rPr>
          </w:pPr>
        </w:p>
      </w:tc>
    </w:tr>
  </w:tbl>
  <w:p w14:paraId="4D3D2586" w14:textId="77777777" w:rsidR="001E7BFD" w:rsidRDefault="00000000">
    <w:pPr>
      <w:pBdr>
        <w:top w:val="nil"/>
        <w:left w:val="nil"/>
        <w:bottom w:val="nil"/>
        <w:right w:val="nil"/>
        <w:between w:val="nil"/>
      </w:pBdr>
      <w:tabs>
        <w:tab w:val="center" w:pos="4419"/>
        <w:tab w:val="right" w:pos="8838"/>
      </w:tabs>
      <w:rPr>
        <w:color w:val="000000"/>
        <w:sz w:val="22"/>
        <w:szCs w:val="22"/>
      </w:rPr>
    </w:pPr>
    <w:r>
      <w:rPr>
        <w:color w:val="000000"/>
        <w:sz w:val="36"/>
        <w:szCs w:val="36"/>
      </w:rPr>
      <w:pict w14:anchorId="4FC48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1.15pt;margin-top:-133.5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6FB"/>
    <w:multiLevelType w:val="multilevel"/>
    <w:tmpl w:val="7D18648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92A64"/>
    <w:multiLevelType w:val="multilevel"/>
    <w:tmpl w:val="EF728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977548"/>
    <w:multiLevelType w:val="multilevel"/>
    <w:tmpl w:val="52B42C0C"/>
    <w:lvl w:ilvl="0">
      <w:start w:val="2"/>
      <w:numFmt w:val="bullet"/>
      <w:pStyle w:val="Listaconvieta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5BF73BB"/>
    <w:multiLevelType w:val="multilevel"/>
    <w:tmpl w:val="54B41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2136713">
    <w:abstractNumId w:val="0"/>
  </w:num>
  <w:num w:numId="2" w16cid:durableId="1385759564">
    <w:abstractNumId w:val="2"/>
  </w:num>
  <w:num w:numId="3" w16cid:durableId="974290516">
    <w:abstractNumId w:val="3"/>
  </w:num>
  <w:num w:numId="4" w16cid:durableId="2092267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BFD"/>
    <w:rsid w:val="001E7BFD"/>
    <w:rsid w:val="004A3487"/>
    <w:rsid w:val="00535004"/>
    <w:rsid w:val="006B3360"/>
    <w:rsid w:val="006B4EC8"/>
    <w:rsid w:val="007274A4"/>
    <w:rsid w:val="00784BA2"/>
    <w:rsid w:val="00784DBD"/>
    <w:rsid w:val="007C0DDA"/>
    <w:rsid w:val="00841BB8"/>
    <w:rsid w:val="009E4B95"/>
    <w:rsid w:val="00A42BF1"/>
    <w:rsid w:val="00B75432"/>
    <w:rsid w:val="00DE6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AEF7F"/>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Fuerte">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rPr>
  </w:style>
  <w:style w:type="character" w:customStyle="1" w:styleId="Ttulo2Car">
    <w:name w:val="Título 2 Car"/>
    <w:basedOn w:val="Fuentedeprrafopredeter"/>
    <w:uiPriority w:val="9"/>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rPr>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F7496F"/>
    <w:rPr>
      <w:color w:val="605E5C"/>
      <w:shd w:val="clear" w:color="auto" w:fill="E1DFDD"/>
    </w:rPr>
  </w:style>
  <w:style w:type="character" w:customStyle="1" w:styleId="Mencinsinresolver8">
    <w:name w:val="Mención sin resolver8"/>
    <w:basedOn w:val="Fuentedeprrafopredeter"/>
    <w:uiPriority w:val="99"/>
    <w:semiHidden/>
    <w:unhideWhenUsed/>
    <w:rsid w:val="00182252"/>
    <w:rPr>
      <w:color w:val="605E5C"/>
      <w:shd w:val="clear" w:color="auto" w:fill="E1DFDD"/>
    </w:rPr>
  </w:style>
  <w:style w:type="character" w:customStyle="1" w:styleId="screenreaderonly">
    <w:name w:val="screenreaderonly"/>
    <w:basedOn w:val="Fuentedeprrafopredeter"/>
    <w:rsid w:val="00D25C44"/>
  </w:style>
  <w:style w:type="character" w:customStyle="1" w:styleId="Mencinsinresolver9">
    <w:name w:val="Mención sin resolver9"/>
    <w:basedOn w:val="Fuentedeprrafopredeter"/>
    <w:uiPriority w:val="99"/>
    <w:semiHidden/>
    <w:unhideWhenUsed/>
    <w:rsid w:val="005D6BD8"/>
    <w:rPr>
      <w:color w:val="605E5C"/>
      <w:shd w:val="clear" w:color="auto" w:fill="E1DFDD"/>
    </w:rPr>
  </w:style>
  <w:style w:type="paragraph" w:styleId="Listaconvietas">
    <w:name w:val="List Bullet"/>
    <w:basedOn w:val="Normal"/>
    <w:uiPriority w:val="99"/>
    <w:unhideWhenUsed/>
    <w:rsid w:val="00414F22"/>
    <w:pPr>
      <w:numPr>
        <w:numId w:val="2"/>
      </w:numPr>
      <w:contextualSpacing/>
    </w:pPr>
  </w:style>
  <w:style w:type="paragraph" w:styleId="Continuarlista">
    <w:name w:val="List Continue"/>
    <w:basedOn w:val="Normal"/>
    <w:uiPriority w:val="99"/>
    <w:unhideWhenUsed/>
    <w:rsid w:val="00414F22"/>
    <w:pPr>
      <w:spacing w:after="120"/>
      <w:ind w:left="283"/>
      <w:contextualSpacing/>
    </w:pPr>
  </w:style>
  <w:style w:type="paragraph" w:styleId="Continuarlista2">
    <w:name w:val="List Continue 2"/>
    <w:basedOn w:val="Normal"/>
    <w:uiPriority w:val="99"/>
    <w:unhideWhenUsed/>
    <w:rsid w:val="00414F22"/>
    <w:pPr>
      <w:spacing w:after="120"/>
      <w:ind w:left="566"/>
      <w:contextualSpacing/>
    </w:p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08" w:type="dxa"/>
        <w:right w:w="108" w:type="dxa"/>
      </w:tblCellMar>
    </w:tblPr>
  </w:style>
  <w:style w:type="paragraph" w:styleId="TtuloTDC">
    <w:name w:val="TOC Heading"/>
    <w:next w:val="Normal"/>
    <w:uiPriority w:val="39"/>
    <w:unhideWhenUsed/>
    <w:qFormat/>
    <w:rsid w:val="00AB5850"/>
    <w:pPr>
      <w:spacing w:line="259" w:lineRule="auto"/>
    </w:pPr>
  </w:style>
  <w:style w:type="paragraph" w:styleId="TDC1">
    <w:name w:val="toc 1"/>
    <w:basedOn w:val="Normal"/>
    <w:next w:val="Normal"/>
    <w:autoRedefine/>
    <w:uiPriority w:val="39"/>
    <w:unhideWhenUsed/>
    <w:rsid w:val="00AB5850"/>
    <w:pPr>
      <w:spacing w:after="100"/>
    </w:pPr>
  </w:style>
  <w:style w:type="paragraph" w:styleId="TDC2">
    <w:name w:val="toc 2"/>
    <w:basedOn w:val="Normal"/>
    <w:next w:val="Normal"/>
    <w:autoRedefine/>
    <w:uiPriority w:val="39"/>
    <w:unhideWhenUsed/>
    <w:rsid w:val="00AB5850"/>
    <w:pPr>
      <w:spacing w:after="100"/>
      <w:ind w:left="200"/>
    </w:p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08" w:type="dxa"/>
        <w:right w:w="108" w:type="dxa"/>
      </w:tblCellMar>
    </w:tblPr>
  </w:style>
  <w:style w:type="character" w:customStyle="1" w:styleId="object">
    <w:name w:val="object"/>
    <w:basedOn w:val="Fuentedeprrafopredeter"/>
    <w:rsid w:val="00032C92"/>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oWZytVKtn2xlQmtdFGgBOJWw==">CgMxLjAyDWguNTJtM2hxaGhrZXUyDmgua29maGhjMWgydzlnMg5oLmFvZHVnbXUxMm1sYTIOaC4zZTRhMWp1dHJ4YWwyDmguZ3BzNzhyZmU3azNsMg1oLnp0ZDR3NXB4dDVhMg5oLmN6OHRwb3hobjFjZjIOaC41dndqYWZkamh5aXAyDWgubGNqMDk2eGFlMnEyDmguaDJtMnZyeDkyNWtiMg5oLm94bGp0YzRhNTl0NDIOaC42dmJ5ZjN5cGZpMW4yDmguaDZhcThqcjkxdWYyMg5oLnQ5NXBvOXl4NmsxczIOaC5ycXJmcno2N2hxN3k4AHIhMUl3ZzFFSThGWHZ0T2pxZFBnMlBvSElmdXRiYUtPMVZ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55B1B6-803B-4863-AB15-3E41F4C0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2939</Words>
  <Characters>16169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USUARIO</cp:lastModifiedBy>
  <cp:revision>4</cp:revision>
  <cp:lastPrinted>2025-12-12T00:39:00Z</cp:lastPrinted>
  <dcterms:created xsi:type="dcterms:W3CDTF">2025-12-12T00:39:00Z</dcterms:created>
  <dcterms:modified xsi:type="dcterms:W3CDTF">2026-02-23T23:48:00Z</dcterms:modified>
</cp:coreProperties>
</file>