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832BB" w14:textId="77777777" w:rsidR="00BC71C4" w:rsidRPr="00DB7499" w:rsidRDefault="00057752" w:rsidP="008A7552">
      <w:pPr>
        <w:spacing w:before="240" w:after="240" w:line="360" w:lineRule="auto"/>
        <w:jc w:val="both"/>
        <w:rPr>
          <w:rFonts w:ascii="Palatino Linotype" w:hAnsi="Palatino Linotype"/>
          <w:color w:val="000000" w:themeColor="text1"/>
        </w:rPr>
      </w:pPr>
      <w:bookmarkStart w:id="0" w:name="_GoBack"/>
      <w:bookmarkEnd w:id="0"/>
      <w:r w:rsidRPr="00DB7499">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B7499">
        <w:rPr>
          <w:rFonts w:ascii="Palatino Linotype" w:eastAsia="Palatino Linotype" w:hAnsi="Palatino Linotype" w:cs="Palatino Linotype"/>
          <w:b/>
          <w:color w:val="000000" w:themeColor="text1"/>
        </w:rPr>
        <w:t>de fecha veinte (20) de agosto de dos mil veinticinco</w:t>
      </w:r>
      <w:r w:rsidRPr="00DB7499">
        <w:rPr>
          <w:rFonts w:ascii="Palatino Linotype" w:eastAsia="Palatino Linotype" w:hAnsi="Palatino Linotype" w:cs="Palatino Linotype"/>
          <w:color w:val="000000" w:themeColor="text1"/>
        </w:rPr>
        <w:t>.</w:t>
      </w:r>
    </w:p>
    <w:p w14:paraId="5B1F05CD" w14:textId="67BC4F7C" w:rsidR="00BC71C4" w:rsidRPr="00DB7499" w:rsidRDefault="00057752" w:rsidP="008A7552">
      <w:pPr>
        <w:spacing w:before="240" w:after="360" w:line="360" w:lineRule="auto"/>
        <w:jc w:val="both"/>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b/>
          <w:color w:val="000000" w:themeColor="text1"/>
        </w:rPr>
        <w:t>VISTO</w:t>
      </w:r>
      <w:r w:rsidRPr="00DB7499">
        <w:rPr>
          <w:rFonts w:ascii="Palatino Linotype" w:eastAsia="Palatino Linotype" w:hAnsi="Palatino Linotype" w:cs="Palatino Linotype"/>
          <w:color w:val="000000" w:themeColor="text1"/>
        </w:rPr>
        <w:t xml:space="preserve"> el expediente electrónico formado con motivo del recurso de revisión </w:t>
      </w:r>
      <w:r w:rsidRPr="00DB7499">
        <w:rPr>
          <w:rFonts w:ascii="Palatino Linotype" w:eastAsia="Palatino Linotype" w:hAnsi="Palatino Linotype" w:cs="Palatino Linotype"/>
          <w:b/>
          <w:color w:val="000000" w:themeColor="text1"/>
        </w:rPr>
        <w:t xml:space="preserve">07103/INFOEM/AD/RR/2025, </w:t>
      </w:r>
      <w:r w:rsidRPr="00DB7499">
        <w:rPr>
          <w:rFonts w:ascii="Palatino Linotype" w:eastAsia="Palatino Linotype" w:hAnsi="Palatino Linotype" w:cs="Palatino Linotype"/>
          <w:color w:val="000000" w:themeColor="text1"/>
        </w:rPr>
        <w:t>promovido por</w:t>
      </w:r>
      <w:r w:rsidRPr="00DB7499">
        <w:rPr>
          <w:rFonts w:ascii="Palatino Linotype" w:eastAsia="Palatino Linotype" w:hAnsi="Palatino Linotype" w:cs="Palatino Linotype"/>
          <w:b/>
          <w:color w:val="000000" w:themeColor="text1"/>
        </w:rPr>
        <w:t xml:space="preserve"> </w:t>
      </w:r>
      <w:r w:rsidR="00E42C96">
        <w:rPr>
          <w:rFonts w:ascii="Palatino Linotype" w:eastAsia="Palatino Linotype" w:hAnsi="Palatino Linotype" w:cs="Palatino Linotype"/>
          <w:b/>
          <w:color w:val="000000" w:themeColor="text1"/>
        </w:rPr>
        <w:t>XXXX</w:t>
      </w:r>
      <w:r w:rsidRPr="00DB7499">
        <w:rPr>
          <w:rFonts w:ascii="Palatino Linotype" w:eastAsia="Palatino Linotype" w:hAnsi="Palatino Linotype" w:cs="Palatino Linotype"/>
          <w:b/>
          <w:color w:val="000000" w:themeColor="text1"/>
        </w:rPr>
        <w:t xml:space="preserve">, </w:t>
      </w:r>
      <w:r w:rsidRPr="00DB7499">
        <w:rPr>
          <w:rFonts w:ascii="Palatino Linotype" w:eastAsia="Palatino Linotype" w:hAnsi="Palatino Linotype" w:cs="Palatino Linotype"/>
          <w:color w:val="000000" w:themeColor="text1"/>
        </w:rPr>
        <w:t xml:space="preserve">en su calidad de </w:t>
      </w:r>
      <w:r w:rsidRPr="00DB7499">
        <w:rPr>
          <w:rFonts w:ascii="Palatino Linotype" w:eastAsia="Palatino Linotype" w:hAnsi="Palatino Linotype" w:cs="Palatino Linotype"/>
          <w:b/>
          <w:color w:val="000000" w:themeColor="text1"/>
        </w:rPr>
        <w:t>RECURRENTE</w:t>
      </w:r>
      <w:r w:rsidRPr="00DB7499">
        <w:rPr>
          <w:rFonts w:ascii="Palatino Linotype" w:eastAsia="Palatino Linotype" w:hAnsi="Palatino Linotype" w:cs="Palatino Linotype"/>
          <w:color w:val="000000" w:themeColor="text1"/>
        </w:rPr>
        <w:t xml:space="preserve">, en contra de la respuesta del </w:t>
      </w:r>
      <w:r w:rsidRPr="00DB7499">
        <w:rPr>
          <w:rFonts w:ascii="Palatino Linotype" w:eastAsia="Palatino Linotype" w:hAnsi="Palatino Linotype" w:cs="Palatino Linotype"/>
          <w:b/>
          <w:color w:val="000000" w:themeColor="text1"/>
        </w:rPr>
        <w:t xml:space="preserve">Instituto de Seguridad Social del Estado de México y Municipios, </w:t>
      </w:r>
      <w:r w:rsidRPr="00DB7499">
        <w:rPr>
          <w:rFonts w:ascii="Palatino Linotype" w:eastAsia="Palatino Linotype" w:hAnsi="Palatino Linotype" w:cs="Palatino Linotype"/>
          <w:color w:val="000000" w:themeColor="text1"/>
        </w:rPr>
        <w:t>en adelante el</w:t>
      </w:r>
      <w:r w:rsidRPr="00DB7499">
        <w:rPr>
          <w:rFonts w:ascii="Palatino Linotype" w:eastAsia="Palatino Linotype" w:hAnsi="Palatino Linotype" w:cs="Palatino Linotype"/>
          <w:b/>
          <w:color w:val="000000" w:themeColor="text1"/>
        </w:rPr>
        <w:t xml:space="preserve"> SUJETO OBLIGADO, </w:t>
      </w:r>
      <w:r w:rsidRPr="00DB7499">
        <w:rPr>
          <w:rFonts w:ascii="Palatino Linotype" w:eastAsia="Palatino Linotype" w:hAnsi="Palatino Linotype" w:cs="Palatino Linotype"/>
          <w:color w:val="000000" w:themeColor="text1"/>
        </w:rPr>
        <w:t>se procede a dictar la presente resolución, con base en los siguientes:</w:t>
      </w:r>
    </w:p>
    <w:p w14:paraId="502E6975" w14:textId="77777777" w:rsidR="00BC71C4" w:rsidRPr="00DB7499" w:rsidRDefault="00057752" w:rsidP="008A7552">
      <w:pPr>
        <w:pStyle w:val="Ttulo1"/>
        <w:spacing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DB7499">
        <w:rPr>
          <w:rFonts w:ascii="Palatino Linotype" w:eastAsia="Palatino Linotype" w:hAnsi="Palatino Linotype" w:cs="Palatino Linotype"/>
          <w:b/>
          <w:color w:val="000000" w:themeColor="text1"/>
          <w:sz w:val="24"/>
          <w:szCs w:val="24"/>
        </w:rPr>
        <w:t>A N T E C E D E N T E S</w:t>
      </w:r>
    </w:p>
    <w:p w14:paraId="1F907B22" w14:textId="77777777" w:rsidR="00BC71C4" w:rsidRPr="00DB7499" w:rsidRDefault="00BC71C4" w:rsidP="008A7552">
      <w:pPr>
        <w:rPr>
          <w:rFonts w:ascii="Palatino Linotype" w:hAnsi="Palatino Linotype"/>
          <w:color w:val="000000" w:themeColor="text1"/>
        </w:rPr>
      </w:pPr>
    </w:p>
    <w:p w14:paraId="04D081BA"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El treinta de abril de dos mil veinticinco, EL RECURRENTE, vía Sistema de Acceso, Rectificación, Cancelación y Oposición de Datos Personales del Estado de México (SARCOEM), presentó la solicitud de acceso a datos personales registrada con el número  </w:t>
      </w:r>
      <w:r w:rsidRPr="00DB7499">
        <w:rPr>
          <w:rFonts w:ascii="Palatino Linotype" w:eastAsia="Palatino Linotype" w:hAnsi="Palatino Linotype" w:cs="Palatino Linotype"/>
          <w:b/>
          <w:color w:val="000000" w:themeColor="text1"/>
        </w:rPr>
        <w:t>00565/ISSEMYM/AD/2025</w:t>
      </w:r>
      <w:r w:rsidRPr="00DB7499">
        <w:rPr>
          <w:rFonts w:ascii="Palatino Linotype" w:eastAsia="Palatino Linotype" w:hAnsi="Palatino Linotype" w:cs="Palatino Linotype"/>
          <w:color w:val="000000" w:themeColor="text1"/>
        </w:rPr>
        <w:t>, en la que solicitó:</w:t>
      </w:r>
    </w:p>
    <w:p w14:paraId="4E0D5CCA" w14:textId="77777777" w:rsidR="00BC71C4" w:rsidRPr="00DB7499" w:rsidRDefault="00BC71C4" w:rsidP="008A7552">
      <w:pPr>
        <w:spacing w:line="360" w:lineRule="auto"/>
        <w:jc w:val="both"/>
        <w:rPr>
          <w:rFonts w:ascii="Palatino Linotype" w:eastAsia="Palatino Linotype" w:hAnsi="Palatino Linotype" w:cs="Palatino Linotype"/>
          <w:i/>
          <w:color w:val="000000" w:themeColor="text1"/>
        </w:rPr>
      </w:pPr>
    </w:p>
    <w:p w14:paraId="71AD8F44" w14:textId="707207C6" w:rsidR="00BC71C4" w:rsidRPr="00DB7499" w:rsidRDefault="00057752" w:rsidP="008A7552">
      <w:pPr>
        <w:pBdr>
          <w:top w:val="nil"/>
          <w:left w:val="nil"/>
          <w:bottom w:val="nil"/>
          <w:right w:val="nil"/>
          <w:between w:val="nil"/>
        </w:pBdr>
        <w:spacing w:line="276" w:lineRule="auto"/>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i/>
          <w:color w:val="000000" w:themeColor="text1"/>
        </w:rPr>
        <w:t xml:space="preserve">“SOLICITO COPIA CERTIFICADA DEL DOCUMENTO DE PENSIÓN FOLIO CP/1188/07, EMITIDO EL 11 DE MAYO DE 2007, MISMO QUE ANEXO PARA PRONTA REFERENCIA, CLAVE ISSEMYM </w:t>
      </w:r>
      <w:r w:rsidR="00E42C96">
        <w:rPr>
          <w:rFonts w:ascii="Palatino Linotype" w:eastAsia="Palatino Linotype" w:hAnsi="Palatino Linotype" w:cs="Palatino Linotype"/>
          <w:i/>
          <w:color w:val="000000" w:themeColor="text1"/>
        </w:rPr>
        <w:t>XXXX</w:t>
      </w:r>
      <w:r w:rsidRPr="00DB7499">
        <w:rPr>
          <w:rFonts w:ascii="Palatino Linotype" w:eastAsia="Palatino Linotype" w:hAnsi="Palatino Linotype" w:cs="Palatino Linotype"/>
          <w:i/>
          <w:color w:val="000000" w:themeColor="text1"/>
        </w:rPr>
        <w:t>” (sic)</w:t>
      </w:r>
    </w:p>
    <w:p w14:paraId="2A5E1466" w14:textId="77777777" w:rsidR="00BC71C4" w:rsidRPr="00DB7499" w:rsidRDefault="00BC71C4" w:rsidP="008A755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764147B8" w14:textId="77777777" w:rsidR="00BC71C4" w:rsidRPr="00DB7499" w:rsidRDefault="00057752" w:rsidP="00127B6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B7499">
        <w:rPr>
          <w:rFonts w:ascii="Palatino Linotype" w:eastAsia="Palatino Linotype" w:hAnsi="Palatino Linotype" w:cs="Palatino Linotype"/>
          <w:color w:val="000000" w:themeColor="text1"/>
        </w:rPr>
        <w:t>Se señaló como modalidad de entrega copias certificadas</w:t>
      </w:r>
    </w:p>
    <w:p w14:paraId="416966AA" w14:textId="77777777" w:rsidR="00BC71C4" w:rsidRPr="00DB7499" w:rsidRDefault="00BC71C4" w:rsidP="008A7552">
      <w:pPr>
        <w:pBdr>
          <w:top w:val="nil"/>
          <w:left w:val="nil"/>
          <w:bottom w:val="nil"/>
          <w:right w:val="nil"/>
          <w:between w:val="nil"/>
        </w:pBdr>
        <w:tabs>
          <w:tab w:val="left" w:pos="284"/>
        </w:tabs>
        <w:spacing w:after="240" w:line="360" w:lineRule="auto"/>
        <w:jc w:val="both"/>
        <w:rPr>
          <w:rFonts w:ascii="Palatino Linotype" w:eastAsia="Palatino Linotype" w:hAnsi="Palatino Linotype" w:cs="Palatino Linotype"/>
          <w:color w:val="000000" w:themeColor="text1"/>
        </w:rPr>
      </w:pPr>
    </w:p>
    <w:p w14:paraId="03945550" w14:textId="77777777" w:rsidR="00BC71C4" w:rsidRPr="00DB7499" w:rsidRDefault="00057752" w:rsidP="008A7552">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color w:val="000000" w:themeColor="text1"/>
        </w:rPr>
        <w:t xml:space="preserve">A la solicitud de información, </w:t>
      </w:r>
      <w:r w:rsidRPr="00DB7499">
        <w:rPr>
          <w:rFonts w:ascii="Palatino Linotype" w:eastAsia="Palatino Linotype" w:hAnsi="Palatino Linotype" w:cs="Palatino Linotype"/>
          <w:b/>
          <w:color w:val="000000" w:themeColor="text1"/>
        </w:rPr>
        <w:t>EL RECURRENTE</w:t>
      </w:r>
      <w:r w:rsidRPr="00DB7499">
        <w:rPr>
          <w:rFonts w:ascii="Palatino Linotype" w:eastAsia="Palatino Linotype" w:hAnsi="Palatino Linotype" w:cs="Palatino Linotype"/>
          <w:color w:val="000000" w:themeColor="text1"/>
        </w:rPr>
        <w:t xml:space="preserve"> adjuntó los archivos que se describen a continuación: </w:t>
      </w:r>
    </w:p>
    <w:p w14:paraId="6C999176" w14:textId="77777777" w:rsidR="00BC71C4" w:rsidRPr="00DB7499" w:rsidRDefault="00057752" w:rsidP="00127B6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b/>
          <w:i/>
          <w:color w:val="000000" w:themeColor="text1"/>
        </w:rPr>
        <w:lastRenderedPageBreak/>
        <w:t>CP-1188-07 PENSION.pdf</w:t>
      </w:r>
      <w:r w:rsidRPr="00DB7499">
        <w:rPr>
          <w:rFonts w:ascii="Palatino Linotype" w:eastAsia="Palatino Linotype" w:hAnsi="Palatino Linotype" w:cs="Palatino Linotype"/>
          <w:b/>
          <w:color w:val="000000" w:themeColor="text1"/>
        </w:rPr>
        <w:t xml:space="preserve">: </w:t>
      </w:r>
      <w:r w:rsidRPr="00DB7499">
        <w:rPr>
          <w:rFonts w:ascii="Palatino Linotype" w:eastAsia="Palatino Linotype" w:hAnsi="Palatino Linotype" w:cs="Palatino Linotype"/>
          <w:color w:val="000000" w:themeColor="text1"/>
        </w:rPr>
        <w:t>el cual contiene un oficio firmado por el Presidente del Comité de Pensiones, mediante el cual informó al ahora recurrente, la modificación al monto diario de pensión de retiro por edad y tiempo de servicio.</w:t>
      </w:r>
    </w:p>
    <w:p w14:paraId="5A6E4CEF" w14:textId="3893DAC7" w:rsidR="00BC71C4" w:rsidRPr="00DB7499" w:rsidRDefault="00D856C7" w:rsidP="00127B6A">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i/>
          <w:color w:val="000000" w:themeColor="text1"/>
        </w:rPr>
        <w:t>XXXX</w:t>
      </w:r>
      <w:r w:rsidR="00057752" w:rsidRPr="00DB7499">
        <w:rPr>
          <w:rFonts w:ascii="Palatino Linotype" w:eastAsia="Palatino Linotype" w:hAnsi="Palatino Linotype" w:cs="Palatino Linotype"/>
          <w:b/>
          <w:i/>
          <w:color w:val="000000" w:themeColor="text1"/>
        </w:rPr>
        <w:t>.pdf</w:t>
      </w:r>
      <w:r w:rsidR="00057752" w:rsidRPr="00DB7499">
        <w:rPr>
          <w:rFonts w:ascii="Palatino Linotype" w:eastAsia="Palatino Linotype" w:hAnsi="Palatino Linotype" w:cs="Palatino Linotype"/>
          <w:b/>
          <w:color w:val="000000" w:themeColor="text1"/>
        </w:rPr>
        <w:t xml:space="preserve">: </w:t>
      </w:r>
      <w:r w:rsidR="00057752" w:rsidRPr="00DB7499">
        <w:rPr>
          <w:rFonts w:ascii="Palatino Linotype" w:eastAsia="Palatino Linotype" w:hAnsi="Palatino Linotype" w:cs="Palatino Linotype"/>
          <w:color w:val="000000" w:themeColor="text1"/>
        </w:rPr>
        <w:t xml:space="preserve">el cual contiene la digitalización de la credencial del ISSEMYM del ahora recurrente.   </w:t>
      </w:r>
    </w:p>
    <w:p w14:paraId="548A4A69" w14:textId="77777777" w:rsidR="00BC71C4" w:rsidRPr="00DB7499" w:rsidRDefault="00BC71C4" w:rsidP="008A755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585572F6" w14:textId="77777777" w:rsidR="00BC71C4" w:rsidRPr="00DB7499" w:rsidRDefault="00057752" w:rsidP="008A7552">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color w:val="000000" w:themeColor="text1"/>
        </w:rPr>
        <w:t xml:space="preserve">El </w:t>
      </w:r>
      <w:r w:rsidRPr="00DB7499">
        <w:rPr>
          <w:rFonts w:ascii="Palatino Linotype" w:eastAsia="Palatino Linotype" w:hAnsi="Palatino Linotype" w:cs="Palatino Linotype"/>
          <w:b/>
          <w:color w:val="000000" w:themeColor="text1"/>
        </w:rPr>
        <w:t>treinta de mayo de dos mil veinticinco, el SUJETO OBLIGADO</w:t>
      </w:r>
      <w:r w:rsidRPr="00DB7499">
        <w:rPr>
          <w:rFonts w:ascii="Palatino Linotype" w:eastAsia="Palatino Linotype" w:hAnsi="Palatino Linotype" w:cs="Palatino Linotype"/>
          <w:color w:val="000000" w:themeColor="text1"/>
        </w:rPr>
        <w:t xml:space="preserve">, dio respuesta a través de los archivos electrónicos </w:t>
      </w:r>
      <w:r w:rsidRPr="00DB7499">
        <w:rPr>
          <w:rFonts w:ascii="Palatino Linotype" w:eastAsia="Palatino Linotype" w:hAnsi="Palatino Linotype" w:cs="Palatino Linotype"/>
          <w:b/>
          <w:i/>
          <w:color w:val="000000" w:themeColor="text1"/>
        </w:rPr>
        <w:t>RESPUESTA 565.AD.2025-pdf</w:t>
      </w:r>
      <w:r w:rsidRPr="00DB7499">
        <w:rPr>
          <w:rFonts w:ascii="Palatino Linotype" w:eastAsia="Palatino Linotype" w:hAnsi="Palatino Linotype" w:cs="Palatino Linotype"/>
          <w:color w:val="000000" w:themeColor="text1"/>
        </w:rPr>
        <w:t xml:space="preserve"> y </w:t>
      </w:r>
      <w:r w:rsidRPr="00DB7499">
        <w:rPr>
          <w:rFonts w:ascii="Palatino Linotype" w:eastAsia="Palatino Linotype" w:hAnsi="Palatino Linotype" w:cs="Palatino Linotype"/>
          <w:b/>
          <w:i/>
          <w:color w:val="000000" w:themeColor="text1"/>
        </w:rPr>
        <w:t>RESOLUCIÓN 565 AD.pdf</w:t>
      </w:r>
      <w:r w:rsidRPr="00DB7499">
        <w:rPr>
          <w:rFonts w:ascii="Palatino Linotype" w:eastAsia="Palatino Linotype" w:hAnsi="Palatino Linotype" w:cs="Palatino Linotype"/>
          <w:color w:val="000000" w:themeColor="text1"/>
        </w:rPr>
        <w:t xml:space="preserve">, mediante los cuales de forma medular, le informa al RECURRENTE, que después de una búsqueda exhaustiva en los archivos de ese </w:t>
      </w:r>
      <w:r w:rsidRPr="00DB7499">
        <w:rPr>
          <w:rFonts w:ascii="Palatino Linotype" w:eastAsia="Palatino Linotype" w:hAnsi="Palatino Linotype" w:cs="Palatino Linotype"/>
          <w:b/>
          <w:color w:val="000000" w:themeColor="text1"/>
        </w:rPr>
        <w:t>SUJETO OBLIGADO</w:t>
      </w:r>
      <w:r w:rsidRPr="00DB7499">
        <w:rPr>
          <w:rFonts w:ascii="Palatino Linotype" w:eastAsia="Palatino Linotype" w:hAnsi="Palatino Linotype" w:cs="Palatino Linotype"/>
          <w:color w:val="000000" w:themeColor="text1"/>
        </w:rPr>
        <w:t xml:space="preserve">, no se localizó la información requerida, adjuntando el acuerdo de inexistencia correspondiente. </w:t>
      </w:r>
    </w:p>
    <w:p w14:paraId="612838E2" w14:textId="77777777" w:rsidR="00BC71C4" w:rsidRPr="00DB7499" w:rsidRDefault="00BC71C4" w:rsidP="008A7552">
      <w:pPr>
        <w:spacing w:line="360" w:lineRule="auto"/>
        <w:jc w:val="both"/>
        <w:rPr>
          <w:rFonts w:ascii="Palatino Linotype" w:eastAsia="Palatino Linotype" w:hAnsi="Palatino Linotype" w:cs="Palatino Linotype"/>
          <w:i/>
          <w:color w:val="000000" w:themeColor="text1"/>
        </w:rPr>
      </w:pPr>
    </w:p>
    <w:p w14:paraId="5F1B170F"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El </w:t>
      </w:r>
      <w:r w:rsidRPr="00DB7499">
        <w:rPr>
          <w:rFonts w:ascii="Palatino Linotype" w:eastAsia="Palatino Linotype" w:hAnsi="Palatino Linotype" w:cs="Palatino Linotype"/>
          <w:b/>
          <w:color w:val="000000" w:themeColor="text1"/>
        </w:rPr>
        <w:t>trece de junio dos mil veinticinco</w:t>
      </w:r>
      <w:r w:rsidRPr="00DB7499">
        <w:rPr>
          <w:rFonts w:ascii="Palatino Linotype" w:eastAsia="Palatino Linotype" w:hAnsi="Palatino Linotype" w:cs="Palatino Linotype"/>
          <w:color w:val="000000" w:themeColor="text1"/>
        </w:rPr>
        <w:t>, el particular interpuso  recurso de revisión en contra de la respuesta, manifestando las siguientes razones o motivos de inconformidad:</w:t>
      </w:r>
    </w:p>
    <w:p w14:paraId="2D5075F0" w14:textId="77777777" w:rsidR="00BC71C4" w:rsidRPr="00DB7499" w:rsidRDefault="00BC71C4" w:rsidP="008A755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14:paraId="02C949B7" w14:textId="77777777" w:rsidR="00BC71C4" w:rsidRDefault="00057752" w:rsidP="00127B6A">
      <w:pPr>
        <w:pStyle w:val="Prrafodelista"/>
        <w:numPr>
          <w:ilvl w:val="0"/>
          <w:numId w:val="5"/>
        </w:numPr>
        <w:pBdr>
          <w:top w:val="nil"/>
          <w:left w:val="nil"/>
          <w:bottom w:val="nil"/>
          <w:right w:val="nil"/>
          <w:between w:val="nil"/>
        </w:pBdr>
        <w:tabs>
          <w:tab w:val="left" w:pos="426"/>
          <w:tab w:val="left" w:pos="993"/>
        </w:tabs>
        <w:jc w:val="both"/>
        <w:rPr>
          <w:rFonts w:ascii="Palatino Linotype" w:eastAsia="Palatino Linotype" w:hAnsi="Palatino Linotype" w:cs="Palatino Linotype"/>
          <w:i/>
          <w:color w:val="000000" w:themeColor="text1"/>
          <w:sz w:val="24"/>
        </w:rPr>
      </w:pPr>
      <w:r w:rsidRPr="00127B6A">
        <w:rPr>
          <w:rFonts w:ascii="Palatino Linotype" w:eastAsia="Palatino Linotype" w:hAnsi="Palatino Linotype" w:cs="Palatino Linotype"/>
          <w:b/>
          <w:color w:val="000000" w:themeColor="text1"/>
          <w:sz w:val="24"/>
        </w:rPr>
        <w:t>Acto impugnado:</w:t>
      </w:r>
      <w:r w:rsidRPr="00127B6A">
        <w:rPr>
          <w:rFonts w:ascii="Palatino Linotype" w:eastAsia="Palatino Linotype" w:hAnsi="Palatino Linotype" w:cs="Palatino Linotype"/>
          <w:i/>
          <w:color w:val="000000" w:themeColor="text1"/>
          <w:sz w:val="24"/>
        </w:rPr>
        <w:t xml:space="preserve"> “NO SE ME ENTREGA LA INFORMACIÓN SOLICITADA.” </w:t>
      </w:r>
    </w:p>
    <w:p w14:paraId="00D5E1BB" w14:textId="77777777" w:rsidR="00127B6A" w:rsidRPr="00127B6A" w:rsidRDefault="00127B6A" w:rsidP="00127B6A">
      <w:pPr>
        <w:pStyle w:val="Prrafodelista"/>
        <w:pBdr>
          <w:top w:val="nil"/>
          <w:left w:val="nil"/>
          <w:bottom w:val="nil"/>
          <w:right w:val="nil"/>
          <w:between w:val="nil"/>
        </w:pBdr>
        <w:tabs>
          <w:tab w:val="left" w:pos="426"/>
          <w:tab w:val="left" w:pos="993"/>
        </w:tabs>
        <w:jc w:val="both"/>
        <w:rPr>
          <w:rFonts w:ascii="Palatino Linotype" w:eastAsia="Palatino Linotype" w:hAnsi="Palatino Linotype" w:cs="Palatino Linotype"/>
          <w:i/>
          <w:color w:val="000000" w:themeColor="text1"/>
          <w:sz w:val="24"/>
        </w:rPr>
      </w:pPr>
    </w:p>
    <w:p w14:paraId="7F1D9691" w14:textId="77777777" w:rsidR="00BC71C4" w:rsidRPr="00127B6A" w:rsidRDefault="00057752" w:rsidP="00127B6A">
      <w:pPr>
        <w:pStyle w:val="Prrafodelista"/>
        <w:numPr>
          <w:ilvl w:val="0"/>
          <w:numId w:val="5"/>
        </w:numPr>
        <w:pBdr>
          <w:top w:val="nil"/>
          <w:left w:val="nil"/>
          <w:bottom w:val="nil"/>
          <w:right w:val="nil"/>
          <w:between w:val="nil"/>
        </w:pBdr>
        <w:tabs>
          <w:tab w:val="left" w:pos="426"/>
          <w:tab w:val="left" w:pos="993"/>
        </w:tabs>
        <w:jc w:val="both"/>
        <w:rPr>
          <w:rFonts w:ascii="Palatino Linotype" w:eastAsia="Palatino Linotype" w:hAnsi="Palatino Linotype" w:cs="Palatino Linotype"/>
          <w:i/>
          <w:color w:val="000000" w:themeColor="text1"/>
          <w:sz w:val="24"/>
        </w:rPr>
      </w:pPr>
      <w:r w:rsidRPr="00127B6A">
        <w:rPr>
          <w:rFonts w:ascii="Palatino Linotype" w:eastAsia="Palatino Linotype" w:hAnsi="Palatino Linotype" w:cs="Palatino Linotype"/>
          <w:b/>
          <w:color w:val="000000" w:themeColor="text1"/>
          <w:sz w:val="24"/>
        </w:rPr>
        <w:t>Razones o motivos de inconformidad:</w:t>
      </w:r>
      <w:r w:rsidRPr="00127B6A">
        <w:rPr>
          <w:rFonts w:ascii="Palatino Linotype" w:eastAsia="Palatino Linotype" w:hAnsi="Palatino Linotype" w:cs="Palatino Linotype"/>
          <w:i/>
          <w:color w:val="000000" w:themeColor="text1"/>
          <w:sz w:val="24"/>
        </w:rPr>
        <w:t xml:space="preserve"> “SOLICITE COPIA CERTIFICADA DE DICTAMEN DE PENSIÓN Y ME RESPONDIERON QUE NO EXISTE, EL DICTAMEN QUE PIDO FUE EMITIDO POR EL COMITE DE PENSIONES DE ISSEMYM, ANEXE COPIA CERTIFICADA POR LA UNIDAD JURIDICA, RAZON POR LA CUAL CUALQUIERA DE LAS DOS ÁREAS TANTO JURIDICO COMO PENSIONES DEBERIAN HACERME ENTREGA DEL DICTAMEN CON LA CERTIFICACIÓN.</w:t>
      </w:r>
    </w:p>
    <w:p w14:paraId="2D263583" w14:textId="77777777" w:rsidR="00BC71C4" w:rsidRPr="00DB7499" w:rsidRDefault="00BC71C4" w:rsidP="008A7552">
      <w:pPr>
        <w:pBdr>
          <w:top w:val="nil"/>
          <w:left w:val="nil"/>
          <w:bottom w:val="nil"/>
          <w:right w:val="nil"/>
          <w:between w:val="nil"/>
        </w:pBdr>
        <w:tabs>
          <w:tab w:val="left" w:pos="426"/>
          <w:tab w:val="left" w:pos="993"/>
        </w:tabs>
        <w:jc w:val="both"/>
        <w:rPr>
          <w:rFonts w:ascii="Palatino Linotype" w:eastAsia="Palatino Linotype" w:hAnsi="Palatino Linotype" w:cs="Palatino Linotype"/>
          <w:i/>
          <w:color w:val="000000" w:themeColor="text1"/>
        </w:rPr>
      </w:pPr>
    </w:p>
    <w:p w14:paraId="2DDF9E4F" w14:textId="77777777" w:rsidR="00BC71C4" w:rsidRPr="00DB7499" w:rsidRDefault="00057752" w:rsidP="00127B6A">
      <w:pPr>
        <w:numPr>
          <w:ilvl w:val="0"/>
          <w:numId w:val="1"/>
        </w:numPr>
        <w:pBdr>
          <w:top w:val="nil"/>
          <w:left w:val="nil"/>
          <w:bottom w:val="nil"/>
          <w:right w:val="nil"/>
          <w:between w:val="nil"/>
        </w:pBdr>
        <w:spacing w:line="276" w:lineRule="auto"/>
        <w:ind w:left="0" w:firstLine="0"/>
        <w:jc w:val="both"/>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b/>
          <w:color w:val="000000" w:themeColor="text1"/>
        </w:rPr>
        <w:t xml:space="preserve">EL RECURRENTE, </w:t>
      </w:r>
      <w:r w:rsidRPr="00DB7499">
        <w:rPr>
          <w:rFonts w:ascii="Palatino Linotype" w:eastAsia="Palatino Linotype" w:hAnsi="Palatino Linotype" w:cs="Palatino Linotype"/>
          <w:color w:val="000000" w:themeColor="text1"/>
        </w:rPr>
        <w:t>adjuntó a la interposición de recurso de revisión el archivo</w:t>
      </w:r>
      <w:r w:rsidRPr="00DB7499">
        <w:rPr>
          <w:rFonts w:ascii="Palatino Linotype" w:eastAsia="Palatino Linotype" w:hAnsi="Palatino Linotype" w:cs="Palatino Linotype"/>
          <w:b/>
          <w:color w:val="000000" w:themeColor="text1"/>
        </w:rPr>
        <w:t xml:space="preserve"> DICTAMEN PENSIÓN.pdf, </w:t>
      </w:r>
      <w:r w:rsidRPr="00DB7499">
        <w:rPr>
          <w:rFonts w:ascii="Palatino Linotype" w:eastAsia="Palatino Linotype" w:hAnsi="Palatino Linotype" w:cs="Palatino Linotype"/>
          <w:color w:val="000000" w:themeColor="text1"/>
        </w:rPr>
        <w:t>el cual corresponde a un dictamen de pensión a nombre del recurrente.</w:t>
      </w:r>
      <w:r w:rsidRPr="00DB7499">
        <w:rPr>
          <w:rFonts w:ascii="Palatino Linotype" w:eastAsia="Palatino Linotype" w:hAnsi="Palatino Linotype" w:cs="Palatino Linotype"/>
          <w:b/>
          <w:color w:val="000000" w:themeColor="text1"/>
        </w:rPr>
        <w:t xml:space="preserve"> </w:t>
      </w:r>
    </w:p>
    <w:p w14:paraId="76C90D9E" w14:textId="77777777" w:rsidR="00BC71C4" w:rsidRPr="00DB7499" w:rsidRDefault="00BC71C4" w:rsidP="008A7552">
      <w:pPr>
        <w:pBdr>
          <w:top w:val="nil"/>
          <w:left w:val="nil"/>
          <w:bottom w:val="nil"/>
          <w:right w:val="nil"/>
          <w:between w:val="nil"/>
        </w:pBdr>
        <w:spacing w:line="276" w:lineRule="auto"/>
        <w:jc w:val="both"/>
        <w:rPr>
          <w:rFonts w:ascii="Palatino Linotype" w:eastAsia="Palatino Linotype" w:hAnsi="Palatino Linotype" w:cs="Palatino Linotype"/>
          <w:b/>
          <w:color w:val="000000" w:themeColor="text1"/>
        </w:rPr>
      </w:pPr>
    </w:p>
    <w:p w14:paraId="1A1C6D32"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el artículo 185 fracción I de la </w:t>
      </w:r>
      <w:r w:rsidRPr="00DB7499">
        <w:rPr>
          <w:rFonts w:ascii="Palatino Linotype" w:eastAsia="Palatino Linotype" w:hAnsi="Palatino Linotype" w:cs="Palatino Linotype"/>
          <w:b/>
          <w:color w:val="000000" w:themeColor="text1"/>
        </w:rPr>
        <w:t>Ley de Transparencia y Acceso a la Información Pública del Estado de México y Municipios</w:t>
      </w:r>
      <w:r w:rsidRPr="00DB7499">
        <w:rPr>
          <w:rFonts w:ascii="Palatino Linotype" w:eastAsia="Palatino Linotype" w:hAnsi="Palatino Linotype" w:cs="Palatino Linotype"/>
          <w:color w:val="000000" w:themeColor="text1"/>
        </w:rPr>
        <w:t>, se turna a la Comisionada María del Rosario Mejía Ayala, para su análisis.</w:t>
      </w:r>
    </w:p>
    <w:p w14:paraId="4F95E850" w14:textId="77777777" w:rsidR="00BC71C4" w:rsidRPr="00DB7499" w:rsidRDefault="00BC71C4" w:rsidP="008A7552">
      <w:pPr>
        <w:spacing w:line="360" w:lineRule="auto"/>
        <w:jc w:val="both"/>
        <w:rPr>
          <w:rFonts w:ascii="Palatino Linotype" w:eastAsia="Palatino Linotype" w:hAnsi="Palatino Linotype" w:cs="Palatino Linotype"/>
          <w:color w:val="000000" w:themeColor="text1"/>
        </w:rPr>
      </w:pPr>
    </w:p>
    <w:p w14:paraId="44FE1409"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notificado el </w:t>
      </w:r>
      <w:r w:rsidRPr="00DB7499">
        <w:rPr>
          <w:rFonts w:ascii="Palatino Linotype" w:eastAsia="Palatino Linotype" w:hAnsi="Palatino Linotype" w:cs="Palatino Linotype"/>
          <w:b/>
          <w:color w:val="000000" w:themeColor="text1"/>
        </w:rPr>
        <w:t>veinte de junio de dos mil veinticinco,</w:t>
      </w:r>
      <w:r w:rsidRPr="00DB7499">
        <w:rPr>
          <w:rFonts w:ascii="Palatino Linotype" w:eastAsia="Palatino Linotype" w:hAnsi="Palatino Linotype" w:cs="Palatino Linotype"/>
          <w:color w:val="000000" w:themeColor="text1"/>
        </w:rPr>
        <w:t xml:space="preserve"> puso a disposición de las partes el expediente electrónico vía Sistema de Acceso, Rectificación, Cancelación y Oposición de Datos Personales del Estado de México (SARCOEM), a efecto de que en un plazo máximo de siete días manifestaran su voluntad para conciliar en el presente asunto.</w:t>
      </w:r>
    </w:p>
    <w:p w14:paraId="62538857" w14:textId="77777777" w:rsidR="00BC71C4" w:rsidRPr="00DB7499" w:rsidRDefault="00BC71C4" w:rsidP="008A7552">
      <w:pPr>
        <w:pBdr>
          <w:top w:val="nil"/>
          <w:left w:val="nil"/>
          <w:bottom w:val="nil"/>
          <w:right w:val="nil"/>
          <w:between w:val="nil"/>
        </w:pBdr>
        <w:rPr>
          <w:rFonts w:ascii="Palatino Linotype" w:eastAsia="Century Gothic" w:hAnsi="Palatino Linotype" w:cs="Century Gothic"/>
          <w:color w:val="000000" w:themeColor="text1"/>
        </w:rPr>
      </w:pPr>
    </w:p>
    <w:p w14:paraId="39A26119" w14:textId="467D7F20" w:rsidR="00BC71C4" w:rsidRPr="00DB7499" w:rsidRDefault="00057752" w:rsidP="008A7552">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DB7499">
        <w:rPr>
          <w:rFonts w:ascii="Palatino Linotype" w:eastAsia="Palatino Linotype" w:hAnsi="Palatino Linotype" w:cs="Palatino Linotype"/>
          <w:color w:val="000000" w:themeColor="text1"/>
        </w:rPr>
        <w:t xml:space="preserve">El diez de julio de dos mil veinticinco, </w:t>
      </w:r>
      <w:r w:rsidRPr="00DB7499">
        <w:rPr>
          <w:rFonts w:ascii="Palatino Linotype" w:eastAsia="Palatino Linotype" w:hAnsi="Palatino Linotype" w:cs="Palatino Linotype"/>
          <w:b/>
          <w:color w:val="000000" w:themeColor="text1"/>
        </w:rPr>
        <w:t>EL RECURRENTE</w:t>
      </w:r>
      <w:r w:rsidRPr="00DB7499">
        <w:rPr>
          <w:rFonts w:ascii="Palatino Linotype" w:eastAsia="Palatino Linotype" w:hAnsi="Palatino Linotype" w:cs="Palatino Linotype"/>
          <w:color w:val="000000" w:themeColor="text1"/>
        </w:rPr>
        <w:t xml:space="preserve">, mediante los archivos </w:t>
      </w:r>
      <w:r w:rsidRPr="00DB7499">
        <w:rPr>
          <w:rFonts w:ascii="Palatino Linotype" w:eastAsia="Palatino Linotype" w:hAnsi="Palatino Linotype" w:cs="Palatino Linotype"/>
          <w:b/>
          <w:i/>
          <w:color w:val="000000" w:themeColor="text1"/>
        </w:rPr>
        <w:t>Conciliacion RR 7103 AD.pdf</w:t>
      </w:r>
      <w:r w:rsidRPr="00DB7499">
        <w:rPr>
          <w:rFonts w:ascii="Palatino Linotype" w:eastAsia="Palatino Linotype" w:hAnsi="Palatino Linotype" w:cs="Palatino Linotype"/>
          <w:color w:val="000000" w:themeColor="text1"/>
        </w:rPr>
        <w:t xml:space="preserve"> e </w:t>
      </w:r>
      <w:r w:rsidRPr="00DB7499">
        <w:rPr>
          <w:rFonts w:ascii="Palatino Linotype" w:eastAsia="Palatino Linotype" w:hAnsi="Palatino Linotype" w:cs="Palatino Linotype"/>
          <w:b/>
          <w:i/>
          <w:color w:val="000000" w:themeColor="text1"/>
        </w:rPr>
        <w:t xml:space="preserve">IDENTIFICACIONES </w:t>
      </w:r>
      <w:r w:rsidR="00E42C96">
        <w:rPr>
          <w:rFonts w:ascii="Palatino Linotype" w:eastAsia="Palatino Linotype" w:hAnsi="Palatino Linotype" w:cs="Palatino Linotype"/>
          <w:b/>
          <w:i/>
          <w:color w:val="000000" w:themeColor="text1"/>
        </w:rPr>
        <w:t>XXXX</w:t>
      </w:r>
      <w:r w:rsidRPr="00DB7499">
        <w:rPr>
          <w:rFonts w:ascii="Palatino Linotype" w:eastAsia="Palatino Linotype" w:hAnsi="Palatino Linotype" w:cs="Palatino Linotype"/>
          <w:b/>
          <w:i/>
          <w:color w:val="000000" w:themeColor="text1"/>
        </w:rPr>
        <w:t>.pdf</w:t>
      </w:r>
      <w:r w:rsidRPr="00DB7499">
        <w:rPr>
          <w:rFonts w:ascii="Palatino Linotype" w:eastAsia="Palatino Linotype" w:hAnsi="Palatino Linotype" w:cs="Palatino Linotype"/>
          <w:color w:val="000000" w:themeColor="text1"/>
        </w:rPr>
        <w:t xml:space="preserve">, manifestó su voluntad para conciliar, mientras que el </w:t>
      </w:r>
      <w:r w:rsidRPr="00DB7499">
        <w:rPr>
          <w:rFonts w:ascii="Palatino Linotype" w:eastAsia="Palatino Linotype" w:hAnsi="Palatino Linotype" w:cs="Palatino Linotype"/>
          <w:b/>
          <w:color w:val="000000" w:themeColor="text1"/>
        </w:rPr>
        <w:t>SUJETO OBLIGADO</w:t>
      </w:r>
      <w:r w:rsidRPr="00DB7499">
        <w:rPr>
          <w:rFonts w:ascii="Palatino Linotype" w:eastAsia="Palatino Linotype" w:hAnsi="Palatino Linotype" w:cs="Palatino Linotype"/>
          <w:color w:val="000000" w:themeColor="text1"/>
        </w:rPr>
        <w:t xml:space="preserve">, mediante el archivo </w:t>
      </w:r>
      <w:r w:rsidRPr="00DB7499">
        <w:rPr>
          <w:rFonts w:ascii="Palatino Linotype" w:eastAsia="Palatino Linotype" w:hAnsi="Palatino Linotype" w:cs="Palatino Linotype"/>
          <w:b/>
          <w:i/>
          <w:color w:val="000000" w:themeColor="text1"/>
        </w:rPr>
        <w:t>OFICIO CONCILIACIÓN 7103.AD.2025.pdf</w:t>
      </w:r>
      <w:r w:rsidRPr="00DB7499">
        <w:rPr>
          <w:rFonts w:ascii="Palatino Linotype" w:eastAsia="Palatino Linotype" w:hAnsi="Palatino Linotype" w:cs="Palatino Linotype"/>
          <w:color w:val="000000" w:themeColor="text1"/>
        </w:rPr>
        <w:t xml:space="preserve">, remitido en el nueve de julio del mismo año, manifestó su voluntad para conciliar, por lo que se estableció como fecha de audiencia de conciliación, el ocho de agosto de dos mil veinticinco a las once horas, misma que no se desarrolló, atendiendo a que el RECURRENTE no se presentó a la misma, como se advierte en el acuerdo notificado en fecha catorce de agosto de dos mil veinticinco. </w:t>
      </w:r>
    </w:p>
    <w:p w14:paraId="2573E0B6" w14:textId="77777777" w:rsidR="00BC71C4" w:rsidRPr="00DB7499" w:rsidRDefault="00BC71C4" w:rsidP="008A7552">
      <w:pPr>
        <w:spacing w:line="360" w:lineRule="auto"/>
        <w:jc w:val="both"/>
        <w:rPr>
          <w:rFonts w:ascii="Palatino Linotype" w:eastAsia="Palatino Linotype" w:hAnsi="Palatino Linotype" w:cs="Palatino Linotype"/>
          <w:color w:val="000000" w:themeColor="text1"/>
        </w:rPr>
      </w:pPr>
    </w:p>
    <w:p w14:paraId="69807DC8"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El </w:t>
      </w:r>
      <w:r w:rsidRPr="00DB7499">
        <w:rPr>
          <w:rFonts w:ascii="Palatino Linotype" w:eastAsia="Palatino Linotype" w:hAnsi="Palatino Linotype" w:cs="Palatino Linotype"/>
          <w:b/>
          <w:color w:val="000000" w:themeColor="text1"/>
        </w:rPr>
        <w:t>ocho de agosto de dos mil veinticinco</w:t>
      </w:r>
      <w:r w:rsidRPr="00DB7499">
        <w:rPr>
          <w:rFonts w:ascii="Palatino Linotype" w:eastAsia="Palatino Linotype" w:hAnsi="Palatino Linotype" w:cs="Palatino Linotype"/>
          <w:color w:val="000000" w:themeColor="text1"/>
        </w:rPr>
        <w:t xml:space="preserve">, el Recurrente desistió del recurso de revisión, tal y como se muestra en la siguiente captura de pantalla. </w:t>
      </w:r>
    </w:p>
    <w:p w14:paraId="01664F6E" w14:textId="0101DDEF" w:rsidR="00BC71C4" w:rsidRPr="00DB7499" w:rsidRDefault="00D856C7" w:rsidP="008A7552">
      <w:pPr>
        <w:spacing w:line="360" w:lineRule="auto"/>
        <w:jc w:val="both"/>
        <w:rPr>
          <w:rFonts w:ascii="Palatino Linotype" w:hAnsi="Palatino Linotype"/>
          <w:color w:val="000000" w:themeColor="text1"/>
        </w:rPr>
      </w:pPr>
      <w:bookmarkStart w:id="2" w:name="_heading=h.30j0zll" w:colFirst="0" w:colLast="0"/>
      <w:bookmarkEnd w:id="2"/>
      <w:r w:rsidRPr="00D856C7">
        <w:rPr>
          <w:rFonts w:ascii="Palatino Linotype" w:hAnsi="Palatino Linotype"/>
          <w:color w:val="000000" w:themeColor="text1"/>
        </w:rPr>
        <w:lastRenderedPageBreak/>
        <w:drawing>
          <wp:inline distT="0" distB="0" distL="0" distR="0" wp14:anchorId="63C9A0A3" wp14:editId="3A104C26">
            <wp:extent cx="6192520" cy="3058795"/>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92520" cy="3058795"/>
                    </a:xfrm>
                    <a:prstGeom prst="rect">
                      <a:avLst/>
                    </a:prstGeom>
                  </pic:spPr>
                </pic:pic>
              </a:graphicData>
            </a:graphic>
          </wp:inline>
        </w:drawing>
      </w:r>
    </w:p>
    <w:p w14:paraId="4D01E668" w14:textId="77777777" w:rsidR="00BC71C4" w:rsidRPr="00DB7499" w:rsidRDefault="00BC71C4" w:rsidP="008A7552">
      <w:pPr>
        <w:spacing w:line="360" w:lineRule="auto"/>
        <w:jc w:val="both"/>
        <w:rPr>
          <w:rFonts w:ascii="Palatino Linotype" w:hAnsi="Palatino Linotype"/>
          <w:color w:val="000000" w:themeColor="text1"/>
        </w:rPr>
      </w:pPr>
    </w:p>
    <w:p w14:paraId="5CF10D81" w14:textId="77777777" w:rsidR="00BC71C4" w:rsidRPr="00DB7499" w:rsidRDefault="00057752" w:rsidP="008A7552">
      <w:pPr>
        <w:spacing w:line="360" w:lineRule="auto"/>
        <w:jc w:val="both"/>
        <w:rPr>
          <w:rFonts w:ascii="Palatino Linotype" w:hAnsi="Palatino Linotype"/>
          <w:color w:val="000000" w:themeColor="text1"/>
        </w:rPr>
      </w:pPr>
      <w:r w:rsidRPr="00DB7499">
        <w:rPr>
          <w:rFonts w:ascii="Palatino Linotype" w:hAnsi="Palatino Linotype"/>
          <w:color w:val="000000" w:themeColor="text1"/>
        </w:rPr>
        <w:t>Del Recurso de Revisión Desistido se desprende lo siguiente:</w:t>
      </w:r>
    </w:p>
    <w:p w14:paraId="269FFE7B" w14:textId="77777777" w:rsidR="00BC71C4" w:rsidRPr="00DB7499" w:rsidRDefault="00BC71C4" w:rsidP="008A7552">
      <w:pPr>
        <w:spacing w:line="360" w:lineRule="auto"/>
        <w:jc w:val="both"/>
        <w:rPr>
          <w:rFonts w:ascii="Palatino Linotype" w:hAnsi="Palatino Linotype"/>
          <w:color w:val="000000" w:themeColor="text1"/>
        </w:rPr>
      </w:pPr>
    </w:p>
    <w:tbl>
      <w:tblPr>
        <w:tblStyle w:val="a4"/>
        <w:tblW w:w="10500" w:type="dxa"/>
        <w:jc w:val="center"/>
        <w:tblInd w:w="0" w:type="dxa"/>
        <w:tblLayout w:type="fixed"/>
        <w:tblLook w:val="0400" w:firstRow="0" w:lastRow="0" w:firstColumn="0" w:lastColumn="0" w:noHBand="0" w:noVBand="1"/>
      </w:tblPr>
      <w:tblGrid>
        <w:gridCol w:w="10500"/>
      </w:tblGrid>
      <w:tr w:rsidR="008A7552" w:rsidRPr="00DB7499" w14:paraId="0E5B1BF8" w14:textId="77777777">
        <w:trPr>
          <w:trHeight w:val="300"/>
          <w:jc w:val="center"/>
        </w:trPr>
        <w:tc>
          <w:tcPr>
            <w:tcW w:w="10500" w:type="dxa"/>
            <w:vAlign w:val="center"/>
          </w:tcPr>
          <w:p w14:paraId="62F28EBF" w14:textId="77777777" w:rsidR="00BC71C4" w:rsidRPr="00DB7499" w:rsidRDefault="00057752" w:rsidP="008A7552">
            <w:pPr>
              <w:jc w:val="right"/>
              <w:rPr>
                <w:rFonts w:ascii="Palatino Linotype" w:hAnsi="Palatino Linotype"/>
                <w:color w:val="000000" w:themeColor="text1"/>
              </w:rPr>
            </w:pPr>
            <w:r w:rsidRPr="00DB7499">
              <w:rPr>
                <w:rFonts w:ascii="Palatino Linotype" w:eastAsia="Verdana" w:hAnsi="Palatino Linotype" w:cs="Verdana"/>
                <w:color w:val="000000" w:themeColor="text1"/>
              </w:rPr>
              <w:t>Metepec, México a 08 de Agosto de 2025</w:t>
            </w:r>
          </w:p>
        </w:tc>
      </w:tr>
      <w:tr w:rsidR="008A7552" w:rsidRPr="00DB7499" w14:paraId="0E99A4D4" w14:textId="77777777">
        <w:trPr>
          <w:trHeight w:val="300"/>
          <w:jc w:val="center"/>
        </w:trPr>
        <w:tc>
          <w:tcPr>
            <w:tcW w:w="10500" w:type="dxa"/>
            <w:vAlign w:val="center"/>
          </w:tcPr>
          <w:p w14:paraId="584C9FC1" w14:textId="1DCC487D" w:rsidR="00BC71C4" w:rsidRPr="00DB7499" w:rsidRDefault="00057752" w:rsidP="00E42C96">
            <w:pPr>
              <w:jc w:val="right"/>
              <w:rPr>
                <w:rFonts w:ascii="Palatino Linotype" w:hAnsi="Palatino Linotype"/>
                <w:color w:val="000000" w:themeColor="text1"/>
              </w:rPr>
            </w:pPr>
            <w:r w:rsidRPr="00DB7499">
              <w:rPr>
                <w:rFonts w:ascii="Palatino Linotype" w:eastAsia="Verdana" w:hAnsi="Palatino Linotype" w:cs="Verdana"/>
                <w:color w:val="000000" w:themeColor="text1"/>
              </w:rPr>
              <w:t xml:space="preserve">Nombre del solicitante: </w:t>
            </w:r>
            <w:r w:rsidR="00E42C96">
              <w:rPr>
                <w:rFonts w:ascii="Palatino Linotype" w:eastAsia="Verdana" w:hAnsi="Palatino Linotype" w:cs="Verdana"/>
                <w:color w:val="000000" w:themeColor="text1"/>
              </w:rPr>
              <w:t>XXXX</w:t>
            </w:r>
          </w:p>
        </w:tc>
      </w:tr>
      <w:tr w:rsidR="008A7552" w:rsidRPr="00DB7499" w14:paraId="56DB17C7" w14:textId="77777777">
        <w:trPr>
          <w:trHeight w:val="300"/>
          <w:jc w:val="center"/>
        </w:trPr>
        <w:tc>
          <w:tcPr>
            <w:tcW w:w="10500" w:type="dxa"/>
            <w:vAlign w:val="center"/>
          </w:tcPr>
          <w:p w14:paraId="37551A34" w14:textId="77777777" w:rsidR="00BC71C4" w:rsidRPr="00DB7499" w:rsidRDefault="00057752" w:rsidP="008A7552">
            <w:pPr>
              <w:jc w:val="right"/>
              <w:rPr>
                <w:rFonts w:ascii="Palatino Linotype" w:hAnsi="Palatino Linotype"/>
                <w:color w:val="000000" w:themeColor="text1"/>
              </w:rPr>
            </w:pPr>
            <w:r w:rsidRPr="00DB7499">
              <w:rPr>
                <w:rFonts w:ascii="Palatino Linotype" w:eastAsia="Verdana" w:hAnsi="Palatino Linotype" w:cs="Verdana"/>
                <w:color w:val="000000" w:themeColor="text1"/>
              </w:rPr>
              <w:t>Folio de la solicitud: 00565/ISSEMYM/AD/2025</w:t>
            </w:r>
          </w:p>
        </w:tc>
      </w:tr>
      <w:tr w:rsidR="008A7552" w:rsidRPr="00DB7499" w14:paraId="6C003F2A" w14:textId="77777777">
        <w:trPr>
          <w:trHeight w:val="450"/>
          <w:jc w:val="center"/>
        </w:trPr>
        <w:tc>
          <w:tcPr>
            <w:tcW w:w="10500" w:type="dxa"/>
            <w:vAlign w:val="center"/>
          </w:tcPr>
          <w:p w14:paraId="2E2C13CC" w14:textId="77777777" w:rsidR="00BC71C4" w:rsidRPr="00DB7499" w:rsidRDefault="00BC71C4" w:rsidP="008A7552">
            <w:pPr>
              <w:jc w:val="right"/>
              <w:rPr>
                <w:rFonts w:ascii="Palatino Linotype" w:hAnsi="Palatino Linotype"/>
                <w:color w:val="000000" w:themeColor="text1"/>
              </w:rPr>
            </w:pPr>
          </w:p>
        </w:tc>
      </w:tr>
      <w:tr w:rsidR="008A7552" w:rsidRPr="00DB7499" w14:paraId="4902E1AE" w14:textId="77777777">
        <w:trPr>
          <w:trHeight w:val="150"/>
          <w:jc w:val="center"/>
        </w:trPr>
        <w:tc>
          <w:tcPr>
            <w:tcW w:w="10500" w:type="dxa"/>
            <w:vAlign w:val="center"/>
          </w:tcPr>
          <w:p w14:paraId="60842817" w14:textId="77777777" w:rsidR="00BC71C4" w:rsidRPr="00DB7499" w:rsidRDefault="00BC71C4" w:rsidP="008A7552">
            <w:pPr>
              <w:jc w:val="center"/>
              <w:rPr>
                <w:rFonts w:ascii="Palatino Linotype" w:hAnsi="Palatino Linotype"/>
                <w:color w:val="000000" w:themeColor="text1"/>
              </w:rPr>
            </w:pPr>
          </w:p>
        </w:tc>
      </w:tr>
      <w:tr w:rsidR="008A7552" w:rsidRPr="00DB7499" w14:paraId="14868674" w14:textId="77777777">
        <w:trPr>
          <w:trHeight w:val="375"/>
          <w:jc w:val="center"/>
        </w:trPr>
        <w:tc>
          <w:tcPr>
            <w:tcW w:w="10500" w:type="dxa"/>
            <w:vAlign w:val="center"/>
          </w:tcPr>
          <w:p w14:paraId="0E98BC90" w14:textId="77777777" w:rsidR="00BC71C4" w:rsidRPr="00DB7499" w:rsidRDefault="00BC71C4" w:rsidP="008A7552">
            <w:pPr>
              <w:rPr>
                <w:rFonts w:ascii="Palatino Linotype" w:hAnsi="Palatino Linotype"/>
                <w:color w:val="000000" w:themeColor="text1"/>
              </w:rPr>
            </w:pPr>
          </w:p>
        </w:tc>
      </w:tr>
      <w:tr w:rsidR="008A7552" w:rsidRPr="00DB7499" w14:paraId="575B17F0" w14:textId="77777777">
        <w:trPr>
          <w:trHeight w:val="150"/>
          <w:jc w:val="center"/>
        </w:trPr>
        <w:tc>
          <w:tcPr>
            <w:tcW w:w="10500" w:type="dxa"/>
            <w:vAlign w:val="center"/>
          </w:tcPr>
          <w:p w14:paraId="07E0D514" w14:textId="77777777" w:rsidR="00BC71C4" w:rsidRPr="00DB7499" w:rsidRDefault="00057752" w:rsidP="008A7552">
            <w:pPr>
              <w:rPr>
                <w:rFonts w:ascii="Palatino Linotype" w:hAnsi="Palatino Linotype"/>
                <w:color w:val="000000" w:themeColor="text1"/>
              </w:rPr>
            </w:pPr>
            <w:r w:rsidRPr="00DB7499">
              <w:rPr>
                <w:rFonts w:ascii="Palatino Linotype" w:eastAsia="Verdana" w:hAnsi="Palatino Linotype" w:cs="Verdana"/>
                <w:color w:val="000000" w:themeColor="text1"/>
              </w:rPr>
              <w:t>ME DESISTO DEL RECURSO DE REVISIÓN 07103/INFOEM/AD/RR/2025, TODAVEZ QUE EL TRIBUNAL DE JUSTICIA ADMINISTRATIVA ME OTORGO COPIA CERTIFICADA DEL DOCUMENTO SOLICITADO.</w:t>
            </w:r>
          </w:p>
        </w:tc>
      </w:tr>
      <w:tr w:rsidR="00BC71C4" w:rsidRPr="00DB7499" w14:paraId="3A137CEE" w14:textId="77777777">
        <w:trPr>
          <w:jc w:val="center"/>
        </w:trPr>
        <w:tc>
          <w:tcPr>
            <w:tcW w:w="10500" w:type="dxa"/>
            <w:vAlign w:val="center"/>
          </w:tcPr>
          <w:p w14:paraId="5CB22A74" w14:textId="77777777" w:rsidR="00BC71C4" w:rsidRPr="00DB7499" w:rsidRDefault="00BC71C4" w:rsidP="008A7552">
            <w:pPr>
              <w:rPr>
                <w:rFonts w:ascii="Palatino Linotype" w:hAnsi="Palatino Linotype"/>
                <w:color w:val="000000" w:themeColor="text1"/>
              </w:rPr>
            </w:pPr>
          </w:p>
        </w:tc>
      </w:tr>
    </w:tbl>
    <w:p w14:paraId="18AC99AB" w14:textId="77777777" w:rsidR="00BC71C4" w:rsidRPr="00DB7499" w:rsidRDefault="00BC71C4" w:rsidP="008A7552">
      <w:pPr>
        <w:spacing w:line="360" w:lineRule="auto"/>
        <w:jc w:val="both"/>
        <w:rPr>
          <w:rFonts w:ascii="Palatino Linotype" w:eastAsia="Palatino Linotype" w:hAnsi="Palatino Linotype" w:cs="Palatino Linotype"/>
          <w:color w:val="000000" w:themeColor="text1"/>
        </w:rPr>
      </w:pPr>
    </w:p>
    <w:p w14:paraId="308FFB7B"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La Comisionada Ponente, notificó el acuerdo de cierre de instrucción en fecha catorce de agosto de dos mil veinticinco.  </w:t>
      </w:r>
    </w:p>
    <w:p w14:paraId="1EAF66AB" w14:textId="77777777" w:rsidR="00BC71C4" w:rsidRPr="00DB7499" w:rsidRDefault="00057752" w:rsidP="008A7552">
      <w:pPr>
        <w:spacing w:line="360" w:lineRule="auto"/>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 </w:t>
      </w:r>
    </w:p>
    <w:p w14:paraId="4A025E73" w14:textId="77777777" w:rsidR="00BC71C4" w:rsidRPr="00DB7499" w:rsidRDefault="00057752" w:rsidP="008A7552">
      <w:pPr>
        <w:pStyle w:val="Ttulo2"/>
        <w:jc w:val="center"/>
        <w:rPr>
          <w:rFonts w:ascii="Palatino Linotype" w:eastAsia="Palatino Linotype" w:hAnsi="Palatino Linotype" w:cs="Palatino Linotype"/>
          <w:b/>
          <w:color w:val="000000" w:themeColor="text1"/>
          <w:sz w:val="24"/>
          <w:szCs w:val="24"/>
        </w:rPr>
      </w:pPr>
      <w:bookmarkStart w:id="3" w:name="_heading=h.1fob9te" w:colFirst="0" w:colLast="0"/>
      <w:bookmarkEnd w:id="3"/>
      <w:r w:rsidRPr="00DB7499">
        <w:rPr>
          <w:rFonts w:ascii="Palatino Linotype" w:eastAsia="Palatino Linotype" w:hAnsi="Palatino Linotype" w:cs="Palatino Linotype"/>
          <w:b/>
          <w:color w:val="000000" w:themeColor="text1"/>
          <w:sz w:val="24"/>
          <w:szCs w:val="24"/>
        </w:rPr>
        <w:lastRenderedPageBreak/>
        <w:t>C O N S I D E R A N D O</w:t>
      </w:r>
    </w:p>
    <w:p w14:paraId="57EE41AF" w14:textId="77777777" w:rsidR="00BC71C4" w:rsidRDefault="00BC71C4" w:rsidP="008A7552">
      <w:pPr>
        <w:rPr>
          <w:rFonts w:ascii="Palatino Linotype" w:hAnsi="Palatino Linotype"/>
          <w:color w:val="000000" w:themeColor="text1"/>
        </w:rPr>
      </w:pPr>
    </w:p>
    <w:p w14:paraId="69FC9D1A" w14:textId="77777777" w:rsidR="00127B6A" w:rsidRPr="00DB7499" w:rsidRDefault="00127B6A" w:rsidP="008A7552">
      <w:pPr>
        <w:rPr>
          <w:rFonts w:ascii="Palatino Linotype" w:hAnsi="Palatino Linotype"/>
          <w:color w:val="000000" w:themeColor="text1"/>
        </w:rPr>
      </w:pPr>
    </w:p>
    <w:p w14:paraId="6A5AC398" w14:textId="77777777" w:rsidR="00BC71C4" w:rsidRPr="00DB7499" w:rsidRDefault="00057752" w:rsidP="008A7552">
      <w:pPr>
        <w:pStyle w:val="Ttulo2"/>
        <w:spacing w:line="360" w:lineRule="auto"/>
        <w:rPr>
          <w:rFonts w:ascii="Palatino Linotype" w:eastAsia="Palatino Linotype" w:hAnsi="Palatino Linotype" w:cs="Palatino Linotype"/>
          <w:b/>
          <w:color w:val="000000" w:themeColor="text1"/>
          <w:sz w:val="24"/>
          <w:szCs w:val="24"/>
        </w:rPr>
      </w:pPr>
      <w:bookmarkStart w:id="4" w:name="_heading=h.3znysh7" w:colFirst="0" w:colLast="0"/>
      <w:bookmarkEnd w:id="4"/>
      <w:r w:rsidRPr="00DB7499">
        <w:rPr>
          <w:rFonts w:ascii="Palatino Linotype" w:eastAsia="Palatino Linotype" w:hAnsi="Palatino Linotype" w:cs="Palatino Linotype"/>
          <w:b/>
          <w:color w:val="000000" w:themeColor="text1"/>
          <w:sz w:val="24"/>
          <w:szCs w:val="24"/>
        </w:rPr>
        <w:t>PRIMERO. De la competencia</w:t>
      </w:r>
    </w:p>
    <w:p w14:paraId="370E8313"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2C7361C" w14:textId="77777777" w:rsidR="00BC71C4" w:rsidRPr="00DB7499" w:rsidRDefault="00BC71C4" w:rsidP="008A7552">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b/>
          <w:color w:val="000000" w:themeColor="text1"/>
        </w:rPr>
      </w:pPr>
    </w:p>
    <w:p w14:paraId="6F73B193" w14:textId="77777777" w:rsidR="00BC71C4" w:rsidRPr="00DB7499" w:rsidRDefault="00057752" w:rsidP="008A7552">
      <w:pPr>
        <w:pStyle w:val="Ttulo2"/>
        <w:tabs>
          <w:tab w:val="left" w:pos="284"/>
          <w:tab w:val="left" w:pos="426"/>
        </w:tabs>
        <w:spacing w:line="360" w:lineRule="auto"/>
        <w:rPr>
          <w:rFonts w:ascii="Palatino Linotype" w:eastAsia="Palatino Linotype" w:hAnsi="Palatino Linotype" w:cs="Palatino Linotype"/>
          <w:b/>
          <w:color w:val="000000" w:themeColor="text1"/>
          <w:sz w:val="24"/>
          <w:szCs w:val="24"/>
        </w:rPr>
      </w:pPr>
      <w:bookmarkStart w:id="5" w:name="_heading=h.2et92p0" w:colFirst="0" w:colLast="0"/>
      <w:bookmarkEnd w:id="5"/>
      <w:r w:rsidRPr="00DB7499">
        <w:rPr>
          <w:rFonts w:ascii="Palatino Linotype" w:eastAsia="Palatino Linotype" w:hAnsi="Palatino Linotype" w:cs="Palatino Linotype"/>
          <w:b/>
          <w:color w:val="000000" w:themeColor="text1"/>
          <w:sz w:val="24"/>
          <w:szCs w:val="24"/>
        </w:rPr>
        <w:t>SEGUNDO. De la oportunidad y procedencia.</w:t>
      </w:r>
    </w:p>
    <w:p w14:paraId="447059B3"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bookmarkStart w:id="6" w:name="_heading=h.tyjcwt" w:colFirst="0" w:colLast="0"/>
      <w:bookmarkEnd w:id="6"/>
      <w:r w:rsidRPr="00DB7499">
        <w:rPr>
          <w:rFonts w:ascii="Palatino Linotype" w:eastAsia="Palatino Linotype" w:hAnsi="Palatino Linotype" w:cs="Palatino Linotype"/>
          <w:color w:val="000000" w:themeColor="text1"/>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52E0743" w14:textId="77777777" w:rsidR="00BC71C4" w:rsidRPr="00DB7499" w:rsidRDefault="00BC71C4" w:rsidP="008A7552">
      <w:pPr>
        <w:spacing w:line="360" w:lineRule="auto"/>
        <w:jc w:val="both"/>
        <w:rPr>
          <w:rFonts w:ascii="Palatino Linotype" w:eastAsia="Palatino Linotype" w:hAnsi="Palatino Linotype" w:cs="Palatino Linotype"/>
          <w:color w:val="000000" w:themeColor="text1"/>
        </w:rPr>
      </w:pPr>
    </w:p>
    <w:p w14:paraId="71D96A02"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lastRenderedPageBreak/>
        <w:t>En el presente caso, no se actualiza ninguna de las causales de improcedencia establecidas en el ordenamiento jurídico previamente señalado, en sus fracciones I, II, de la IV a la VII, toda vez que: este Instituto no tiene conocimiento de que se haya presentado el Recurso de manera extemporánea; se encuentre en trámite algún medio de defensa presentado por el Recurrente ante otra instancia; no existió prevención alguna; la veracidad de la respuesta no formó parte del agravio; ni se realizó una consulta o trámite mediante el pedimento de información, o bien, que el Solicitante haya ampliado la solicitud.</w:t>
      </w:r>
    </w:p>
    <w:p w14:paraId="3CC4B24F" w14:textId="77777777" w:rsidR="00BC71C4" w:rsidRPr="00DB7499" w:rsidRDefault="00BC71C4" w:rsidP="008A7552">
      <w:pPr>
        <w:spacing w:line="360" w:lineRule="auto"/>
        <w:jc w:val="both"/>
        <w:rPr>
          <w:rFonts w:ascii="Palatino Linotype" w:eastAsia="Palatino Linotype" w:hAnsi="Palatino Linotype" w:cs="Palatino Linotype"/>
          <w:color w:val="000000" w:themeColor="text1"/>
        </w:rPr>
      </w:pPr>
    </w:p>
    <w:p w14:paraId="60F9439C"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Asimismo, se considera por lo que hace a la fracción III, del artículo 191, de la Ley de la materia, toda vez, que ya ha sido admitido el Recurso de Revisión, se realizará el análisis correspondiente en el Considerando Tercero.</w:t>
      </w:r>
    </w:p>
    <w:p w14:paraId="55A39961" w14:textId="77777777" w:rsidR="00BC71C4" w:rsidRPr="00DB7499" w:rsidRDefault="00057752" w:rsidP="008A7552">
      <w:pPr>
        <w:pStyle w:val="Ttulo1"/>
        <w:tabs>
          <w:tab w:val="left" w:pos="284"/>
          <w:tab w:val="left" w:pos="426"/>
        </w:tabs>
        <w:spacing w:line="360" w:lineRule="auto"/>
        <w:rPr>
          <w:rFonts w:ascii="Palatino Linotype" w:eastAsia="Palatino Linotype" w:hAnsi="Palatino Linotype" w:cs="Palatino Linotype"/>
          <w:b/>
          <w:color w:val="000000" w:themeColor="text1"/>
          <w:sz w:val="24"/>
          <w:szCs w:val="24"/>
        </w:rPr>
      </w:pPr>
      <w:r w:rsidRPr="00DB7499">
        <w:rPr>
          <w:rFonts w:ascii="Palatino Linotype" w:eastAsia="Palatino Linotype" w:hAnsi="Palatino Linotype" w:cs="Palatino Linotype"/>
          <w:b/>
          <w:color w:val="000000" w:themeColor="text1"/>
          <w:sz w:val="24"/>
          <w:szCs w:val="24"/>
        </w:rPr>
        <w:t>TERCERO. De las causales del sobreseimiento.</w:t>
      </w:r>
    </w:p>
    <w:p w14:paraId="003FF2B0"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bookmarkStart w:id="7" w:name="_heading=h.3dy6vkm" w:colFirst="0" w:colLast="0"/>
      <w:bookmarkEnd w:id="7"/>
      <w:r w:rsidRPr="00DB7499">
        <w:rPr>
          <w:rFonts w:ascii="Palatino Linotype" w:eastAsia="Palatino Linotype" w:hAnsi="Palatino Linotype" w:cs="Palatino Linotype"/>
          <w:color w:val="000000" w:themeColor="text1"/>
        </w:rPr>
        <w:t xml:space="preserve">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w:t>
      </w:r>
      <w:r w:rsidRPr="00DB7499">
        <w:rPr>
          <w:rFonts w:ascii="Palatino Linotype" w:eastAsia="Palatino Linotype" w:hAnsi="Palatino Linotype" w:cs="Palatino Linotype"/>
          <w:b/>
          <w:color w:val="000000" w:themeColor="text1"/>
          <w:u w:val="single"/>
        </w:rPr>
        <w:t>o sobreseimiento</w:t>
      </w:r>
      <w:r w:rsidRPr="00DB7499">
        <w:rPr>
          <w:rFonts w:ascii="Palatino Linotype" w:eastAsia="Palatino Linotype" w:hAnsi="Palatino Linotype" w:cs="Palatino Linotype"/>
          <w:color w:val="000000" w:themeColor="text1"/>
        </w:rPr>
        <w:t xml:space="preserve">; y, en su caso, ordenar la entrega de la información respecto a la falta de respuesta por parte del </w:t>
      </w:r>
      <w:r w:rsidRPr="00DB7499">
        <w:rPr>
          <w:rFonts w:ascii="Palatino Linotype" w:eastAsia="Palatino Linotype" w:hAnsi="Palatino Linotype" w:cs="Palatino Linotype"/>
          <w:b/>
          <w:color w:val="000000" w:themeColor="text1"/>
        </w:rPr>
        <w:t>SUJETO OBLIGADO.</w:t>
      </w:r>
    </w:p>
    <w:p w14:paraId="304DF240" w14:textId="77777777" w:rsidR="00BC71C4" w:rsidRPr="00DB7499" w:rsidRDefault="00BC71C4" w:rsidP="008A7552">
      <w:pPr>
        <w:spacing w:line="360" w:lineRule="auto"/>
        <w:jc w:val="both"/>
        <w:rPr>
          <w:rFonts w:ascii="Palatino Linotype" w:hAnsi="Palatino Linotype"/>
          <w:color w:val="000000" w:themeColor="text1"/>
        </w:rPr>
      </w:pPr>
    </w:p>
    <w:p w14:paraId="39535074" w14:textId="77777777" w:rsidR="00BC71C4" w:rsidRPr="00DB7499" w:rsidRDefault="00057752" w:rsidP="008A7552">
      <w:pPr>
        <w:numPr>
          <w:ilvl w:val="0"/>
          <w:numId w:val="2"/>
        </w:numPr>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Asimismo, es de señalar que para actualizar el sobreseimiento de un recurso de revisión, el </w:t>
      </w:r>
      <w:r w:rsidRPr="00DB7499">
        <w:rPr>
          <w:rFonts w:ascii="Palatino Linotype" w:eastAsia="Palatino Linotype" w:hAnsi="Palatino Linotype" w:cs="Palatino Linotype"/>
          <w:b/>
          <w:color w:val="000000" w:themeColor="text1"/>
        </w:rPr>
        <w:t>SUJETO OBLIGADO</w:t>
      </w:r>
      <w:r w:rsidRPr="00DB7499">
        <w:rPr>
          <w:rFonts w:ascii="Palatino Linotype" w:eastAsia="Palatino Linotype" w:hAnsi="Palatino Linotype" w:cs="Palatino Linotype"/>
          <w:color w:val="000000" w:themeColor="text1"/>
        </w:rPr>
        <w:t xml:space="preserve"> puede entregar o completar la información al momento de rendir su informe justificado o, dentro de los siete días previstos para manifestar lo que a su derecho convenga, ofrecer pruebas y alegatos; como se refiriera en párrafos anteriores.</w:t>
      </w:r>
    </w:p>
    <w:p w14:paraId="4C4233C7" w14:textId="77777777" w:rsidR="00BC71C4" w:rsidRPr="00DB7499" w:rsidRDefault="00BC71C4" w:rsidP="008A7552">
      <w:pPr>
        <w:pBdr>
          <w:top w:val="nil"/>
          <w:left w:val="nil"/>
          <w:bottom w:val="nil"/>
          <w:right w:val="nil"/>
          <w:between w:val="nil"/>
        </w:pBdr>
        <w:tabs>
          <w:tab w:val="left" w:pos="284"/>
          <w:tab w:val="left" w:pos="426"/>
        </w:tabs>
        <w:rPr>
          <w:rFonts w:ascii="Palatino Linotype" w:eastAsia="Palatino Linotype" w:hAnsi="Palatino Linotype" w:cs="Palatino Linotype"/>
          <w:color w:val="000000" w:themeColor="text1"/>
        </w:rPr>
      </w:pPr>
    </w:p>
    <w:p w14:paraId="22C937A1" w14:textId="77777777" w:rsidR="00BC71C4" w:rsidRPr="00DB7499" w:rsidRDefault="00057752" w:rsidP="008A7552">
      <w:pPr>
        <w:numPr>
          <w:ilvl w:val="0"/>
          <w:numId w:val="2"/>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bookmarkStart w:id="8" w:name="_heading=h.1t3h5sf" w:colFirst="0" w:colLast="0"/>
      <w:bookmarkEnd w:id="8"/>
      <w:r w:rsidRPr="00DB7499">
        <w:rPr>
          <w:rFonts w:ascii="Palatino Linotype" w:eastAsia="Palatino Linotype" w:hAnsi="Palatino Linotype" w:cs="Palatino Linotype"/>
          <w:color w:val="000000" w:themeColor="text1"/>
        </w:rPr>
        <w:lastRenderedPageBreak/>
        <w:t xml:space="preserve">Cabe destacar que el motivo de inconformidad del </w:t>
      </w:r>
      <w:r w:rsidRPr="00DB7499">
        <w:rPr>
          <w:rFonts w:ascii="Palatino Linotype" w:eastAsia="Palatino Linotype" w:hAnsi="Palatino Linotype" w:cs="Palatino Linotype"/>
          <w:b/>
          <w:color w:val="000000" w:themeColor="text1"/>
        </w:rPr>
        <w:t xml:space="preserve">RECURRENTE </w:t>
      </w:r>
      <w:r w:rsidRPr="00DB7499">
        <w:rPr>
          <w:rFonts w:ascii="Palatino Linotype" w:eastAsia="Palatino Linotype" w:hAnsi="Palatino Linotype" w:cs="Palatino Linotype"/>
          <w:color w:val="000000" w:themeColor="text1"/>
        </w:rPr>
        <w:t xml:space="preserve">versa sobre la negativa de la información de lo solicitado, en ese sentido, se actualiza la causal de procedencia contenida en la fracción I del artículo 179 de la Ley de Transparencia y Acceso a la Información Pública del Estado de México y Municipios, por lo que este Órgano Garante estaría en la posibilidad de analizar el presente asunto; sin embargo, </w:t>
      </w:r>
      <w:r w:rsidRPr="00DB7499">
        <w:rPr>
          <w:rFonts w:ascii="Palatino Linotype" w:eastAsia="Palatino Linotype" w:hAnsi="Palatino Linotype" w:cs="Palatino Linotype"/>
          <w:b/>
          <w:color w:val="000000" w:themeColor="text1"/>
        </w:rPr>
        <w:t>EL PARTICULAR</w:t>
      </w:r>
      <w:r w:rsidRPr="00DB7499">
        <w:rPr>
          <w:rFonts w:ascii="Palatino Linotype" w:eastAsia="Palatino Linotype" w:hAnsi="Palatino Linotype" w:cs="Palatino Linotype"/>
          <w:color w:val="000000" w:themeColor="text1"/>
        </w:rPr>
        <w:t xml:space="preserve">, por propio derecho, </w:t>
      </w:r>
      <w:r w:rsidRPr="00DB7499">
        <w:rPr>
          <w:rFonts w:ascii="Palatino Linotype" w:eastAsia="Palatino Linotype" w:hAnsi="Palatino Linotype" w:cs="Palatino Linotype"/>
          <w:b/>
          <w:color w:val="000000" w:themeColor="text1"/>
        </w:rPr>
        <w:t>se desistió del recurso de revisión</w:t>
      </w:r>
      <w:r w:rsidRPr="00DB7499">
        <w:rPr>
          <w:rFonts w:ascii="Palatino Linotype" w:eastAsia="Palatino Linotype" w:hAnsi="Palatino Linotype" w:cs="Palatino Linotype"/>
          <w:color w:val="000000" w:themeColor="text1"/>
        </w:rPr>
        <w:t xml:space="preserve"> que nos ocupa, vía SARCOEM, el ocho de agosto de dos mil veinticinco, como a continuación se muestra, razón por la cual no se entrara al estudio de los argumentos de inconformidad hechos valer</w:t>
      </w:r>
    </w:p>
    <w:p w14:paraId="1C67E944" w14:textId="6491F53D" w:rsidR="00BC71C4" w:rsidRDefault="00D856C7" w:rsidP="008A7552">
      <w:pPr>
        <w:spacing w:before="240" w:after="240" w:line="360" w:lineRule="auto"/>
        <w:jc w:val="center"/>
        <w:rPr>
          <w:rFonts w:ascii="Palatino Linotype" w:hAnsi="Palatino Linotype"/>
          <w:color w:val="000000" w:themeColor="text1"/>
        </w:rPr>
      </w:pPr>
      <w:r w:rsidRPr="00D856C7">
        <w:rPr>
          <w:rFonts w:ascii="Palatino Linotype" w:hAnsi="Palatino Linotype"/>
          <w:color w:val="000000" w:themeColor="text1"/>
        </w:rPr>
        <w:drawing>
          <wp:inline distT="0" distB="0" distL="0" distR="0" wp14:anchorId="4E7A1806" wp14:editId="4D5F7AF1">
            <wp:extent cx="6192520" cy="2971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92520" cy="297180"/>
                    </a:xfrm>
                    <a:prstGeom prst="rect">
                      <a:avLst/>
                    </a:prstGeom>
                  </pic:spPr>
                </pic:pic>
              </a:graphicData>
            </a:graphic>
          </wp:inline>
        </w:drawing>
      </w:r>
      <w:r w:rsidR="00057752" w:rsidRPr="00DB7499">
        <w:rPr>
          <w:rFonts w:ascii="Palatino Linotype" w:hAnsi="Palatino Linotype"/>
          <w:color w:val="000000" w:themeColor="text1"/>
        </w:rPr>
        <w:t xml:space="preserve"> </w:t>
      </w:r>
    </w:p>
    <w:p w14:paraId="1B23EFD9" w14:textId="77777777" w:rsidR="00127B6A" w:rsidRPr="00DB7499" w:rsidRDefault="00127B6A" w:rsidP="008A7552">
      <w:pPr>
        <w:spacing w:before="240" w:after="240" w:line="360" w:lineRule="auto"/>
        <w:jc w:val="center"/>
        <w:rPr>
          <w:rFonts w:ascii="Palatino Linotype" w:hAnsi="Palatino Linotype"/>
          <w:color w:val="000000" w:themeColor="text1"/>
        </w:rPr>
      </w:pPr>
    </w:p>
    <w:p w14:paraId="596C9E02" w14:textId="77777777" w:rsidR="00BC71C4" w:rsidRPr="00DB7499" w:rsidRDefault="00057752" w:rsidP="008A7552">
      <w:pPr>
        <w:numPr>
          <w:ilvl w:val="0"/>
          <w:numId w:val="2"/>
        </w:numPr>
        <w:pBdr>
          <w:top w:val="nil"/>
          <w:left w:val="nil"/>
          <w:bottom w:val="nil"/>
          <w:right w:val="nil"/>
          <w:between w:val="nil"/>
        </w:pBdr>
        <w:tabs>
          <w:tab w:val="left" w:pos="0"/>
          <w:tab w:val="left" w:pos="284"/>
        </w:tabs>
        <w:spacing w:before="240" w:line="360" w:lineRule="auto"/>
        <w:ind w:left="0" w:firstLine="0"/>
        <w:jc w:val="both"/>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color w:val="000000" w:themeColor="text1"/>
        </w:rPr>
        <w:t xml:space="preserve">De las imagen, se advierte que efectivamente el particular hizo uso de la opción </w:t>
      </w:r>
      <w:r w:rsidRPr="00DB7499">
        <w:rPr>
          <w:rFonts w:ascii="Palatino Linotype" w:eastAsia="Palatino Linotype" w:hAnsi="Palatino Linotype" w:cs="Palatino Linotype"/>
          <w:b/>
          <w:color w:val="000000" w:themeColor="text1"/>
        </w:rPr>
        <w:t>“Desistir”</w:t>
      </w:r>
      <w:r w:rsidRPr="00DB7499">
        <w:rPr>
          <w:rFonts w:ascii="Palatino Linotype" w:eastAsia="Palatino Linotype" w:hAnsi="Palatino Linotype" w:cs="Palatino Linotype"/>
          <w:color w:val="000000" w:themeColor="text1"/>
        </w:rPr>
        <w:t xml:space="preserve"> al recurso de revisión en el propio SARCOEM, opción que </w:t>
      </w:r>
      <w:r w:rsidRPr="00DB7499">
        <w:rPr>
          <w:rFonts w:ascii="Palatino Linotype" w:eastAsia="Palatino Linotype" w:hAnsi="Palatino Linotype" w:cs="Palatino Linotype"/>
          <w:b/>
          <w:i/>
          <w:color w:val="000000" w:themeColor="text1"/>
          <w:u w:val="single"/>
        </w:rPr>
        <w:t>ÚNICAMENTE</w:t>
      </w:r>
      <w:r w:rsidRPr="00DB7499">
        <w:rPr>
          <w:rFonts w:ascii="Palatino Linotype" w:eastAsia="Palatino Linotype" w:hAnsi="Palatino Linotype" w:cs="Palatino Linotype"/>
          <w:color w:val="000000" w:themeColor="text1"/>
        </w:rPr>
        <w:t xml:space="preserve"> puede hacer uso el usuario dueño de la cuenta, previo ingreso de su nombre de usuario y contraseña; así las cosas, cabe resaltar de igual manera que, al seleccionar la opción de desistimiento, aparece al usuario una ventana de alerta con el objeto de que confirme que efectivamente es su deseo desistirse del recurso; </w:t>
      </w:r>
      <w:r w:rsidRPr="00DB7499">
        <w:rPr>
          <w:rFonts w:ascii="Palatino Linotype" w:eastAsia="Palatino Linotype" w:hAnsi="Palatino Linotype" w:cs="Palatino Linotype"/>
          <w:b/>
          <w:color w:val="000000" w:themeColor="text1"/>
        </w:rPr>
        <w:t>luego entonces no es acertado suponer que fue por error involuntario, lo que se constituye como un desistimiento expreso.</w:t>
      </w:r>
    </w:p>
    <w:p w14:paraId="36F6976E" w14:textId="77777777" w:rsidR="00BC71C4" w:rsidRPr="00DB7499" w:rsidRDefault="00BC71C4" w:rsidP="008A75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2D1C3599" w14:textId="77777777" w:rsidR="00BC71C4" w:rsidRPr="00DB7499" w:rsidRDefault="00057752" w:rsidP="008A7552">
      <w:pPr>
        <w:numPr>
          <w:ilvl w:val="0"/>
          <w:numId w:val="2"/>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En ese orden de ideas el artículo 139 de la Ley de Protección de Datos Personales en Posesión de Sujetos Obligados del Estado de México y Municipios, establece lo siguiente:</w:t>
      </w:r>
    </w:p>
    <w:p w14:paraId="2E40F1DE" w14:textId="77777777" w:rsidR="00BC71C4" w:rsidRPr="00DB7499" w:rsidRDefault="00BC71C4" w:rsidP="008A7552">
      <w:pPr>
        <w:pBdr>
          <w:top w:val="nil"/>
          <w:left w:val="nil"/>
          <w:bottom w:val="nil"/>
          <w:right w:val="nil"/>
          <w:between w:val="nil"/>
        </w:pBdr>
        <w:rPr>
          <w:rFonts w:ascii="Palatino Linotype" w:eastAsia="Palatino Linotype" w:hAnsi="Palatino Linotype" w:cs="Palatino Linotype"/>
          <w:color w:val="000000" w:themeColor="text1"/>
        </w:rPr>
      </w:pPr>
    </w:p>
    <w:p w14:paraId="0C8BAFD6" w14:textId="77777777" w:rsidR="00BC71C4" w:rsidRPr="00DB7499" w:rsidRDefault="00057752" w:rsidP="008A755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i/>
          <w:color w:val="000000" w:themeColor="text1"/>
        </w:rPr>
        <w:t xml:space="preserve">Artículo 139. El recurso de revisión sólo podrá ser sobreseído cuando: </w:t>
      </w:r>
    </w:p>
    <w:p w14:paraId="65E56494" w14:textId="77777777" w:rsidR="00BC71C4" w:rsidRPr="00DB7499" w:rsidRDefault="00057752" w:rsidP="00127B6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themeColor="text1"/>
        </w:rPr>
      </w:pPr>
      <w:r w:rsidRPr="00DB7499">
        <w:rPr>
          <w:rFonts w:ascii="Palatino Linotype" w:eastAsia="Palatino Linotype" w:hAnsi="Palatino Linotype" w:cs="Palatino Linotype"/>
          <w:b/>
          <w:i/>
          <w:color w:val="000000" w:themeColor="text1"/>
        </w:rPr>
        <w:t xml:space="preserve">El recurrente se desista expresamente. </w:t>
      </w:r>
    </w:p>
    <w:p w14:paraId="2C5078AE" w14:textId="77777777" w:rsidR="00BC71C4" w:rsidRPr="00DB7499" w:rsidRDefault="00057752" w:rsidP="00127B6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i/>
          <w:color w:val="000000" w:themeColor="text1"/>
        </w:rPr>
        <w:lastRenderedPageBreak/>
        <w:t xml:space="preserve">El recurrente fallezca. </w:t>
      </w:r>
    </w:p>
    <w:p w14:paraId="263268CE" w14:textId="77777777" w:rsidR="00BC71C4" w:rsidRPr="00DB7499" w:rsidRDefault="00057752" w:rsidP="00127B6A">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i/>
          <w:color w:val="000000" w:themeColor="text1"/>
        </w:rPr>
        <w:t>Admitido el recurso de revisión, se actualice alguna causal de improcedencia en los términos de la presente Ley.</w:t>
      </w:r>
    </w:p>
    <w:p w14:paraId="76EB6626" w14:textId="77777777" w:rsidR="00BC71C4" w:rsidRPr="00DB7499" w:rsidRDefault="00057752" w:rsidP="00127B6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i/>
          <w:color w:val="000000" w:themeColor="text1"/>
        </w:rPr>
        <w:t xml:space="preserve">IV. El responsable modifique o revoque su respuesta de tal manera que el recurso de revisión quede sin materia. </w:t>
      </w:r>
    </w:p>
    <w:p w14:paraId="3FBAAC4D" w14:textId="77777777" w:rsidR="00BC71C4" w:rsidRPr="00DB7499" w:rsidRDefault="00057752" w:rsidP="00127B6A">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i/>
          <w:color w:val="000000" w:themeColor="text1"/>
        </w:rPr>
        <w:t>V. Quede sin materia el recurso de revisión.</w:t>
      </w:r>
    </w:p>
    <w:p w14:paraId="7770E068" w14:textId="77777777" w:rsidR="00BC71C4" w:rsidRPr="00DB7499" w:rsidRDefault="00BC71C4" w:rsidP="008A75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05DFF33" w14:textId="77777777" w:rsidR="00BC71C4" w:rsidRPr="00DB7499" w:rsidRDefault="00057752" w:rsidP="008A7552">
      <w:pPr>
        <w:numPr>
          <w:ilvl w:val="0"/>
          <w:numId w:val="2"/>
        </w:numPr>
        <w:pBdr>
          <w:top w:val="nil"/>
          <w:left w:val="nil"/>
          <w:bottom w:val="nil"/>
          <w:right w:val="nil"/>
          <w:between w:val="nil"/>
        </w:pBdr>
        <w:tabs>
          <w:tab w:val="left" w:pos="0"/>
          <w:tab w:val="left" w:pos="284"/>
        </w:tabs>
        <w:spacing w:after="240"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Robustece lo anterior la tesis aislada I.15o.T.2 K (10a.), del Décimo Quinto Tribunal Colegiado en Materia de Trabajo del Primer Circuito, misma que se anexa a continuación:</w:t>
      </w:r>
    </w:p>
    <w:p w14:paraId="71142675" w14:textId="77777777" w:rsidR="00BC71C4" w:rsidRPr="00DB7499" w:rsidRDefault="00057752" w:rsidP="008A755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DB7499">
        <w:rPr>
          <w:rFonts w:ascii="Palatino Linotype" w:eastAsia="Palatino Linotype" w:hAnsi="Palatino Linotype" w:cs="Palatino Linotype"/>
          <w:b/>
          <w:i/>
          <w:color w:val="000000" w:themeColor="text1"/>
        </w:rPr>
        <w:t>DESISTIMIENTO DEL RECURSO DE REVISIÓN EN AMPARO INDIRECTO. ES INNECESARIO QUE SE RATIFIQUE EL ESCRITO CORRESPONDIENTE, CUANDO SU REQUERIMIENTO SE NOTIFICÓ PERSONALMENTE.</w:t>
      </w:r>
      <w:r w:rsidRPr="00DB7499">
        <w:rPr>
          <w:rFonts w:ascii="Palatino Linotype" w:eastAsia="Palatino Linotype" w:hAnsi="Palatino Linotype" w:cs="Palatino Linotype"/>
          <w:i/>
          <w:color w:val="000000" w:themeColor="text1"/>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2D145C07" w14:textId="77777777" w:rsidR="00BC71C4" w:rsidRPr="00DB7499" w:rsidRDefault="00BC71C4" w:rsidP="008A755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14:paraId="011B4666" w14:textId="77777777" w:rsidR="00BC71C4" w:rsidRPr="00DB7499" w:rsidRDefault="00057752" w:rsidP="008A7552">
      <w:pPr>
        <w:numPr>
          <w:ilvl w:val="0"/>
          <w:numId w:val="2"/>
        </w:numPr>
        <w:pBdr>
          <w:top w:val="nil"/>
          <w:left w:val="nil"/>
          <w:bottom w:val="nil"/>
          <w:right w:val="nil"/>
          <w:between w:val="nil"/>
        </w:pBdr>
        <w:tabs>
          <w:tab w:val="left" w:pos="0"/>
          <w:tab w:val="left" w:pos="284"/>
        </w:tabs>
        <w:spacing w:before="240"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lastRenderedPageBreak/>
        <w:t xml:space="preserve">Por consiguiente, al existir un </w:t>
      </w:r>
      <w:r w:rsidRPr="00DB7499">
        <w:rPr>
          <w:rFonts w:ascii="Palatino Linotype" w:eastAsia="Palatino Linotype" w:hAnsi="Palatino Linotype" w:cs="Palatino Linotype"/>
          <w:b/>
          <w:i/>
          <w:color w:val="000000" w:themeColor="text1"/>
          <w:u w:val="single"/>
        </w:rPr>
        <w:t>desistimiento</w:t>
      </w:r>
      <w:r w:rsidRPr="00DB7499">
        <w:rPr>
          <w:rFonts w:ascii="Palatino Linotype" w:eastAsia="Palatino Linotype" w:hAnsi="Palatino Linotype" w:cs="Palatino Linotype"/>
          <w:color w:val="000000" w:themeColor="text1"/>
        </w:rPr>
        <w:t xml:space="preserve"> expreso por parte del </w:t>
      </w:r>
      <w:r w:rsidRPr="00DB7499">
        <w:rPr>
          <w:rFonts w:ascii="Palatino Linotype" w:eastAsia="Palatino Linotype" w:hAnsi="Palatino Linotype" w:cs="Palatino Linotype"/>
          <w:b/>
          <w:color w:val="000000" w:themeColor="text1"/>
        </w:rPr>
        <w:t>RECURRENTE</w:t>
      </w:r>
      <w:r w:rsidRPr="00DB7499">
        <w:rPr>
          <w:rFonts w:ascii="Palatino Linotype" w:eastAsia="Palatino Linotype" w:hAnsi="Palatino Linotype" w:cs="Palatino Linotype"/>
          <w:color w:val="000000" w:themeColor="text1"/>
        </w:rPr>
        <w:t xml:space="preserve">, este Pleno determina el </w:t>
      </w:r>
      <w:r w:rsidRPr="00DB7499">
        <w:rPr>
          <w:rFonts w:ascii="Palatino Linotype" w:eastAsia="Palatino Linotype" w:hAnsi="Palatino Linotype" w:cs="Palatino Linotype"/>
          <w:b/>
          <w:color w:val="000000" w:themeColor="text1"/>
        </w:rPr>
        <w:t>SOBRESEIMIENTO</w:t>
      </w:r>
      <w:r w:rsidRPr="00DB7499">
        <w:rPr>
          <w:rFonts w:ascii="Palatino Linotype" w:eastAsia="Palatino Linotype" w:hAnsi="Palatino Linotype" w:cs="Palatino Linotype"/>
          <w:color w:val="000000" w:themeColor="text1"/>
        </w:rPr>
        <w:t xml:space="preserve"> del recurso de revisión.</w:t>
      </w:r>
    </w:p>
    <w:p w14:paraId="0E685FF8" w14:textId="77777777" w:rsidR="00BC71C4" w:rsidRPr="00DB7499" w:rsidRDefault="00BC71C4" w:rsidP="008A7552">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14:paraId="55366750" w14:textId="77777777" w:rsidR="00BC71C4" w:rsidRPr="00DB7499" w:rsidRDefault="00057752" w:rsidP="008A7552">
      <w:pPr>
        <w:numPr>
          <w:ilvl w:val="0"/>
          <w:numId w:val="2"/>
        </w:numPr>
        <w:pBdr>
          <w:top w:val="nil"/>
          <w:left w:val="nil"/>
          <w:bottom w:val="nil"/>
          <w:right w:val="nil"/>
          <w:between w:val="nil"/>
        </w:pBdr>
        <w:tabs>
          <w:tab w:val="left" w:pos="0"/>
          <w:tab w:val="left" w:pos="284"/>
        </w:tabs>
        <w:spacing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Bajo ese tenor y, en términos del artículo 137, fracción I, de la Ley de Protección de Datos Personales en Posesión de Sujetos Obligados del Estado de México y Municipios, este Pleno determina el </w:t>
      </w:r>
      <w:r w:rsidRPr="00DB7499">
        <w:rPr>
          <w:rFonts w:ascii="Palatino Linotype" w:eastAsia="Palatino Linotype" w:hAnsi="Palatino Linotype" w:cs="Palatino Linotype"/>
          <w:b/>
          <w:color w:val="000000" w:themeColor="text1"/>
        </w:rPr>
        <w:t xml:space="preserve">SOBRESEIMIENTO </w:t>
      </w:r>
      <w:r w:rsidRPr="00DB7499">
        <w:rPr>
          <w:rFonts w:ascii="Palatino Linotype" w:eastAsia="Palatino Linotype" w:hAnsi="Palatino Linotype" w:cs="Palatino Linotype"/>
          <w:color w:val="000000" w:themeColor="text1"/>
        </w:rPr>
        <w:t>del presente recurso de revisión, por resultar improcedente, en términos de la fracción I, del artículo 139, de la Ley de Protección de Datos Personales en Posesión de Sujetos Obligados del Estado de México y Municipios.</w:t>
      </w:r>
    </w:p>
    <w:p w14:paraId="23265293" w14:textId="77777777" w:rsidR="00BC71C4" w:rsidRPr="00DB7499" w:rsidRDefault="00BC71C4" w:rsidP="008A7552">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14:paraId="103A9FC8" w14:textId="45A6ED5A" w:rsidR="00BC71C4" w:rsidRPr="00127B6A" w:rsidRDefault="00057752" w:rsidP="008A7552">
      <w:pPr>
        <w:numPr>
          <w:ilvl w:val="0"/>
          <w:numId w:val="2"/>
        </w:numPr>
        <w:pBdr>
          <w:top w:val="nil"/>
          <w:left w:val="nil"/>
          <w:bottom w:val="nil"/>
          <w:right w:val="nil"/>
          <w:between w:val="nil"/>
        </w:pBdr>
        <w:tabs>
          <w:tab w:val="left" w:pos="426"/>
        </w:tabs>
        <w:spacing w:after="240" w:line="360" w:lineRule="auto"/>
        <w:ind w:left="0" w:firstLine="0"/>
        <w:jc w:val="both"/>
        <w:rPr>
          <w:rFonts w:ascii="Palatino Linotype" w:hAnsi="Palatino Linotype"/>
          <w:color w:val="000000" w:themeColor="text1"/>
        </w:rPr>
      </w:pPr>
      <w:r w:rsidRPr="00DB7499">
        <w:rPr>
          <w:rFonts w:ascii="Palatino Linotype" w:eastAsia="Palatino Linotype" w:hAnsi="Palatino Linotype" w:cs="Palatino Linotype"/>
          <w:color w:val="000000" w:themeColor="text1"/>
        </w:rPr>
        <w:t xml:space="preserve">Por lo anteriormente expuesto, este Órgano Garante emite los siguientes: </w:t>
      </w:r>
    </w:p>
    <w:p w14:paraId="29EC9EA0" w14:textId="77777777" w:rsidR="00127B6A" w:rsidRPr="00DB7499" w:rsidRDefault="00127B6A" w:rsidP="00127B6A">
      <w:pPr>
        <w:pBdr>
          <w:top w:val="nil"/>
          <w:left w:val="nil"/>
          <w:bottom w:val="nil"/>
          <w:right w:val="nil"/>
          <w:between w:val="nil"/>
        </w:pBdr>
        <w:tabs>
          <w:tab w:val="left" w:pos="426"/>
        </w:tabs>
        <w:spacing w:after="240" w:line="360" w:lineRule="auto"/>
        <w:jc w:val="both"/>
        <w:rPr>
          <w:rFonts w:ascii="Palatino Linotype" w:hAnsi="Palatino Linotype"/>
          <w:color w:val="000000" w:themeColor="text1"/>
        </w:rPr>
      </w:pPr>
    </w:p>
    <w:p w14:paraId="757E7D47" w14:textId="77777777" w:rsidR="00BC71C4" w:rsidRPr="00DB7499" w:rsidRDefault="00057752" w:rsidP="008A7552">
      <w:pPr>
        <w:pBdr>
          <w:top w:val="nil"/>
          <w:left w:val="nil"/>
          <w:bottom w:val="nil"/>
          <w:right w:val="nil"/>
          <w:between w:val="nil"/>
        </w:pBdr>
        <w:tabs>
          <w:tab w:val="left" w:pos="426"/>
        </w:tabs>
        <w:spacing w:after="240" w:line="360" w:lineRule="auto"/>
        <w:jc w:val="center"/>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b/>
          <w:color w:val="000000" w:themeColor="text1"/>
        </w:rPr>
        <w:t>R E S O L U T I V O S</w:t>
      </w:r>
    </w:p>
    <w:p w14:paraId="109914CB" w14:textId="77777777" w:rsidR="00BC71C4" w:rsidRPr="00DB7499" w:rsidRDefault="00BC71C4" w:rsidP="008A7552">
      <w:pPr>
        <w:rPr>
          <w:rFonts w:ascii="Palatino Linotype" w:hAnsi="Palatino Linotype"/>
          <w:color w:val="000000" w:themeColor="text1"/>
        </w:rPr>
      </w:pPr>
    </w:p>
    <w:p w14:paraId="5BBF56EF" w14:textId="3ADF3F3E" w:rsidR="00BC71C4" w:rsidRPr="00DB7499" w:rsidRDefault="00057752" w:rsidP="008A7552">
      <w:pPr>
        <w:spacing w:after="240" w:line="360" w:lineRule="auto"/>
        <w:jc w:val="both"/>
        <w:rPr>
          <w:rFonts w:ascii="Palatino Linotype" w:eastAsia="Palatino Linotype" w:hAnsi="Palatino Linotype" w:cs="Palatino Linotype"/>
          <w:color w:val="000000" w:themeColor="text1"/>
        </w:rPr>
      </w:pPr>
      <w:r w:rsidRPr="00DB7499">
        <w:rPr>
          <w:rFonts w:ascii="Palatino Linotype" w:eastAsia="Palatino Linotype" w:hAnsi="Palatino Linotype" w:cs="Palatino Linotype"/>
          <w:b/>
          <w:color w:val="000000" w:themeColor="text1"/>
        </w:rPr>
        <w:t>PRIMERO.</w:t>
      </w:r>
      <w:r w:rsidRPr="00DB7499">
        <w:rPr>
          <w:rFonts w:ascii="Palatino Linotype" w:eastAsia="Palatino Linotype" w:hAnsi="Palatino Linotype" w:cs="Palatino Linotype"/>
          <w:color w:val="000000" w:themeColor="text1"/>
        </w:rPr>
        <w:t xml:space="preserve"> Se </w:t>
      </w:r>
      <w:r w:rsidRPr="00DB7499">
        <w:rPr>
          <w:rFonts w:ascii="Palatino Linotype" w:eastAsia="Palatino Linotype" w:hAnsi="Palatino Linotype" w:cs="Palatino Linotype"/>
          <w:b/>
          <w:color w:val="000000" w:themeColor="text1"/>
        </w:rPr>
        <w:t>SOBRESEE</w:t>
      </w:r>
      <w:r w:rsidRPr="00DB7499">
        <w:rPr>
          <w:rFonts w:ascii="Palatino Linotype" w:eastAsia="Palatino Linotype" w:hAnsi="Palatino Linotype" w:cs="Palatino Linotype"/>
          <w:color w:val="000000" w:themeColor="text1"/>
        </w:rPr>
        <w:t xml:space="preserve"> el recurso de revisión número </w:t>
      </w:r>
      <w:r w:rsidRPr="00DB7499">
        <w:rPr>
          <w:rFonts w:ascii="Palatino Linotype" w:eastAsia="Palatino Linotype" w:hAnsi="Palatino Linotype" w:cs="Palatino Linotype"/>
          <w:b/>
          <w:color w:val="000000" w:themeColor="text1"/>
        </w:rPr>
        <w:t>0</w:t>
      </w:r>
      <w:r w:rsidR="00545B0E" w:rsidRPr="00DB7499">
        <w:rPr>
          <w:rFonts w:ascii="Palatino Linotype" w:eastAsia="Palatino Linotype" w:hAnsi="Palatino Linotype" w:cs="Palatino Linotype"/>
          <w:b/>
          <w:color w:val="000000" w:themeColor="text1"/>
        </w:rPr>
        <w:t>7103</w:t>
      </w:r>
      <w:r w:rsidRPr="00DB7499">
        <w:rPr>
          <w:rFonts w:ascii="Palatino Linotype" w:eastAsia="Palatino Linotype" w:hAnsi="Palatino Linotype" w:cs="Palatino Linotype"/>
          <w:b/>
          <w:color w:val="000000" w:themeColor="text1"/>
        </w:rPr>
        <w:t>/INFOEM/AD/RR/202</w:t>
      </w:r>
      <w:r w:rsidR="00545B0E" w:rsidRPr="00DB7499">
        <w:rPr>
          <w:rFonts w:ascii="Palatino Linotype" w:eastAsia="Palatino Linotype" w:hAnsi="Palatino Linotype" w:cs="Palatino Linotype"/>
          <w:b/>
          <w:color w:val="000000" w:themeColor="text1"/>
        </w:rPr>
        <w:t>5</w:t>
      </w:r>
      <w:r w:rsidRPr="00DB7499">
        <w:rPr>
          <w:rFonts w:ascii="Palatino Linotype" w:eastAsia="Palatino Linotype" w:hAnsi="Palatino Linotype" w:cs="Palatino Linotype"/>
          <w:color w:val="000000" w:themeColor="text1"/>
        </w:rPr>
        <w:t xml:space="preserve">, de conformidad con lo dispuesto en el artículo 139 fracción I, de la Ley de Protección de Datos Personales en Posesión de Sujetos Obligados del Estado de México y Municipios, en términos del considerando </w:t>
      </w:r>
      <w:r w:rsidRPr="00DB7499">
        <w:rPr>
          <w:rFonts w:ascii="Palatino Linotype" w:eastAsia="Palatino Linotype" w:hAnsi="Palatino Linotype" w:cs="Palatino Linotype"/>
          <w:b/>
          <w:color w:val="000000" w:themeColor="text1"/>
        </w:rPr>
        <w:t xml:space="preserve">TERCERO </w:t>
      </w:r>
      <w:r w:rsidRPr="00DB7499">
        <w:rPr>
          <w:rFonts w:ascii="Palatino Linotype" w:eastAsia="Palatino Linotype" w:hAnsi="Palatino Linotype" w:cs="Palatino Linotype"/>
          <w:color w:val="000000" w:themeColor="text1"/>
        </w:rPr>
        <w:t>de la presente Resolución.</w:t>
      </w:r>
    </w:p>
    <w:p w14:paraId="5676E896" w14:textId="77777777" w:rsidR="00BC71C4" w:rsidRPr="00DB7499" w:rsidRDefault="00057752" w:rsidP="008A7552">
      <w:pPr>
        <w:pBdr>
          <w:top w:val="nil"/>
          <w:left w:val="nil"/>
          <w:bottom w:val="nil"/>
          <w:right w:val="nil"/>
          <w:between w:val="nil"/>
        </w:pBdr>
        <w:spacing w:after="240" w:line="360" w:lineRule="auto"/>
        <w:jc w:val="both"/>
        <w:rPr>
          <w:rFonts w:ascii="Palatino Linotype" w:eastAsia="Palatino Linotype" w:hAnsi="Palatino Linotype" w:cs="Palatino Linotype"/>
          <w:color w:val="000000" w:themeColor="text1"/>
        </w:rPr>
      </w:pPr>
      <w:r w:rsidRPr="00DB7499">
        <w:rPr>
          <w:rFonts w:ascii="Palatino Linotype" w:eastAsia="Palatino Linotype" w:hAnsi="Palatino Linotype" w:cs="Palatino Linotype"/>
          <w:b/>
          <w:color w:val="000000" w:themeColor="text1"/>
        </w:rPr>
        <w:t xml:space="preserve">SEGUNDO. </w:t>
      </w:r>
      <w:r w:rsidRPr="00DB7499">
        <w:rPr>
          <w:rFonts w:ascii="Palatino Linotype" w:eastAsia="Palatino Linotype" w:hAnsi="Palatino Linotype" w:cs="Palatino Linotype"/>
          <w:color w:val="000000" w:themeColor="text1"/>
        </w:rPr>
        <w:t xml:space="preserve">Notifíquese al Titular de la Unidad de Transparencia del SUJETO OBLIGADO, vía </w:t>
      </w:r>
      <w:r w:rsidRPr="00DB7499">
        <w:rPr>
          <w:rFonts w:ascii="Palatino Linotype" w:eastAsia="Palatino Linotype" w:hAnsi="Palatino Linotype" w:cs="Palatino Linotype"/>
          <w:b/>
          <w:color w:val="000000" w:themeColor="text1"/>
        </w:rPr>
        <w:t>SARCOEM</w:t>
      </w:r>
      <w:r w:rsidRPr="00DB7499">
        <w:rPr>
          <w:rFonts w:ascii="Palatino Linotype" w:eastAsia="Palatino Linotype" w:hAnsi="Palatino Linotype" w:cs="Palatino Linotype"/>
          <w:color w:val="000000" w:themeColor="text1"/>
        </w:rPr>
        <w:t xml:space="preserve">, la presente resolución. </w:t>
      </w:r>
    </w:p>
    <w:p w14:paraId="2AC5B390" w14:textId="77777777" w:rsidR="00BC71C4" w:rsidRPr="00DB7499" w:rsidRDefault="00057752" w:rsidP="008A7552">
      <w:pPr>
        <w:pBdr>
          <w:top w:val="nil"/>
          <w:left w:val="nil"/>
          <w:bottom w:val="nil"/>
          <w:right w:val="nil"/>
          <w:between w:val="nil"/>
        </w:pBdr>
        <w:spacing w:after="240" w:line="360" w:lineRule="auto"/>
        <w:jc w:val="both"/>
        <w:rPr>
          <w:rFonts w:ascii="Palatino Linotype" w:eastAsia="Palatino Linotype" w:hAnsi="Palatino Linotype" w:cs="Palatino Linotype"/>
          <w:b/>
          <w:color w:val="000000" w:themeColor="text1"/>
        </w:rPr>
      </w:pPr>
      <w:r w:rsidRPr="00DB7499">
        <w:rPr>
          <w:rFonts w:ascii="Palatino Linotype" w:eastAsia="Palatino Linotype" w:hAnsi="Palatino Linotype" w:cs="Palatino Linotype"/>
          <w:b/>
          <w:color w:val="000000" w:themeColor="text1"/>
        </w:rPr>
        <w:t xml:space="preserve">TERCERO. </w:t>
      </w:r>
      <w:r w:rsidRPr="00DB7499">
        <w:rPr>
          <w:rFonts w:ascii="Palatino Linotype" w:eastAsia="Palatino Linotype" w:hAnsi="Palatino Linotype" w:cs="Palatino Linotype"/>
          <w:color w:val="000000" w:themeColor="text1"/>
        </w:rPr>
        <w:t xml:space="preserve">Notifíquese al </w:t>
      </w:r>
      <w:r w:rsidRPr="00DB7499">
        <w:rPr>
          <w:rFonts w:ascii="Palatino Linotype" w:eastAsia="Palatino Linotype" w:hAnsi="Palatino Linotype" w:cs="Palatino Linotype"/>
          <w:b/>
          <w:color w:val="000000" w:themeColor="text1"/>
        </w:rPr>
        <w:t>RECURRENTE</w:t>
      </w:r>
      <w:r w:rsidRPr="00DB7499">
        <w:rPr>
          <w:rFonts w:ascii="Palatino Linotype" w:eastAsia="Palatino Linotype" w:hAnsi="Palatino Linotype" w:cs="Palatino Linotype"/>
          <w:color w:val="000000" w:themeColor="text1"/>
        </w:rPr>
        <w:t xml:space="preserve"> la presente resolución, vía </w:t>
      </w:r>
      <w:r w:rsidRPr="00DB7499">
        <w:rPr>
          <w:rFonts w:ascii="Palatino Linotype" w:eastAsia="Palatino Linotype" w:hAnsi="Palatino Linotype" w:cs="Palatino Linotype"/>
          <w:b/>
          <w:color w:val="000000" w:themeColor="text1"/>
        </w:rPr>
        <w:t xml:space="preserve">SARCOEM. </w:t>
      </w:r>
    </w:p>
    <w:p w14:paraId="7D865275" w14:textId="77777777" w:rsidR="00BC71C4" w:rsidRPr="00DB7499" w:rsidRDefault="00057752" w:rsidP="008A75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DB7499">
        <w:rPr>
          <w:rFonts w:ascii="Palatino Linotype" w:eastAsia="Palatino Linotype" w:hAnsi="Palatino Linotype" w:cs="Palatino Linotype"/>
          <w:b/>
          <w:color w:val="000000" w:themeColor="text1"/>
        </w:rPr>
        <w:t>CUARTO.</w:t>
      </w:r>
      <w:r w:rsidRPr="00DB7499">
        <w:rPr>
          <w:rFonts w:ascii="Palatino Linotype" w:eastAsia="Palatino Linotype" w:hAnsi="Palatino Linotype" w:cs="Palatino Linotype"/>
          <w:color w:val="000000" w:themeColor="text1"/>
        </w:rPr>
        <w:t xml:space="preserve"> Se hace de conocimiento del RECURRENTE que, de conformidad con lo establecido en el artículo 142 de la Ley de Protección de Datos Personales en Posesión de </w:t>
      </w:r>
      <w:r w:rsidRPr="00DB7499">
        <w:rPr>
          <w:rFonts w:ascii="Palatino Linotype" w:eastAsia="Palatino Linotype" w:hAnsi="Palatino Linotype" w:cs="Palatino Linotype"/>
          <w:color w:val="000000" w:themeColor="text1"/>
        </w:rPr>
        <w:lastRenderedPageBreak/>
        <w:t>Sujetos Obligados del Estado de México y Municipios, en caso de que considere que la resolución le cause algún perjuicio podrá impugnar vía Juicio de Amparo en los términos de las leyes aplicables.</w:t>
      </w:r>
    </w:p>
    <w:p w14:paraId="251646B8" w14:textId="77777777" w:rsidR="00BC71C4" w:rsidRPr="00DB7499" w:rsidRDefault="00BC71C4" w:rsidP="008A755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14:paraId="4865711C" w14:textId="507146C3" w:rsidR="003818B8" w:rsidRPr="009B0452" w:rsidRDefault="00DB7499" w:rsidP="003818B8">
      <w:pPr>
        <w:spacing w:line="360" w:lineRule="auto"/>
        <w:ind w:right="49"/>
        <w:jc w:val="both"/>
        <w:rPr>
          <w:rFonts w:ascii="Palatino Linotype" w:eastAsia="Palatino Linotype" w:hAnsi="Palatino Linotype" w:cs="Palatino Linotype"/>
        </w:rPr>
      </w:pPr>
      <w:bookmarkStart w:id="9" w:name="_heading=h.ub1mium48g69" w:colFirst="0" w:colLast="0"/>
      <w:bookmarkStart w:id="10" w:name="_heading=h.2s8eyo1" w:colFirst="0" w:colLast="0"/>
      <w:bookmarkEnd w:id="9"/>
      <w:bookmarkEnd w:id="10"/>
      <w:r w:rsidRPr="00DB749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3818B8" w:rsidRPr="00DB7499">
        <w:rPr>
          <w:rFonts w:ascii="Palatino Linotype" w:eastAsia="Palatino Linotype" w:hAnsi="Palatino Linotype" w:cs="Palatino Linotype"/>
        </w:rPr>
        <w:t>.</w:t>
      </w:r>
    </w:p>
    <w:p w14:paraId="4176CF5A" w14:textId="77777777" w:rsidR="00BC71C4" w:rsidRPr="008A7552" w:rsidRDefault="00BC71C4" w:rsidP="008A7552">
      <w:pPr>
        <w:spacing w:before="240" w:after="240" w:line="360" w:lineRule="auto"/>
        <w:ind w:firstLine="1"/>
        <w:jc w:val="both"/>
        <w:rPr>
          <w:rFonts w:ascii="Palatino Linotype" w:eastAsia="Palatino Linotype" w:hAnsi="Palatino Linotype" w:cs="Palatino Linotype"/>
          <w:smallCaps/>
          <w:color w:val="000000" w:themeColor="text1"/>
        </w:rPr>
      </w:pPr>
    </w:p>
    <w:p w14:paraId="05FD8A96" w14:textId="77777777" w:rsidR="00BC71C4" w:rsidRPr="008A7552" w:rsidRDefault="00057752" w:rsidP="008A7552">
      <w:pPr>
        <w:rPr>
          <w:rFonts w:ascii="Palatino Linotype" w:eastAsia="Palatino Linotype" w:hAnsi="Palatino Linotype" w:cs="Palatino Linotype"/>
          <w:color w:val="000000" w:themeColor="text1"/>
        </w:rPr>
      </w:pPr>
      <w:r w:rsidRPr="008A7552">
        <w:rPr>
          <w:rFonts w:ascii="Palatino Linotype" w:hAnsi="Palatino Linotype"/>
          <w:color w:val="000000" w:themeColor="text1"/>
        </w:rPr>
        <w:br w:type="page"/>
      </w:r>
    </w:p>
    <w:p w14:paraId="6ABA5CA1" w14:textId="77777777" w:rsidR="00BC71C4" w:rsidRPr="008A7552" w:rsidRDefault="00BC71C4" w:rsidP="008A7552">
      <w:pPr>
        <w:spacing w:before="240" w:after="240" w:line="360" w:lineRule="auto"/>
        <w:jc w:val="both"/>
        <w:rPr>
          <w:rFonts w:ascii="Palatino Linotype" w:eastAsia="Palatino Linotype" w:hAnsi="Palatino Linotype" w:cs="Palatino Linotype"/>
          <w:color w:val="000000" w:themeColor="text1"/>
        </w:rPr>
      </w:pPr>
    </w:p>
    <w:p w14:paraId="0A8078EA" w14:textId="77777777" w:rsidR="00BC71C4" w:rsidRPr="008A7552" w:rsidRDefault="00BC71C4" w:rsidP="008A7552">
      <w:pPr>
        <w:spacing w:before="240" w:after="240" w:line="360" w:lineRule="auto"/>
        <w:jc w:val="both"/>
        <w:rPr>
          <w:rFonts w:ascii="Palatino Linotype" w:eastAsia="Palatino Linotype" w:hAnsi="Palatino Linotype" w:cs="Palatino Linotype"/>
          <w:color w:val="000000" w:themeColor="text1"/>
        </w:rPr>
      </w:pPr>
    </w:p>
    <w:p w14:paraId="7DAB561C" w14:textId="77777777" w:rsidR="00BC71C4" w:rsidRPr="008A7552" w:rsidRDefault="00BC71C4" w:rsidP="008A7552">
      <w:pPr>
        <w:rPr>
          <w:rFonts w:ascii="Palatino Linotype" w:hAnsi="Palatino Linotype"/>
          <w:color w:val="000000" w:themeColor="text1"/>
        </w:rPr>
      </w:pPr>
    </w:p>
    <w:p w14:paraId="31137DB6" w14:textId="77777777" w:rsidR="00BC71C4" w:rsidRPr="008A7552" w:rsidRDefault="00BC71C4" w:rsidP="008A7552">
      <w:pPr>
        <w:rPr>
          <w:rFonts w:ascii="Palatino Linotype" w:hAnsi="Palatino Linotype"/>
          <w:color w:val="000000" w:themeColor="text1"/>
        </w:rPr>
      </w:pPr>
    </w:p>
    <w:p w14:paraId="53CA8D9A" w14:textId="77777777" w:rsidR="00BC71C4" w:rsidRPr="008A7552" w:rsidRDefault="00BC71C4" w:rsidP="008A7552">
      <w:pPr>
        <w:rPr>
          <w:rFonts w:ascii="Palatino Linotype" w:hAnsi="Palatino Linotype"/>
          <w:color w:val="000000" w:themeColor="text1"/>
        </w:rPr>
      </w:pPr>
    </w:p>
    <w:p w14:paraId="1CA728A9" w14:textId="77777777" w:rsidR="00BC71C4" w:rsidRPr="008A7552" w:rsidRDefault="00BC71C4" w:rsidP="008A7552">
      <w:pPr>
        <w:rPr>
          <w:rFonts w:ascii="Palatino Linotype" w:hAnsi="Palatino Linotype"/>
          <w:color w:val="000000" w:themeColor="text1"/>
        </w:rPr>
      </w:pPr>
      <w:bookmarkStart w:id="11" w:name="_heading=h.17dp8vu" w:colFirst="0" w:colLast="0"/>
      <w:bookmarkEnd w:id="11"/>
    </w:p>
    <w:sectPr w:rsidR="00BC71C4" w:rsidRPr="008A7552" w:rsidSect="00127B6A">
      <w:headerReference w:type="even" r:id="rId10"/>
      <w:headerReference w:type="default" r:id="rId11"/>
      <w:footerReference w:type="default" r:id="rId12"/>
      <w:headerReference w:type="first" r:id="rId13"/>
      <w:footerReference w:type="first" r:id="rId14"/>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BB81A3" w14:textId="77777777" w:rsidR="00DA42EB" w:rsidRDefault="00DA42EB">
      <w:r>
        <w:separator/>
      </w:r>
    </w:p>
  </w:endnote>
  <w:endnote w:type="continuationSeparator" w:id="0">
    <w:p w14:paraId="00025511" w14:textId="77777777" w:rsidR="00DA42EB" w:rsidRDefault="00DA4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66F74" w14:textId="77777777" w:rsidR="00BC71C4" w:rsidRDefault="0005775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856C7">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856C7">
      <w:rPr>
        <w:b/>
        <w:noProof/>
        <w:color w:val="000000"/>
      </w:rPr>
      <w:t>11</w:t>
    </w:r>
    <w:r>
      <w:rPr>
        <w:b/>
        <w:color w:val="000000"/>
      </w:rPr>
      <w:fldChar w:fldCharType="end"/>
    </w:r>
  </w:p>
  <w:p w14:paraId="39AE81DE" w14:textId="77777777" w:rsidR="00BC71C4" w:rsidRDefault="00BC71C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58AD0" w14:textId="77777777" w:rsidR="00BC71C4" w:rsidRDefault="00057752">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D856C7">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D856C7">
      <w:rPr>
        <w:b/>
        <w:noProof/>
        <w:color w:val="000000"/>
      </w:rPr>
      <w:t>11</w:t>
    </w:r>
    <w:r>
      <w:rPr>
        <w:b/>
        <w:color w:val="000000"/>
      </w:rPr>
      <w:fldChar w:fldCharType="end"/>
    </w:r>
  </w:p>
  <w:p w14:paraId="3D0B363D" w14:textId="77777777" w:rsidR="00BC71C4" w:rsidRDefault="00BC71C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D722F" w14:textId="77777777" w:rsidR="00DA42EB" w:rsidRDefault="00DA42EB">
      <w:r>
        <w:separator/>
      </w:r>
    </w:p>
  </w:footnote>
  <w:footnote w:type="continuationSeparator" w:id="0">
    <w:p w14:paraId="6E9ABF9C" w14:textId="77777777" w:rsidR="00DA42EB" w:rsidRDefault="00DA4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C6EBF" w14:textId="77777777" w:rsidR="00BC71C4" w:rsidRDefault="00DA42EB">
    <w:pPr>
      <w:pBdr>
        <w:top w:val="nil"/>
        <w:left w:val="nil"/>
        <w:bottom w:val="nil"/>
        <w:right w:val="nil"/>
        <w:between w:val="nil"/>
      </w:pBdr>
      <w:tabs>
        <w:tab w:val="center" w:pos="4419"/>
        <w:tab w:val="right" w:pos="8838"/>
      </w:tabs>
      <w:rPr>
        <w:color w:val="000000"/>
      </w:rPr>
    </w:pPr>
    <w:r>
      <w:rPr>
        <w:color w:val="000000"/>
      </w:rPr>
      <w:pict w14:anchorId="075EEA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605" w:type="dxa"/>
      <w:tblInd w:w="-115" w:type="dxa"/>
      <w:tblLayout w:type="fixed"/>
      <w:tblLook w:val="0400" w:firstRow="0" w:lastRow="0" w:firstColumn="0" w:lastColumn="0" w:noHBand="0" w:noVBand="1"/>
    </w:tblPr>
    <w:tblGrid>
      <w:gridCol w:w="2268"/>
      <w:gridCol w:w="8337"/>
    </w:tblGrid>
    <w:tr w:rsidR="00BC71C4" w14:paraId="11D31912" w14:textId="77777777" w:rsidTr="008A7552">
      <w:trPr>
        <w:trHeight w:val="1435"/>
      </w:trPr>
      <w:tc>
        <w:tcPr>
          <w:tcW w:w="2268" w:type="dxa"/>
          <w:shd w:val="clear" w:color="auto" w:fill="auto"/>
        </w:tcPr>
        <w:p w14:paraId="7DF046C8" w14:textId="77777777" w:rsidR="00BC71C4" w:rsidRDefault="00BC71C4">
          <w:pPr>
            <w:tabs>
              <w:tab w:val="right" w:pos="4273"/>
            </w:tabs>
            <w:rPr>
              <w:rFonts w:ascii="Garamond" w:eastAsia="Garamond" w:hAnsi="Garamond" w:cs="Garamond"/>
              <w:sz w:val="16"/>
              <w:szCs w:val="16"/>
            </w:rPr>
          </w:pPr>
        </w:p>
      </w:tc>
      <w:tc>
        <w:tcPr>
          <w:tcW w:w="8337" w:type="dxa"/>
          <w:shd w:val="clear" w:color="auto" w:fill="auto"/>
        </w:tcPr>
        <w:tbl>
          <w:tblPr>
            <w:tblStyle w:val="a6"/>
            <w:tblW w:w="8040" w:type="dxa"/>
            <w:tblInd w:w="284" w:type="dxa"/>
            <w:tblLayout w:type="fixed"/>
            <w:tblLook w:val="0400" w:firstRow="0" w:lastRow="0" w:firstColumn="0" w:lastColumn="0" w:noHBand="0" w:noVBand="1"/>
          </w:tblPr>
          <w:tblGrid>
            <w:gridCol w:w="2672"/>
            <w:gridCol w:w="5368"/>
          </w:tblGrid>
          <w:tr w:rsidR="00BC71C4" w14:paraId="1A7FBB6F" w14:textId="77777777" w:rsidTr="00127B6A">
            <w:trPr>
              <w:trHeight w:val="150"/>
            </w:trPr>
            <w:tc>
              <w:tcPr>
                <w:tcW w:w="2672" w:type="dxa"/>
                <w:shd w:val="clear" w:color="auto" w:fill="auto"/>
              </w:tcPr>
              <w:p w14:paraId="5B5BE751" w14:textId="77777777" w:rsidR="00BC71C4" w:rsidRPr="008A7552" w:rsidRDefault="00057752" w:rsidP="008A7552">
                <w:pPr>
                  <w:tabs>
                    <w:tab w:val="right" w:pos="8838"/>
                  </w:tabs>
                  <w:ind w:right="-105"/>
                  <w:rPr>
                    <w:rFonts w:ascii="Palatino Linotype" w:eastAsia="Palatino Linotype" w:hAnsi="Palatino Linotype" w:cs="Palatino Linotype"/>
                    <w:b/>
                  </w:rPr>
                </w:pPr>
                <w:r w:rsidRPr="008A7552">
                  <w:rPr>
                    <w:rFonts w:ascii="Palatino Linotype" w:eastAsia="Palatino Linotype" w:hAnsi="Palatino Linotype" w:cs="Palatino Linotype"/>
                    <w:b/>
                  </w:rPr>
                  <w:t>Recurso de Revisión:</w:t>
                </w:r>
              </w:p>
            </w:tc>
            <w:tc>
              <w:tcPr>
                <w:tcW w:w="5368" w:type="dxa"/>
                <w:shd w:val="clear" w:color="auto" w:fill="auto"/>
              </w:tcPr>
              <w:p w14:paraId="6FC60376" w14:textId="77777777" w:rsidR="00BC71C4" w:rsidRPr="008A7552" w:rsidRDefault="00057752" w:rsidP="00127B6A">
                <w:pPr>
                  <w:tabs>
                    <w:tab w:val="right" w:pos="8838"/>
                  </w:tabs>
                  <w:ind w:right="-102"/>
                  <w:rPr>
                    <w:rFonts w:ascii="Palatino Linotype" w:eastAsia="Palatino Linotype" w:hAnsi="Palatino Linotype" w:cs="Palatino Linotype"/>
                  </w:rPr>
                </w:pPr>
                <w:r w:rsidRPr="008A7552">
                  <w:rPr>
                    <w:rFonts w:ascii="Palatino Linotype" w:eastAsia="Palatino Linotype" w:hAnsi="Palatino Linotype" w:cs="Palatino Linotype"/>
                  </w:rPr>
                  <w:t>07103/INFOEM/AD/RR/2025</w:t>
                </w:r>
              </w:p>
            </w:tc>
          </w:tr>
          <w:tr w:rsidR="00BC71C4" w14:paraId="6032170C" w14:textId="77777777" w:rsidTr="00127B6A">
            <w:trPr>
              <w:trHeight w:val="295"/>
            </w:trPr>
            <w:tc>
              <w:tcPr>
                <w:tcW w:w="2672" w:type="dxa"/>
                <w:shd w:val="clear" w:color="auto" w:fill="auto"/>
              </w:tcPr>
              <w:p w14:paraId="314644A7" w14:textId="77777777" w:rsidR="00BC71C4" w:rsidRPr="008A7552" w:rsidRDefault="00057752" w:rsidP="008A7552">
                <w:pPr>
                  <w:tabs>
                    <w:tab w:val="right" w:pos="8838"/>
                  </w:tabs>
                  <w:ind w:right="-105"/>
                  <w:rPr>
                    <w:rFonts w:ascii="Palatino Linotype" w:eastAsia="Palatino Linotype" w:hAnsi="Palatino Linotype" w:cs="Palatino Linotype"/>
                    <w:b/>
                  </w:rPr>
                </w:pPr>
                <w:r w:rsidRPr="008A7552">
                  <w:rPr>
                    <w:rFonts w:ascii="Palatino Linotype" w:eastAsia="Palatino Linotype" w:hAnsi="Palatino Linotype" w:cs="Palatino Linotype"/>
                    <w:b/>
                  </w:rPr>
                  <w:t>Sujeto Obligado:</w:t>
                </w:r>
              </w:p>
            </w:tc>
            <w:tc>
              <w:tcPr>
                <w:tcW w:w="5368" w:type="dxa"/>
                <w:shd w:val="clear" w:color="auto" w:fill="auto"/>
              </w:tcPr>
              <w:p w14:paraId="6FC47E67" w14:textId="310B180F" w:rsidR="00BC71C4" w:rsidRPr="008A7552" w:rsidRDefault="00057752" w:rsidP="00127B6A">
                <w:pPr>
                  <w:tabs>
                    <w:tab w:val="left" w:pos="2834"/>
                    <w:tab w:val="right" w:pos="8838"/>
                  </w:tabs>
                  <w:ind w:right="-102"/>
                  <w:rPr>
                    <w:rFonts w:ascii="Palatino Linotype" w:eastAsia="Palatino Linotype" w:hAnsi="Palatino Linotype" w:cs="Palatino Linotype"/>
                    <w:b/>
                  </w:rPr>
                </w:pPr>
                <w:r w:rsidRPr="008A7552">
                  <w:rPr>
                    <w:rFonts w:ascii="Palatino Linotype" w:eastAsia="Palatino Linotype" w:hAnsi="Palatino Linotype" w:cs="Palatino Linotype"/>
                  </w:rPr>
                  <w:t>Instituto de Seguridad Social del Estado de México y Municipios</w:t>
                </w:r>
              </w:p>
            </w:tc>
          </w:tr>
          <w:tr w:rsidR="00BC71C4" w14:paraId="3B3FDFE7" w14:textId="77777777" w:rsidTr="00127B6A">
            <w:trPr>
              <w:trHeight w:val="295"/>
            </w:trPr>
            <w:tc>
              <w:tcPr>
                <w:tcW w:w="2672" w:type="dxa"/>
                <w:shd w:val="clear" w:color="auto" w:fill="auto"/>
              </w:tcPr>
              <w:p w14:paraId="7CAB1B45" w14:textId="77777777" w:rsidR="00BC71C4" w:rsidRPr="008A7552" w:rsidRDefault="00057752" w:rsidP="008A7552">
                <w:pPr>
                  <w:tabs>
                    <w:tab w:val="right" w:pos="8838"/>
                  </w:tabs>
                  <w:ind w:right="-105"/>
                  <w:rPr>
                    <w:rFonts w:ascii="Palatino Linotype" w:eastAsia="Palatino Linotype" w:hAnsi="Palatino Linotype" w:cs="Palatino Linotype"/>
                    <w:b/>
                  </w:rPr>
                </w:pPr>
                <w:r w:rsidRPr="008A7552">
                  <w:rPr>
                    <w:rFonts w:ascii="Palatino Linotype" w:eastAsia="Palatino Linotype" w:hAnsi="Palatino Linotype" w:cs="Palatino Linotype"/>
                    <w:b/>
                  </w:rPr>
                  <w:t>Comisionado ponente:</w:t>
                </w:r>
              </w:p>
            </w:tc>
            <w:tc>
              <w:tcPr>
                <w:tcW w:w="5368" w:type="dxa"/>
                <w:shd w:val="clear" w:color="auto" w:fill="auto"/>
              </w:tcPr>
              <w:p w14:paraId="4B422632" w14:textId="11A6C381" w:rsidR="00BC71C4" w:rsidRPr="008A7552" w:rsidRDefault="00057752" w:rsidP="00127B6A">
                <w:pPr>
                  <w:tabs>
                    <w:tab w:val="right" w:pos="8838"/>
                  </w:tabs>
                  <w:ind w:right="171"/>
                  <w:rPr>
                    <w:rFonts w:ascii="Palatino Linotype" w:eastAsia="Palatino Linotype" w:hAnsi="Palatino Linotype" w:cs="Palatino Linotype"/>
                  </w:rPr>
                </w:pPr>
                <w:r w:rsidRPr="008A7552">
                  <w:rPr>
                    <w:rFonts w:ascii="Palatino Linotype" w:eastAsia="Palatino Linotype" w:hAnsi="Palatino Linotype" w:cs="Palatino Linotype"/>
                  </w:rPr>
                  <w:t>María del Rosario Mejía Ayala</w:t>
                </w:r>
              </w:p>
              <w:p w14:paraId="43C01704" w14:textId="77777777" w:rsidR="00BC71C4" w:rsidRPr="008A7552" w:rsidRDefault="00BC71C4" w:rsidP="00127B6A">
                <w:pPr>
                  <w:tabs>
                    <w:tab w:val="right" w:pos="8838"/>
                  </w:tabs>
                  <w:ind w:right="171"/>
                  <w:rPr>
                    <w:rFonts w:ascii="Palatino Linotype" w:eastAsia="Palatino Linotype" w:hAnsi="Palatino Linotype" w:cs="Palatino Linotype"/>
                    <w:b/>
                  </w:rPr>
                </w:pPr>
              </w:p>
            </w:tc>
          </w:tr>
        </w:tbl>
        <w:p w14:paraId="1C7D6687" w14:textId="77777777" w:rsidR="00BC71C4" w:rsidRDefault="00BC71C4">
          <w:pPr>
            <w:tabs>
              <w:tab w:val="right" w:pos="8838"/>
            </w:tabs>
            <w:ind w:left="-28"/>
            <w:jc w:val="both"/>
            <w:rPr>
              <w:rFonts w:ascii="Arial" w:eastAsia="Arial" w:hAnsi="Arial" w:cs="Arial"/>
              <w:b/>
              <w:sz w:val="22"/>
              <w:szCs w:val="22"/>
            </w:rPr>
          </w:pPr>
        </w:p>
      </w:tc>
    </w:tr>
  </w:tbl>
  <w:p w14:paraId="6A757AB6" w14:textId="77777777" w:rsidR="00BC71C4" w:rsidRDefault="00DA42EB">
    <w:pPr>
      <w:pBdr>
        <w:top w:val="nil"/>
        <w:left w:val="nil"/>
        <w:bottom w:val="nil"/>
        <w:right w:val="nil"/>
        <w:between w:val="nil"/>
      </w:pBdr>
      <w:tabs>
        <w:tab w:val="center" w:pos="4419"/>
        <w:tab w:val="right" w:pos="8838"/>
      </w:tabs>
      <w:rPr>
        <w:color w:val="000000"/>
        <w:sz w:val="14"/>
        <w:szCs w:val="14"/>
      </w:rPr>
    </w:pPr>
    <w:r>
      <w:rPr>
        <w:color w:val="000000"/>
        <w:sz w:val="14"/>
        <w:szCs w:val="14"/>
      </w:rPr>
      <w:pict w14:anchorId="5F5CC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605" w:type="dxa"/>
      <w:tblInd w:w="-115" w:type="dxa"/>
      <w:tblLayout w:type="fixed"/>
      <w:tblLook w:val="0400" w:firstRow="0" w:lastRow="0" w:firstColumn="0" w:lastColumn="0" w:noHBand="0" w:noVBand="1"/>
    </w:tblPr>
    <w:tblGrid>
      <w:gridCol w:w="2265"/>
      <w:gridCol w:w="8340"/>
    </w:tblGrid>
    <w:tr w:rsidR="00BC71C4" w14:paraId="34005B9D" w14:textId="77777777" w:rsidTr="008A7552">
      <w:trPr>
        <w:trHeight w:val="1435"/>
      </w:trPr>
      <w:tc>
        <w:tcPr>
          <w:tcW w:w="2265" w:type="dxa"/>
          <w:shd w:val="clear" w:color="auto" w:fill="auto"/>
        </w:tcPr>
        <w:p w14:paraId="32004B2B" w14:textId="77777777" w:rsidR="00BC71C4" w:rsidRDefault="00BC71C4">
          <w:pPr>
            <w:tabs>
              <w:tab w:val="right" w:pos="4273"/>
            </w:tabs>
            <w:rPr>
              <w:rFonts w:ascii="Garamond" w:eastAsia="Garamond" w:hAnsi="Garamond" w:cs="Garamond"/>
              <w:sz w:val="22"/>
              <w:szCs w:val="22"/>
            </w:rPr>
          </w:pPr>
        </w:p>
      </w:tc>
      <w:tc>
        <w:tcPr>
          <w:tcW w:w="8340" w:type="dxa"/>
          <w:shd w:val="clear" w:color="auto" w:fill="auto"/>
        </w:tcPr>
        <w:tbl>
          <w:tblPr>
            <w:tblStyle w:val="a8"/>
            <w:tblW w:w="8185" w:type="dxa"/>
            <w:tblInd w:w="287" w:type="dxa"/>
            <w:tblLayout w:type="fixed"/>
            <w:tblLook w:val="0400" w:firstRow="0" w:lastRow="0" w:firstColumn="0" w:lastColumn="0" w:noHBand="0" w:noVBand="1"/>
          </w:tblPr>
          <w:tblGrid>
            <w:gridCol w:w="2657"/>
            <w:gridCol w:w="5528"/>
          </w:tblGrid>
          <w:tr w:rsidR="00BC71C4" w14:paraId="616BD630" w14:textId="77777777" w:rsidTr="00127B6A">
            <w:trPr>
              <w:trHeight w:val="144"/>
            </w:trPr>
            <w:tc>
              <w:tcPr>
                <w:tcW w:w="2657" w:type="dxa"/>
                <w:shd w:val="clear" w:color="auto" w:fill="auto"/>
              </w:tcPr>
              <w:p w14:paraId="3D35BE88" w14:textId="77777777" w:rsidR="00BC71C4" w:rsidRPr="008A7552" w:rsidRDefault="00057752" w:rsidP="008A7552">
                <w:pPr>
                  <w:tabs>
                    <w:tab w:val="right" w:pos="8838"/>
                  </w:tabs>
                  <w:ind w:left="-264" w:right="-105" w:firstLine="195"/>
                  <w:rPr>
                    <w:rFonts w:ascii="Palatino Linotype" w:eastAsia="Palatino Linotype" w:hAnsi="Palatino Linotype" w:cs="Palatino Linotype"/>
                    <w:b/>
                  </w:rPr>
                </w:pPr>
                <w:r w:rsidRPr="008A7552">
                  <w:rPr>
                    <w:rFonts w:ascii="Palatino Linotype" w:eastAsia="Palatino Linotype" w:hAnsi="Palatino Linotype" w:cs="Palatino Linotype"/>
                    <w:b/>
                  </w:rPr>
                  <w:t>Recurso de Revisión:</w:t>
                </w:r>
              </w:p>
            </w:tc>
            <w:tc>
              <w:tcPr>
                <w:tcW w:w="5528" w:type="dxa"/>
                <w:shd w:val="clear" w:color="auto" w:fill="auto"/>
              </w:tcPr>
              <w:p w14:paraId="51DB3422" w14:textId="77777777" w:rsidR="00BC71C4" w:rsidRPr="008A7552" w:rsidRDefault="00057752" w:rsidP="008A7552">
                <w:pPr>
                  <w:tabs>
                    <w:tab w:val="right" w:pos="8838"/>
                  </w:tabs>
                  <w:ind w:left="-74" w:right="-7"/>
                  <w:rPr>
                    <w:rFonts w:ascii="Palatino Linotype" w:eastAsia="Palatino Linotype" w:hAnsi="Palatino Linotype" w:cs="Palatino Linotype"/>
                  </w:rPr>
                </w:pPr>
                <w:r w:rsidRPr="008A7552">
                  <w:rPr>
                    <w:rFonts w:ascii="Palatino Linotype" w:eastAsia="Palatino Linotype" w:hAnsi="Palatino Linotype" w:cs="Palatino Linotype"/>
                  </w:rPr>
                  <w:t>07103/INFOEM/AD/RR/2025</w:t>
                </w:r>
              </w:p>
            </w:tc>
          </w:tr>
          <w:tr w:rsidR="00BC71C4" w14:paraId="5301B28F" w14:textId="77777777" w:rsidTr="00127B6A">
            <w:trPr>
              <w:trHeight w:val="144"/>
            </w:trPr>
            <w:tc>
              <w:tcPr>
                <w:tcW w:w="2657" w:type="dxa"/>
                <w:shd w:val="clear" w:color="auto" w:fill="auto"/>
              </w:tcPr>
              <w:p w14:paraId="0104E77A" w14:textId="77777777" w:rsidR="00BC71C4" w:rsidRPr="008A7552" w:rsidRDefault="00057752" w:rsidP="008A7552">
                <w:pPr>
                  <w:tabs>
                    <w:tab w:val="right" w:pos="8838"/>
                  </w:tabs>
                  <w:ind w:left="-74" w:right="-105"/>
                  <w:rPr>
                    <w:rFonts w:ascii="Palatino Linotype" w:eastAsia="Palatino Linotype" w:hAnsi="Palatino Linotype" w:cs="Palatino Linotype"/>
                    <w:b/>
                  </w:rPr>
                </w:pPr>
                <w:r w:rsidRPr="008A7552">
                  <w:rPr>
                    <w:rFonts w:ascii="Palatino Linotype" w:eastAsia="Palatino Linotype" w:hAnsi="Palatino Linotype" w:cs="Palatino Linotype"/>
                    <w:b/>
                  </w:rPr>
                  <w:t>Recurrente:</w:t>
                </w:r>
              </w:p>
            </w:tc>
            <w:tc>
              <w:tcPr>
                <w:tcW w:w="5528" w:type="dxa"/>
                <w:shd w:val="clear" w:color="auto" w:fill="auto"/>
              </w:tcPr>
              <w:p w14:paraId="3430E659" w14:textId="75951D37" w:rsidR="00BC71C4" w:rsidRPr="008A7552" w:rsidRDefault="00E42C96" w:rsidP="008A7552">
                <w:pPr>
                  <w:tabs>
                    <w:tab w:val="left" w:pos="3122"/>
                    <w:tab w:val="right" w:pos="8838"/>
                  </w:tabs>
                  <w:ind w:left="-74" w:right="-7"/>
                  <w:rPr>
                    <w:rFonts w:ascii="Palatino Linotype" w:eastAsia="Palatino Linotype" w:hAnsi="Palatino Linotype" w:cs="Palatino Linotype"/>
                  </w:rPr>
                </w:pPr>
                <w:r>
                  <w:rPr>
                    <w:rFonts w:ascii="Palatino Linotype" w:eastAsia="Palatino Linotype" w:hAnsi="Palatino Linotype" w:cs="Palatino Linotype"/>
                  </w:rPr>
                  <w:t>XXXX</w:t>
                </w:r>
              </w:p>
            </w:tc>
          </w:tr>
          <w:tr w:rsidR="00BC71C4" w14:paraId="4011B12F" w14:textId="77777777" w:rsidTr="00127B6A">
            <w:trPr>
              <w:trHeight w:val="283"/>
            </w:trPr>
            <w:tc>
              <w:tcPr>
                <w:tcW w:w="2657" w:type="dxa"/>
                <w:shd w:val="clear" w:color="auto" w:fill="auto"/>
              </w:tcPr>
              <w:p w14:paraId="032BEF35" w14:textId="77777777" w:rsidR="00BC71C4" w:rsidRPr="008A7552" w:rsidRDefault="00057752" w:rsidP="008A7552">
                <w:pPr>
                  <w:tabs>
                    <w:tab w:val="right" w:pos="8838"/>
                  </w:tabs>
                  <w:ind w:left="-74" w:right="-105"/>
                  <w:rPr>
                    <w:rFonts w:ascii="Palatino Linotype" w:eastAsia="Palatino Linotype" w:hAnsi="Palatino Linotype" w:cs="Palatino Linotype"/>
                    <w:b/>
                  </w:rPr>
                </w:pPr>
                <w:r w:rsidRPr="008A7552">
                  <w:rPr>
                    <w:rFonts w:ascii="Palatino Linotype" w:eastAsia="Palatino Linotype" w:hAnsi="Palatino Linotype" w:cs="Palatino Linotype"/>
                    <w:b/>
                  </w:rPr>
                  <w:t>Sujeto Obligado:</w:t>
                </w:r>
              </w:p>
            </w:tc>
            <w:tc>
              <w:tcPr>
                <w:tcW w:w="5528" w:type="dxa"/>
                <w:shd w:val="clear" w:color="auto" w:fill="auto"/>
              </w:tcPr>
              <w:p w14:paraId="4784788E" w14:textId="77777777" w:rsidR="00BC71C4" w:rsidRPr="008A7552" w:rsidRDefault="00057752" w:rsidP="008A7552">
                <w:pPr>
                  <w:tabs>
                    <w:tab w:val="left" w:pos="2834"/>
                    <w:tab w:val="right" w:pos="8838"/>
                  </w:tabs>
                  <w:ind w:left="-74" w:right="-7"/>
                  <w:rPr>
                    <w:rFonts w:ascii="Palatino Linotype" w:eastAsia="Palatino Linotype" w:hAnsi="Palatino Linotype" w:cs="Palatino Linotype"/>
                  </w:rPr>
                </w:pPr>
                <w:r w:rsidRPr="008A7552">
                  <w:rPr>
                    <w:rFonts w:ascii="Palatino Linotype" w:eastAsia="Palatino Linotype" w:hAnsi="Palatino Linotype" w:cs="Palatino Linotype"/>
                  </w:rPr>
                  <w:t>Instituto de Seguridad Social del Estado de México y Municipios</w:t>
                </w:r>
              </w:p>
            </w:tc>
          </w:tr>
          <w:tr w:rsidR="00BC71C4" w14:paraId="47EF4659" w14:textId="77777777" w:rsidTr="00127B6A">
            <w:trPr>
              <w:trHeight w:val="283"/>
            </w:trPr>
            <w:tc>
              <w:tcPr>
                <w:tcW w:w="2657" w:type="dxa"/>
                <w:shd w:val="clear" w:color="auto" w:fill="auto"/>
              </w:tcPr>
              <w:p w14:paraId="01C74181" w14:textId="77777777" w:rsidR="00BC71C4" w:rsidRPr="008A7552" w:rsidRDefault="00057752" w:rsidP="008A7552">
                <w:pPr>
                  <w:tabs>
                    <w:tab w:val="right" w:pos="8838"/>
                  </w:tabs>
                  <w:ind w:left="-74" w:right="-105"/>
                  <w:rPr>
                    <w:rFonts w:ascii="Palatino Linotype" w:eastAsia="Palatino Linotype" w:hAnsi="Palatino Linotype" w:cs="Palatino Linotype"/>
                    <w:b/>
                  </w:rPr>
                </w:pPr>
                <w:r w:rsidRPr="008A7552">
                  <w:rPr>
                    <w:rFonts w:ascii="Palatino Linotype" w:eastAsia="Palatino Linotype" w:hAnsi="Palatino Linotype" w:cs="Palatino Linotype"/>
                    <w:b/>
                  </w:rPr>
                  <w:t>Comisionado ponente:</w:t>
                </w:r>
              </w:p>
            </w:tc>
            <w:tc>
              <w:tcPr>
                <w:tcW w:w="5528" w:type="dxa"/>
                <w:shd w:val="clear" w:color="auto" w:fill="auto"/>
              </w:tcPr>
              <w:p w14:paraId="542894C7" w14:textId="77777777" w:rsidR="00BC71C4" w:rsidRPr="008A7552" w:rsidRDefault="00057752" w:rsidP="008A7552">
                <w:pPr>
                  <w:tabs>
                    <w:tab w:val="right" w:pos="8838"/>
                  </w:tabs>
                  <w:ind w:left="-74" w:right="-7"/>
                  <w:rPr>
                    <w:rFonts w:ascii="Palatino Linotype" w:eastAsia="Palatino Linotype" w:hAnsi="Palatino Linotype" w:cs="Palatino Linotype"/>
                  </w:rPr>
                </w:pPr>
                <w:r w:rsidRPr="008A7552">
                  <w:rPr>
                    <w:rFonts w:ascii="Palatino Linotype" w:eastAsia="Palatino Linotype" w:hAnsi="Palatino Linotype" w:cs="Palatino Linotype"/>
                  </w:rPr>
                  <w:t>María del Rosario Mejía Ayala</w:t>
                </w:r>
              </w:p>
              <w:p w14:paraId="33E088DD" w14:textId="77777777" w:rsidR="00BC71C4" w:rsidRPr="008A7552" w:rsidRDefault="00BC71C4" w:rsidP="008A7552">
                <w:pPr>
                  <w:tabs>
                    <w:tab w:val="right" w:pos="8838"/>
                  </w:tabs>
                  <w:ind w:left="-74" w:right="-7"/>
                  <w:rPr>
                    <w:rFonts w:ascii="Palatino Linotype" w:eastAsia="Palatino Linotype" w:hAnsi="Palatino Linotype" w:cs="Palatino Linotype"/>
                    <w:b/>
                  </w:rPr>
                </w:pPr>
              </w:p>
            </w:tc>
          </w:tr>
        </w:tbl>
        <w:p w14:paraId="416AA9C9" w14:textId="77777777" w:rsidR="00BC71C4" w:rsidRDefault="00BC71C4">
          <w:pPr>
            <w:tabs>
              <w:tab w:val="right" w:pos="8838"/>
            </w:tabs>
            <w:ind w:left="-28"/>
            <w:jc w:val="both"/>
            <w:rPr>
              <w:rFonts w:ascii="Arial" w:eastAsia="Arial" w:hAnsi="Arial" w:cs="Arial"/>
              <w:b/>
              <w:sz w:val="22"/>
              <w:szCs w:val="22"/>
            </w:rPr>
          </w:pPr>
        </w:p>
      </w:tc>
    </w:tr>
  </w:tbl>
  <w:p w14:paraId="0CC7567A" w14:textId="77777777" w:rsidR="00BC71C4" w:rsidRDefault="00DA42EB">
    <w:pPr>
      <w:pBdr>
        <w:top w:val="nil"/>
        <w:left w:val="nil"/>
        <w:bottom w:val="nil"/>
        <w:right w:val="nil"/>
        <w:between w:val="nil"/>
      </w:pBdr>
      <w:tabs>
        <w:tab w:val="center" w:pos="4419"/>
        <w:tab w:val="right" w:pos="8838"/>
      </w:tabs>
      <w:rPr>
        <w:color w:val="000000"/>
        <w:sz w:val="2"/>
        <w:szCs w:val="2"/>
      </w:rPr>
    </w:pPr>
    <w:r>
      <w:rPr>
        <w:color w:val="000000"/>
        <w:sz w:val="2"/>
        <w:szCs w:val="2"/>
      </w:rPr>
      <w:pict w14:anchorId="0659A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71.55pt;margin-top:-135.3pt;width:589.8pt;height:768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3BE4"/>
    <w:multiLevelType w:val="multilevel"/>
    <w:tmpl w:val="928209FA"/>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EB16FE6"/>
    <w:multiLevelType w:val="multilevel"/>
    <w:tmpl w:val="5060F2D2"/>
    <w:lvl w:ilvl="0">
      <w:start w:val="1"/>
      <w:numFmt w:val="decimal"/>
      <w:lvlText w:val="%1."/>
      <w:lvlJc w:val="left"/>
      <w:pPr>
        <w:ind w:left="2204"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940A95"/>
    <w:multiLevelType w:val="multilevel"/>
    <w:tmpl w:val="39445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450150A"/>
    <w:multiLevelType w:val="multilevel"/>
    <w:tmpl w:val="883860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A8339E0"/>
    <w:multiLevelType w:val="hybridMultilevel"/>
    <w:tmpl w:val="5082E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1C4"/>
    <w:rsid w:val="00057752"/>
    <w:rsid w:val="00127B6A"/>
    <w:rsid w:val="003818B8"/>
    <w:rsid w:val="00474F70"/>
    <w:rsid w:val="00545B0E"/>
    <w:rsid w:val="008A7552"/>
    <w:rsid w:val="00A41CF1"/>
    <w:rsid w:val="00AF07EC"/>
    <w:rsid w:val="00BC71C4"/>
    <w:rsid w:val="00C93E14"/>
    <w:rsid w:val="00D856C7"/>
    <w:rsid w:val="00DA42EB"/>
    <w:rsid w:val="00DB7499"/>
    <w:rsid w:val="00DD7CFA"/>
    <w:rsid w:val="00E42C96"/>
    <w:rsid w:val="00E54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7B0CA"/>
  <w15:docId w15:val="{083062E5-7AFC-4A0A-A5C1-4AB52078A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E02D1E"/>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uiPriority w:val="9"/>
    <w:rsid w:val="00E02D1E"/>
    <w:rPr>
      <w:rFonts w:asciiTheme="majorHAnsi" w:eastAsiaTheme="majorEastAsia" w:hAnsiTheme="majorHAnsi" w:cstheme="majorBidi"/>
      <w:color w:val="2E74B5" w:themeColor="accent1" w:themeShade="BF"/>
      <w:sz w:val="26"/>
      <w:szCs w:val="26"/>
      <w:lang w:val="es-MX" w:eastAsia="es-MX"/>
    </w:rPr>
  </w:style>
  <w:style w:type="paragraph" w:styleId="Encabezado">
    <w:name w:val="header"/>
    <w:basedOn w:val="Normal"/>
    <w:link w:val="EncabezadoCar"/>
    <w:uiPriority w:val="99"/>
    <w:unhideWhenUsed/>
    <w:rsid w:val="00E02D1E"/>
    <w:pPr>
      <w:tabs>
        <w:tab w:val="center" w:pos="4419"/>
        <w:tab w:val="right" w:pos="8838"/>
      </w:tabs>
    </w:pPr>
  </w:style>
  <w:style w:type="character" w:customStyle="1" w:styleId="EncabezadoCar">
    <w:name w:val="Encabezado Car"/>
    <w:basedOn w:val="Fuentedeprrafopredeter"/>
    <w:link w:val="Encabezado"/>
    <w:uiPriority w:val="99"/>
    <w:rsid w:val="00E02D1E"/>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02D1E"/>
    <w:pPr>
      <w:tabs>
        <w:tab w:val="center" w:pos="4419"/>
        <w:tab w:val="right" w:pos="8838"/>
      </w:tabs>
    </w:pPr>
  </w:style>
  <w:style w:type="character" w:customStyle="1" w:styleId="PiedepginaCar">
    <w:name w:val="Pie de página Car"/>
    <w:basedOn w:val="Fuentedeprrafopredeter"/>
    <w:link w:val="Piedepgina"/>
    <w:uiPriority w:val="99"/>
    <w:rsid w:val="00E02D1E"/>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02D1E"/>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02D1E"/>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02D1E"/>
    <w:rPr>
      <w:color w:val="0563C1"/>
      <w:u w:val="single"/>
    </w:rPr>
  </w:style>
  <w:style w:type="paragraph" w:styleId="Sinespaciado">
    <w:name w:val="No Spacing"/>
    <w:aliases w:val="Francesa"/>
    <w:link w:val="SinespaciadoCar"/>
    <w:uiPriority w:val="1"/>
    <w:qFormat/>
    <w:rsid w:val="00E02D1E"/>
    <w:rPr>
      <w:rFonts w:eastAsiaTheme="minorEastAsia"/>
      <w:lang w:eastAsia="es-ES"/>
    </w:rPr>
  </w:style>
  <w:style w:type="character" w:customStyle="1" w:styleId="SinespaciadoCar">
    <w:name w:val="Sin espaciado Car"/>
    <w:aliases w:val="Francesa Car"/>
    <w:link w:val="Sinespaciado"/>
    <w:uiPriority w:val="1"/>
    <w:locked/>
    <w:rsid w:val="00E02D1E"/>
    <w:rPr>
      <w:rFonts w:eastAsiaTheme="minorEastAsia"/>
      <w:sz w:val="24"/>
      <w:szCs w:val="24"/>
      <w:lang w:val="es-ES_tradnl" w:eastAsia="es-ES"/>
    </w:rPr>
  </w:style>
  <w:style w:type="character" w:styleId="Referenciasutil">
    <w:name w:val="Subtle Reference"/>
    <w:basedOn w:val="Fuentedeprrafopredeter"/>
    <w:uiPriority w:val="31"/>
    <w:qFormat/>
    <w:rsid w:val="00146A3B"/>
    <w:rPr>
      <w:rFonts w:cs="Times New Roman"/>
      <w:smallCaps/>
      <w:color w:val="5A5A5A" w:themeColor="text1" w:themeTint="A5"/>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2BfcN4Bwt8/gVkHa88XWeJOORA==">CgMxLjAyCGguZ2pkZ3hzMgloLjMwajB6bGwyCWguMWZvYjl0ZTIJaC4zem55c2g3MgloLjJldDkycDAyCGgudHlqY3d0MgloLjNkeTZ2a20yCWguMXQzaDVzZjIOaC51YjFtaXVtNDhnNjkyCWguMnM4ZXlvMTIJaC4xN2RwOHZ1OAByITFoTEtNbFIybnVlWG8tMGxrdy1ScXRzTUpzcmxCZGEtSQ==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2107</Words>
  <Characters>11590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9</cp:revision>
  <cp:lastPrinted>2025-08-22T17:07:00Z</cp:lastPrinted>
  <dcterms:created xsi:type="dcterms:W3CDTF">2024-06-18T01:47:00Z</dcterms:created>
  <dcterms:modified xsi:type="dcterms:W3CDTF">2025-10-08T16:54:00Z</dcterms:modified>
</cp:coreProperties>
</file>