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831279" w14:textId="77777777" w:rsidR="005E20E8" w:rsidRDefault="005E20E8">
      <w:pPr>
        <w:widowControl w:val="0"/>
        <w:pBdr>
          <w:top w:val="nil"/>
          <w:left w:val="nil"/>
          <w:bottom w:val="nil"/>
          <w:right w:val="nil"/>
          <w:between w:val="nil"/>
        </w:pBdr>
        <w:spacing w:after="0" w:line="360" w:lineRule="auto"/>
        <w:jc w:val="left"/>
      </w:pPr>
    </w:p>
    <w:p w14:paraId="746886B1" w14:textId="77777777" w:rsidR="005E20E8" w:rsidRDefault="005E20E8">
      <w:pPr>
        <w:widowControl w:val="0"/>
        <w:pBdr>
          <w:top w:val="nil"/>
          <w:left w:val="nil"/>
          <w:bottom w:val="nil"/>
          <w:right w:val="nil"/>
          <w:between w:val="nil"/>
        </w:pBdr>
        <w:spacing w:after="0" w:line="360" w:lineRule="auto"/>
        <w:jc w:val="left"/>
      </w:pPr>
    </w:p>
    <w:sdt>
      <w:sdtPr>
        <w:rPr>
          <w:rFonts w:ascii="Palatino Linotype" w:eastAsia="Palatino Linotype" w:hAnsi="Palatino Linotype" w:cs="Palatino Linotype"/>
          <w:color w:val="auto"/>
          <w:sz w:val="22"/>
          <w:szCs w:val="22"/>
          <w:lang w:val="es-ES"/>
        </w:rPr>
        <w:id w:val="1908261378"/>
        <w:docPartObj>
          <w:docPartGallery w:val="Table of Contents"/>
          <w:docPartUnique/>
        </w:docPartObj>
      </w:sdtPr>
      <w:sdtEndPr>
        <w:rPr>
          <w:b/>
          <w:bCs/>
        </w:rPr>
      </w:sdtEndPr>
      <w:sdtContent>
        <w:p w14:paraId="4F00EEC1" w14:textId="2CC912B2" w:rsidR="00BC5FF1" w:rsidRDefault="00BC5FF1">
          <w:pPr>
            <w:pStyle w:val="TtulodeTDC"/>
          </w:pPr>
          <w:r>
            <w:rPr>
              <w:lang w:val="es-ES"/>
            </w:rPr>
            <w:t>Tabla de contenido</w:t>
          </w:r>
          <w:bookmarkStart w:id="0" w:name="_GoBack"/>
          <w:bookmarkEnd w:id="0"/>
        </w:p>
        <w:p w14:paraId="1D863712" w14:textId="509B7AD4" w:rsidR="00D63D55" w:rsidRDefault="00BC5FF1">
          <w:pPr>
            <w:pStyle w:val="TDC1"/>
            <w:tabs>
              <w:tab w:val="right" w:leader="dot" w:pos="9204"/>
            </w:tabs>
            <w:rPr>
              <w:rFonts w:asciiTheme="minorHAnsi" w:eastAsiaTheme="minorEastAsia" w:hAnsiTheme="minorHAnsi" w:cstheme="minorBidi"/>
              <w:noProof/>
              <w:lang w:eastAsia="es-MX"/>
            </w:rPr>
          </w:pPr>
          <w:r>
            <w:fldChar w:fldCharType="begin"/>
          </w:r>
          <w:r>
            <w:instrText xml:space="preserve"> TOC \o "1-3" \h \z \u </w:instrText>
          </w:r>
          <w:r>
            <w:fldChar w:fldCharType="separate"/>
          </w:r>
          <w:hyperlink w:anchor="_Toc205477223" w:history="1">
            <w:r w:rsidR="00D63D55" w:rsidRPr="00A362A8">
              <w:rPr>
                <w:rStyle w:val="Hipervnculo"/>
                <w:noProof/>
              </w:rPr>
              <w:t>A N T E C E D E N T E S</w:t>
            </w:r>
            <w:r w:rsidR="00D63D55">
              <w:rPr>
                <w:noProof/>
                <w:webHidden/>
              </w:rPr>
              <w:tab/>
            </w:r>
            <w:r w:rsidR="00D63D55">
              <w:rPr>
                <w:noProof/>
                <w:webHidden/>
              </w:rPr>
              <w:fldChar w:fldCharType="begin"/>
            </w:r>
            <w:r w:rsidR="00D63D55">
              <w:rPr>
                <w:noProof/>
                <w:webHidden/>
              </w:rPr>
              <w:instrText xml:space="preserve"> PAGEREF _Toc205477223 \h </w:instrText>
            </w:r>
            <w:r w:rsidR="00D63D55">
              <w:rPr>
                <w:noProof/>
                <w:webHidden/>
              </w:rPr>
            </w:r>
            <w:r w:rsidR="00D63D55">
              <w:rPr>
                <w:noProof/>
                <w:webHidden/>
              </w:rPr>
              <w:fldChar w:fldCharType="separate"/>
            </w:r>
            <w:r w:rsidR="002852F5">
              <w:rPr>
                <w:noProof/>
                <w:webHidden/>
              </w:rPr>
              <w:t>2</w:t>
            </w:r>
            <w:r w:rsidR="00D63D55">
              <w:rPr>
                <w:noProof/>
                <w:webHidden/>
              </w:rPr>
              <w:fldChar w:fldCharType="end"/>
            </w:r>
          </w:hyperlink>
        </w:p>
        <w:p w14:paraId="40FB7745" w14:textId="49868E0E" w:rsidR="00D63D55" w:rsidRDefault="00F05C9E">
          <w:pPr>
            <w:pStyle w:val="TDC2"/>
            <w:tabs>
              <w:tab w:val="right" w:leader="dot" w:pos="9204"/>
            </w:tabs>
            <w:rPr>
              <w:rFonts w:asciiTheme="minorHAnsi" w:eastAsiaTheme="minorEastAsia" w:hAnsiTheme="minorHAnsi" w:cstheme="minorBidi"/>
              <w:noProof/>
              <w:lang w:eastAsia="es-MX"/>
            </w:rPr>
          </w:pPr>
          <w:hyperlink w:anchor="_Toc205477224" w:history="1">
            <w:r w:rsidR="00D63D55" w:rsidRPr="00A362A8">
              <w:rPr>
                <w:rStyle w:val="Hipervnculo"/>
                <w:noProof/>
              </w:rPr>
              <w:t>I. Presentación de la solicitud de información</w:t>
            </w:r>
            <w:r w:rsidR="00D63D55">
              <w:rPr>
                <w:noProof/>
                <w:webHidden/>
              </w:rPr>
              <w:tab/>
            </w:r>
            <w:r w:rsidR="00D63D55">
              <w:rPr>
                <w:noProof/>
                <w:webHidden/>
              </w:rPr>
              <w:fldChar w:fldCharType="begin"/>
            </w:r>
            <w:r w:rsidR="00D63D55">
              <w:rPr>
                <w:noProof/>
                <w:webHidden/>
              </w:rPr>
              <w:instrText xml:space="preserve"> PAGEREF _Toc205477224 \h </w:instrText>
            </w:r>
            <w:r w:rsidR="00D63D55">
              <w:rPr>
                <w:noProof/>
                <w:webHidden/>
              </w:rPr>
            </w:r>
            <w:r w:rsidR="00D63D55">
              <w:rPr>
                <w:noProof/>
                <w:webHidden/>
              </w:rPr>
              <w:fldChar w:fldCharType="separate"/>
            </w:r>
            <w:r w:rsidR="002852F5">
              <w:rPr>
                <w:noProof/>
                <w:webHidden/>
              </w:rPr>
              <w:t>2</w:t>
            </w:r>
            <w:r w:rsidR="00D63D55">
              <w:rPr>
                <w:noProof/>
                <w:webHidden/>
              </w:rPr>
              <w:fldChar w:fldCharType="end"/>
            </w:r>
          </w:hyperlink>
        </w:p>
        <w:p w14:paraId="0A1B61B8" w14:textId="2AFA3E4A" w:rsidR="00D63D55" w:rsidRDefault="00F05C9E">
          <w:pPr>
            <w:pStyle w:val="TDC2"/>
            <w:tabs>
              <w:tab w:val="right" w:leader="dot" w:pos="9204"/>
            </w:tabs>
            <w:rPr>
              <w:rFonts w:asciiTheme="minorHAnsi" w:eastAsiaTheme="minorEastAsia" w:hAnsiTheme="minorHAnsi" w:cstheme="minorBidi"/>
              <w:noProof/>
              <w:lang w:eastAsia="es-MX"/>
            </w:rPr>
          </w:pPr>
          <w:hyperlink w:anchor="_Toc205477225" w:history="1">
            <w:r w:rsidR="00D63D55" w:rsidRPr="00A362A8">
              <w:rPr>
                <w:rStyle w:val="Hipervnculo"/>
                <w:noProof/>
              </w:rPr>
              <w:t>II. Respuesta del Sujeto Obligado</w:t>
            </w:r>
            <w:r w:rsidR="00D63D55">
              <w:rPr>
                <w:noProof/>
                <w:webHidden/>
              </w:rPr>
              <w:tab/>
            </w:r>
            <w:r w:rsidR="00D63D55">
              <w:rPr>
                <w:noProof/>
                <w:webHidden/>
              </w:rPr>
              <w:fldChar w:fldCharType="begin"/>
            </w:r>
            <w:r w:rsidR="00D63D55">
              <w:rPr>
                <w:noProof/>
                <w:webHidden/>
              </w:rPr>
              <w:instrText xml:space="preserve"> PAGEREF _Toc205477225 \h </w:instrText>
            </w:r>
            <w:r w:rsidR="00D63D55">
              <w:rPr>
                <w:noProof/>
                <w:webHidden/>
              </w:rPr>
            </w:r>
            <w:r w:rsidR="00D63D55">
              <w:rPr>
                <w:noProof/>
                <w:webHidden/>
              </w:rPr>
              <w:fldChar w:fldCharType="separate"/>
            </w:r>
            <w:r w:rsidR="002852F5">
              <w:rPr>
                <w:noProof/>
                <w:webHidden/>
              </w:rPr>
              <w:t>3</w:t>
            </w:r>
            <w:r w:rsidR="00D63D55">
              <w:rPr>
                <w:noProof/>
                <w:webHidden/>
              </w:rPr>
              <w:fldChar w:fldCharType="end"/>
            </w:r>
          </w:hyperlink>
        </w:p>
        <w:p w14:paraId="5780868A" w14:textId="3D62CF6B" w:rsidR="00D63D55" w:rsidRDefault="00F05C9E">
          <w:pPr>
            <w:pStyle w:val="TDC2"/>
            <w:tabs>
              <w:tab w:val="right" w:leader="dot" w:pos="9204"/>
            </w:tabs>
            <w:rPr>
              <w:rFonts w:asciiTheme="minorHAnsi" w:eastAsiaTheme="minorEastAsia" w:hAnsiTheme="minorHAnsi" w:cstheme="minorBidi"/>
              <w:noProof/>
              <w:lang w:eastAsia="es-MX"/>
            </w:rPr>
          </w:pPr>
          <w:hyperlink w:anchor="_Toc205477226" w:history="1">
            <w:r w:rsidR="00D63D55" w:rsidRPr="00A362A8">
              <w:rPr>
                <w:rStyle w:val="Hipervnculo"/>
                <w:noProof/>
              </w:rPr>
              <w:t>III. Interposición del Recurso de Revisión</w:t>
            </w:r>
            <w:r w:rsidR="00D63D55">
              <w:rPr>
                <w:noProof/>
                <w:webHidden/>
              </w:rPr>
              <w:tab/>
            </w:r>
            <w:r w:rsidR="00D63D55">
              <w:rPr>
                <w:noProof/>
                <w:webHidden/>
              </w:rPr>
              <w:fldChar w:fldCharType="begin"/>
            </w:r>
            <w:r w:rsidR="00D63D55">
              <w:rPr>
                <w:noProof/>
                <w:webHidden/>
              </w:rPr>
              <w:instrText xml:space="preserve"> PAGEREF _Toc205477226 \h </w:instrText>
            </w:r>
            <w:r w:rsidR="00D63D55">
              <w:rPr>
                <w:noProof/>
                <w:webHidden/>
              </w:rPr>
            </w:r>
            <w:r w:rsidR="00D63D55">
              <w:rPr>
                <w:noProof/>
                <w:webHidden/>
              </w:rPr>
              <w:fldChar w:fldCharType="separate"/>
            </w:r>
            <w:r w:rsidR="002852F5">
              <w:rPr>
                <w:noProof/>
                <w:webHidden/>
              </w:rPr>
              <w:t>4</w:t>
            </w:r>
            <w:r w:rsidR="00D63D55">
              <w:rPr>
                <w:noProof/>
                <w:webHidden/>
              </w:rPr>
              <w:fldChar w:fldCharType="end"/>
            </w:r>
          </w:hyperlink>
        </w:p>
        <w:p w14:paraId="78B64CE6" w14:textId="5499B8CA" w:rsidR="00D63D55" w:rsidRDefault="00F05C9E">
          <w:pPr>
            <w:pStyle w:val="TDC2"/>
            <w:tabs>
              <w:tab w:val="right" w:leader="dot" w:pos="9204"/>
            </w:tabs>
            <w:rPr>
              <w:rFonts w:asciiTheme="minorHAnsi" w:eastAsiaTheme="minorEastAsia" w:hAnsiTheme="minorHAnsi" w:cstheme="minorBidi"/>
              <w:noProof/>
              <w:lang w:eastAsia="es-MX"/>
            </w:rPr>
          </w:pPr>
          <w:hyperlink w:anchor="_Toc205477227" w:history="1">
            <w:r w:rsidR="00D63D55" w:rsidRPr="00A362A8">
              <w:rPr>
                <w:rStyle w:val="Hipervnculo"/>
                <w:noProof/>
              </w:rPr>
              <w:t>IV. Trámite del Recurso de Revisión ante este Instituto</w:t>
            </w:r>
            <w:r w:rsidR="00D63D55">
              <w:rPr>
                <w:noProof/>
                <w:webHidden/>
              </w:rPr>
              <w:tab/>
            </w:r>
            <w:r w:rsidR="00D63D55">
              <w:rPr>
                <w:noProof/>
                <w:webHidden/>
              </w:rPr>
              <w:fldChar w:fldCharType="begin"/>
            </w:r>
            <w:r w:rsidR="00D63D55">
              <w:rPr>
                <w:noProof/>
                <w:webHidden/>
              </w:rPr>
              <w:instrText xml:space="preserve"> PAGEREF _Toc205477227 \h </w:instrText>
            </w:r>
            <w:r w:rsidR="00D63D55">
              <w:rPr>
                <w:noProof/>
                <w:webHidden/>
              </w:rPr>
            </w:r>
            <w:r w:rsidR="00D63D55">
              <w:rPr>
                <w:noProof/>
                <w:webHidden/>
              </w:rPr>
              <w:fldChar w:fldCharType="separate"/>
            </w:r>
            <w:r w:rsidR="002852F5">
              <w:rPr>
                <w:noProof/>
                <w:webHidden/>
              </w:rPr>
              <w:t>4</w:t>
            </w:r>
            <w:r w:rsidR="00D63D55">
              <w:rPr>
                <w:noProof/>
                <w:webHidden/>
              </w:rPr>
              <w:fldChar w:fldCharType="end"/>
            </w:r>
          </w:hyperlink>
        </w:p>
        <w:p w14:paraId="04B0FB8F" w14:textId="11D1D828" w:rsidR="00D63D55" w:rsidRDefault="00F05C9E">
          <w:pPr>
            <w:pStyle w:val="TDC1"/>
            <w:tabs>
              <w:tab w:val="right" w:leader="dot" w:pos="9204"/>
            </w:tabs>
            <w:rPr>
              <w:rFonts w:asciiTheme="minorHAnsi" w:eastAsiaTheme="minorEastAsia" w:hAnsiTheme="minorHAnsi" w:cstheme="minorBidi"/>
              <w:noProof/>
              <w:lang w:eastAsia="es-MX"/>
            </w:rPr>
          </w:pPr>
          <w:hyperlink w:anchor="_Toc205477228" w:history="1">
            <w:r w:rsidR="00D63D55" w:rsidRPr="00A362A8">
              <w:rPr>
                <w:rStyle w:val="Hipervnculo"/>
                <w:noProof/>
              </w:rPr>
              <w:t>C O N S I D E R A N D O S</w:t>
            </w:r>
            <w:r w:rsidR="00D63D55">
              <w:rPr>
                <w:noProof/>
                <w:webHidden/>
              </w:rPr>
              <w:tab/>
            </w:r>
            <w:r w:rsidR="00D63D55">
              <w:rPr>
                <w:noProof/>
                <w:webHidden/>
              </w:rPr>
              <w:fldChar w:fldCharType="begin"/>
            </w:r>
            <w:r w:rsidR="00D63D55">
              <w:rPr>
                <w:noProof/>
                <w:webHidden/>
              </w:rPr>
              <w:instrText xml:space="preserve"> PAGEREF _Toc205477228 \h </w:instrText>
            </w:r>
            <w:r w:rsidR="00D63D55">
              <w:rPr>
                <w:noProof/>
                <w:webHidden/>
              </w:rPr>
            </w:r>
            <w:r w:rsidR="00D63D55">
              <w:rPr>
                <w:noProof/>
                <w:webHidden/>
              </w:rPr>
              <w:fldChar w:fldCharType="separate"/>
            </w:r>
            <w:r w:rsidR="002852F5">
              <w:rPr>
                <w:noProof/>
                <w:webHidden/>
              </w:rPr>
              <w:t>6</w:t>
            </w:r>
            <w:r w:rsidR="00D63D55">
              <w:rPr>
                <w:noProof/>
                <w:webHidden/>
              </w:rPr>
              <w:fldChar w:fldCharType="end"/>
            </w:r>
          </w:hyperlink>
        </w:p>
        <w:p w14:paraId="14AF54EC" w14:textId="4D21B67F" w:rsidR="00D63D55" w:rsidRDefault="00F05C9E">
          <w:pPr>
            <w:pStyle w:val="TDC2"/>
            <w:tabs>
              <w:tab w:val="right" w:leader="dot" w:pos="9204"/>
            </w:tabs>
            <w:rPr>
              <w:rFonts w:asciiTheme="minorHAnsi" w:eastAsiaTheme="minorEastAsia" w:hAnsiTheme="minorHAnsi" w:cstheme="minorBidi"/>
              <w:noProof/>
              <w:lang w:eastAsia="es-MX"/>
            </w:rPr>
          </w:pPr>
          <w:hyperlink w:anchor="_Toc205477229" w:history="1">
            <w:r w:rsidR="00D63D55" w:rsidRPr="00A362A8">
              <w:rPr>
                <w:rStyle w:val="Hipervnculo"/>
                <w:noProof/>
              </w:rPr>
              <w:t>PRIMERO. Competencia</w:t>
            </w:r>
            <w:r w:rsidR="00D63D55">
              <w:rPr>
                <w:noProof/>
                <w:webHidden/>
              </w:rPr>
              <w:tab/>
            </w:r>
            <w:r w:rsidR="00D63D55">
              <w:rPr>
                <w:noProof/>
                <w:webHidden/>
              </w:rPr>
              <w:fldChar w:fldCharType="begin"/>
            </w:r>
            <w:r w:rsidR="00D63D55">
              <w:rPr>
                <w:noProof/>
                <w:webHidden/>
              </w:rPr>
              <w:instrText xml:space="preserve"> PAGEREF _Toc205477229 \h </w:instrText>
            </w:r>
            <w:r w:rsidR="00D63D55">
              <w:rPr>
                <w:noProof/>
                <w:webHidden/>
              </w:rPr>
            </w:r>
            <w:r w:rsidR="00D63D55">
              <w:rPr>
                <w:noProof/>
                <w:webHidden/>
              </w:rPr>
              <w:fldChar w:fldCharType="separate"/>
            </w:r>
            <w:r w:rsidR="002852F5">
              <w:rPr>
                <w:noProof/>
                <w:webHidden/>
              </w:rPr>
              <w:t>6</w:t>
            </w:r>
            <w:r w:rsidR="00D63D55">
              <w:rPr>
                <w:noProof/>
                <w:webHidden/>
              </w:rPr>
              <w:fldChar w:fldCharType="end"/>
            </w:r>
          </w:hyperlink>
        </w:p>
        <w:p w14:paraId="2559AF83" w14:textId="6F111F55" w:rsidR="00D63D55" w:rsidRDefault="00F05C9E">
          <w:pPr>
            <w:pStyle w:val="TDC2"/>
            <w:tabs>
              <w:tab w:val="right" w:leader="dot" w:pos="9204"/>
            </w:tabs>
            <w:rPr>
              <w:rFonts w:asciiTheme="minorHAnsi" w:eastAsiaTheme="minorEastAsia" w:hAnsiTheme="minorHAnsi" w:cstheme="minorBidi"/>
              <w:noProof/>
              <w:lang w:eastAsia="es-MX"/>
            </w:rPr>
          </w:pPr>
          <w:hyperlink w:anchor="_Toc205477230" w:history="1">
            <w:r w:rsidR="00D63D55" w:rsidRPr="00A362A8">
              <w:rPr>
                <w:rStyle w:val="Hipervnculo"/>
                <w:noProof/>
              </w:rPr>
              <w:t>SEGUNDO. Causales de improcedencia y sobreseimiento</w:t>
            </w:r>
            <w:r w:rsidR="00D63D55">
              <w:rPr>
                <w:noProof/>
                <w:webHidden/>
              </w:rPr>
              <w:tab/>
            </w:r>
            <w:r w:rsidR="00D63D55">
              <w:rPr>
                <w:noProof/>
                <w:webHidden/>
              </w:rPr>
              <w:fldChar w:fldCharType="begin"/>
            </w:r>
            <w:r w:rsidR="00D63D55">
              <w:rPr>
                <w:noProof/>
                <w:webHidden/>
              </w:rPr>
              <w:instrText xml:space="preserve"> PAGEREF _Toc205477230 \h </w:instrText>
            </w:r>
            <w:r w:rsidR="00D63D55">
              <w:rPr>
                <w:noProof/>
                <w:webHidden/>
              </w:rPr>
            </w:r>
            <w:r w:rsidR="00D63D55">
              <w:rPr>
                <w:noProof/>
                <w:webHidden/>
              </w:rPr>
              <w:fldChar w:fldCharType="separate"/>
            </w:r>
            <w:r w:rsidR="002852F5">
              <w:rPr>
                <w:noProof/>
                <w:webHidden/>
              </w:rPr>
              <w:t>7</w:t>
            </w:r>
            <w:r w:rsidR="00D63D55">
              <w:rPr>
                <w:noProof/>
                <w:webHidden/>
              </w:rPr>
              <w:fldChar w:fldCharType="end"/>
            </w:r>
          </w:hyperlink>
        </w:p>
        <w:p w14:paraId="7CAEFCE4" w14:textId="3E2AFE9E" w:rsidR="00D63D55" w:rsidRDefault="00F05C9E">
          <w:pPr>
            <w:pStyle w:val="TDC2"/>
            <w:tabs>
              <w:tab w:val="right" w:leader="dot" w:pos="9204"/>
            </w:tabs>
            <w:rPr>
              <w:rFonts w:asciiTheme="minorHAnsi" w:eastAsiaTheme="minorEastAsia" w:hAnsiTheme="minorHAnsi" w:cstheme="minorBidi"/>
              <w:noProof/>
              <w:lang w:eastAsia="es-MX"/>
            </w:rPr>
          </w:pPr>
          <w:hyperlink w:anchor="_Toc205477231" w:history="1">
            <w:r w:rsidR="00D63D55" w:rsidRPr="00A362A8">
              <w:rPr>
                <w:rStyle w:val="Hipervnculo"/>
                <w:noProof/>
              </w:rPr>
              <w:t>CUARTO. Marco normativo aplicable en materia de transparencia y acceso a la información pública</w:t>
            </w:r>
            <w:r w:rsidR="00D63D55">
              <w:rPr>
                <w:noProof/>
                <w:webHidden/>
              </w:rPr>
              <w:tab/>
            </w:r>
            <w:r w:rsidR="00D63D55">
              <w:rPr>
                <w:noProof/>
                <w:webHidden/>
              </w:rPr>
              <w:fldChar w:fldCharType="begin"/>
            </w:r>
            <w:r w:rsidR="00D63D55">
              <w:rPr>
                <w:noProof/>
                <w:webHidden/>
              </w:rPr>
              <w:instrText xml:space="preserve"> PAGEREF _Toc205477231 \h </w:instrText>
            </w:r>
            <w:r w:rsidR="00D63D55">
              <w:rPr>
                <w:noProof/>
                <w:webHidden/>
              </w:rPr>
            </w:r>
            <w:r w:rsidR="00D63D55">
              <w:rPr>
                <w:noProof/>
                <w:webHidden/>
              </w:rPr>
              <w:fldChar w:fldCharType="separate"/>
            </w:r>
            <w:r w:rsidR="002852F5">
              <w:rPr>
                <w:noProof/>
                <w:webHidden/>
              </w:rPr>
              <w:t>10</w:t>
            </w:r>
            <w:r w:rsidR="00D63D55">
              <w:rPr>
                <w:noProof/>
                <w:webHidden/>
              </w:rPr>
              <w:fldChar w:fldCharType="end"/>
            </w:r>
          </w:hyperlink>
        </w:p>
        <w:p w14:paraId="6028C1E5" w14:textId="73C0626A" w:rsidR="00D63D55" w:rsidRDefault="00F05C9E">
          <w:pPr>
            <w:pStyle w:val="TDC2"/>
            <w:tabs>
              <w:tab w:val="right" w:leader="dot" w:pos="9204"/>
            </w:tabs>
            <w:rPr>
              <w:rFonts w:asciiTheme="minorHAnsi" w:eastAsiaTheme="minorEastAsia" w:hAnsiTheme="minorHAnsi" w:cstheme="minorBidi"/>
              <w:noProof/>
              <w:lang w:eastAsia="es-MX"/>
            </w:rPr>
          </w:pPr>
          <w:hyperlink w:anchor="_Toc205477232" w:history="1">
            <w:r w:rsidR="00D63D55" w:rsidRPr="00A362A8">
              <w:rPr>
                <w:rStyle w:val="Hipervnculo"/>
                <w:noProof/>
              </w:rPr>
              <w:t>QUINTO. Estudio de Fondo</w:t>
            </w:r>
            <w:r w:rsidR="00D63D55">
              <w:rPr>
                <w:noProof/>
                <w:webHidden/>
              </w:rPr>
              <w:tab/>
            </w:r>
            <w:r w:rsidR="00D63D55">
              <w:rPr>
                <w:noProof/>
                <w:webHidden/>
              </w:rPr>
              <w:fldChar w:fldCharType="begin"/>
            </w:r>
            <w:r w:rsidR="00D63D55">
              <w:rPr>
                <w:noProof/>
                <w:webHidden/>
              </w:rPr>
              <w:instrText xml:space="preserve"> PAGEREF _Toc205477232 \h </w:instrText>
            </w:r>
            <w:r w:rsidR="00D63D55">
              <w:rPr>
                <w:noProof/>
                <w:webHidden/>
              </w:rPr>
            </w:r>
            <w:r w:rsidR="00D63D55">
              <w:rPr>
                <w:noProof/>
                <w:webHidden/>
              </w:rPr>
              <w:fldChar w:fldCharType="separate"/>
            </w:r>
            <w:r w:rsidR="002852F5">
              <w:rPr>
                <w:noProof/>
                <w:webHidden/>
              </w:rPr>
              <w:t>11</w:t>
            </w:r>
            <w:r w:rsidR="00D63D55">
              <w:rPr>
                <w:noProof/>
                <w:webHidden/>
              </w:rPr>
              <w:fldChar w:fldCharType="end"/>
            </w:r>
          </w:hyperlink>
        </w:p>
        <w:p w14:paraId="16A34CD4" w14:textId="44BBF955" w:rsidR="00D63D55" w:rsidRDefault="00F05C9E">
          <w:pPr>
            <w:pStyle w:val="TDC2"/>
            <w:tabs>
              <w:tab w:val="right" w:leader="dot" w:pos="9204"/>
            </w:tabs>
            <w:rPr>
              <w:rFonts w:asciiTheme="minorHAnsi" w:eastAsiaTheme="minorEastAsia" w:hAnsiTheme="minorHAnsi" w:cstheme="minorBidi"/>
              <w:noProof/>
              <w:lang w:eastAsia="es-MX"/>
            </w:rPr>
          </w:pPr>
          <w:hyperlink w:anchor="_Toc205477233" w:history="1">
            <w:r w:rsidR="00D63D55" w:rsidRPr="00A362A8">
              <w:rPr>
                <w:rStyle w:val="Hipervnculo"/>
                <w:noProof/>
              </w:rPr>
              <w:t>SEXTO. Decisión</w:t>
            </w:r>
            <w:r w:rsidR="00D63D55">
              <w:rPr>
                <w:noProof/>
                <w:webHidden/>
              </w:rPr>
              <w:tab/>
            </w:r>
            <w:r w:rsidR="00D63D55">
              <w:rPr>
                <w:noProof/>
                <w:webHidden/>
              </w:rPr>
              <w:fldChar w:fldCharType="begin"/>
            </w:r>
            <w:r w:rsidR="00D63D55">
              <w:rPr>
                <w:noProof/>
                <w:webHidden/>
              </w:rPr>
              <w:instrText xml:space="preserve"> PAGEREF _Toc205477233 \h </w:instrText>
            </w:r>
            <w:r w:rsidR="00D63D55">
              <w:rPr>
                <w:noProof/>
                <w:webHidden/>
              </w:rPr>
            </w:r>
            <w:r w:rsidR="00D63D55">
              <w:rPr>
                <w:noProof/>
                <w:webHidden/>
              </w:rPr>
              <w:fldChar w:fldCharType="separate"/>
            </w:r>
            <w:r w:rsidR="002852F5">
              <w:rPr>
                <w:noProof/>
                <w:webHidden/>
              </w:rPr>
              <w:t>21</w:t>
            </w:r>
            <w:r w:rsidR="00D63D55">
              <w:rPr>
                <w:noProof/>
                <w:webHidden/>
              </w:rPr>
              <w:fldChar w:fldCharType="end"/>
            </w:r>
          </w:hyperlink>
        </w:p>
        <w:p w14:paraId="11C7244E" w14:textId="45264363" w:rsidR="00D63D55" w:rsidRDefault="00F05C9E">
          <w:pPr>
            <w:pStyle w:val="TDC1"/>
            <w:tabs>
              <w:tab w:val="right" w:leader="dot" w:pos="9204"/>
            </w:tabs>
            <w:rPr>
              <w:rFonts w:asciiTheme="minorHAnsi" w:eastAsiaTheme="minorEastAsia" w:hAnsiTheme="minorHAnsi" w:cstheme="minorBidi"/>
              <w:noProof/>
              <w:lang w:eastAsia="es-MX"/>
            </w:rPr>
          </w:pPr>
          <w:hyperlink w:anchor="_Toc205477234" w:history="1">
            <w:r w:rsidR="00D63D55" w:rsidRPr="00A362A8">
              <w:rPr>
                <w:rStyle w:val="Hipervnculo"/>
                <w:noProof/>
              </w:rPr>
              <w:t>R E S U E L V E</w:t>
            </w:r>
            <w:r w:rsidR="00D63D55">
              <w:rPr>
                <w:noProof/>
                <w:webHidden/>
              </w:rPr>
              <w:tab/>
            </w:r>
            <w:r w:rsidR="00D63D55">
              <w:rPr>
                <w:noProof/>
                <w:webHidden/>
              </w:rPr>
              <w:fldChar w:fldCharType="begin"/>
            </w:r>
            <w:r w:rsidR="00D63D55">
              <w:rPr>
                <w:noProof/>
                <w:webHidden/>
              </w:rPr>
              <w:instrText xml:space="preserve"> PAGEREF _Toc205477234 \h </w:instrText>
            </w:r>
            <w:r w:rsidR="00D63D55">
              <w:rPr>
                <w:noProof/>
                <w:webHidden/>
              </w:rPr>
            </w:r>
            <w:r w:rsidR="00D63D55">
              <w:rPr>
                <w:noProof/>
                <w:webHidden/>
              </w:rPr>
              <w:fldChar w:fldCharType="separate"/>
            </w:r>
            <w:r w:rsidR="002852F5">
              <w:rPr>
                <w:noProof/>
                <w:webHidden/>
              </w:rPr>
              <w:t>22</w:t>
            </w:r>
            <w:r w:rsidR="00D63D55">
              <w:rPr>
                <w:noProof/>
                <w:webHidden/>
              </w:rPr>
              <w:fldChar w:fldCharType="end"/>
            </w:r>
          </w:hyperlink>
        </w:p>
        <w:p w14:paraId="71D44D42" w14:textId="2D6F958D" w:rsidR="00BC5FF1" w:rsidRDefault="00BC5FF1">
          <w:r>
            <w:rPr>
              <w:b/>
              <w:bCs/>
              <w:lang w:val="es-ES"/>
            </w:rPr>
            <w:fldChar w:fldCharType="end"/>
          </w:r>
        </w:p>
      </w:sdtContent>
    </w:sdt>
    <w:p w14:paraId="68457EA2" w14:textId="77777777" w:rsidR="00BC5FF1" w:rsidRDefault="00BC5FF1">
      <w:r>
        <w:br w:type="page"/>
      </w:r>
    </w:p>
    <w:p w14:paraId="5980774E" w14:textId="18F41E92" w:rsidR="005E20E8" w:rsidRDefault="00BC5FF1">
      <w:pPr>
        <w:spacing w:after="0" w:line="360" w:lineRule="auto"/>
      </w:pPr>
      <w:r>
        <w:lastRenderedPageBreak/>
        <w:t>Resolución del Pleno del Instituto de Transparencia, Acceso a la Información Pública y Protección de Datos Personales del Estado de México y Municipios, con domicilio en Metepec, Estado de México, de fecha seis de agosto de dos mil veinticinco.</w:t>
      </w:r>
    </w:p>
    <w:p w14:paraId="306DD669" w14:textId="77777777" w:rsidR="005E20E8" w:rsidRDefault="005E20E8">
      <w:pPr>
        <w:spacing w:after="0" w:line="360" w:lineRule="auto"/>
        <w:rPr>
          <w:b/>
        </w:rPr>
      </w:pPr>
    </w:p>
    <w:p w14:paraId="00C74347" w14:textId="43957D6A" w:rsidR="005E20E8" w:rsidRDefault="00BC5FF1">
      <w:pPr>
        <w:spacing w:after="0" w:line="360" w:lineRule="auto"/>
      </w:pPr>
      <w:r>
        <w:rPr>
          <w:b/>
        </w:rPr>
        <w:t>VISTO</w:t>
      </w:r>
      <w:r>
        <w:t xml:space="preserve"> el expediente conformado con motivo del Recurso de Revisión </w:t>
      </w:r>
      <w:r w:rsidRPr="00151C53">
        <w:rPr>
          <w:b/>
        </w:rPr>
        <w:t>06596/INFOEM/AD/RR/2025,</w:t>
      </w:r>
      <w:r w:rsidRPr="00E6268C">
        <w:rPr>
          <w:bCs/>
        </w:rPr>
        <w:t xml:space="preserve"> interpuesto por </w:t>
      </w:r>
      <w:proofErr w:type="spellStart"/>
      <w:r w:rsidR="00F05C9E">
        <w:rPr>
          <w:b/>
          <w:highlight w:val="black"/>
        </w:rPr>
        <w:t>XXXXXXXXXXXXXXXX</w:t>
      </w:r>
      <w:r w:rsidR="00F05C9E">
        <w:rPr>
          <w:b/>
          <w:highlight w:val="black"/>
        </w:rPr>
        <w:t>xxx</w:t>
      </w:r>
      <w:r w:rsidR="00F05C9E">
        <w:rPr>
          <w:b/>
          <w:highlight w:val="black"/>
        </w:rPr>
        <w:t>XXXX</w:t>
      </w:r>
      <w:proofErr w:type="spellEnd"/>
      <w:r w:rsidR="00F05C9E" w:rsidRPr="00E6268C">
        <w:rPr>
          <w:bCs/>
        </w:rPr>
        <w:t xml:space="preserve"> </w:t>
      </w:r>
      <w:r w:rsidRPr="00E6268C">
        <w:rPr>
          <w:bCs/>
        </w:rPr>
        <w:t xml:space="preserve">en lo subsecuente la persona Recurrente o Particular, en contra de la respuesta del Sujeto Obligado, </w:t>
      </w:r>
      <w:r w:rsidRPr="00151C53">
        <w:rPr>
          <w:b/>
        </w:rPr>
        <w:t>Instituto de Salud del Estado de México</w:t>
      </w:r>
      <w:r w:rsidRPr="00E6268C">
        <w:rPr>
          <w:bCs/>
        </w:rPr>
        <w:t>,</w:t>
      </w:r>
      <w:r>
        <w:t xml:space="preserve"> se emite la presente Resolución, con base en los antecedentes y considerandos que se exponen a continuación:</w:t>
      </w:r>
    </w:p>
    <w:p w14:paraId="776CB90E" w14:textId="77777777" w:rsidR="005E20E8" w:rsidRDefault="005E20E8">
      <w:pPr>
        <w:spacing w:after="0" w:line="360" w:lineRule="auto"/>
      </w:pPr>
    </w:p>
    <w:p w14:paraId="21044C1E" w14:textId="77777777" w:rsidR="005E20E8" w:rsidRDefault="00BC5FF1">
      <w:pPr>
        <w:pStyle w:val="Ttulo1"/>
        <w:spacing w:before="0" w:after="0"/>
        <w:rPr>
          <w:sz w:val="22"/>
          <w:szCs w:val="22"/>
        </w:rPr>
      </w:pPr>
      <w:bookmarkStart w:id="1" w:name="_heading=h.p30nn8h9aprs" w:colFirst="0" w:colLast="0"/>
      <w:bookmarkStart w:id="2" w:name="_Toc205477223"/>
      <w:bookmarkEnd w:id="1"/>
      <w:r>
        <w:rPr>
          <w:sz w:val="22"/>
          <w:szCs w:val="22"/>
        </w:rPr>
        <w:t>A N T E C E D E N T E S</w:t>
      </w:r>
      <w:bookmarkEnd w:id="2"/>
    </w:p>
    <w:p w14:paraId="3CE8EDD8" w14:textId="77777777" w:rsidR="005E20E8" w:rsidRDefault="005E20E8">
      <w:pPr>
        <w:spacing w:after="0" w:line="360" w:lineRule="auto"/>
      </w:pPr>
      <w:bookmarkStart w:id="3" w:name="_heading=h.gjdgxs" w:colFirst="0" w:colLast="0"/>
      <w:bookmarkEnd w:id="3"/>
    </w:p>
    <w:p w14:paraId="4EF9543B" w14:textId="77777777" w:rsidR="005E20E8" w:rsidRDefault="00BC5FF1">
      <w:pPr>
        <w:pStyle w:val="Ttulo2"/>
        <w:spacing w:before="0" w:after="0"/>
      </w:pPr>
      <w:bookmarkStart w:id="4" w:name="_heading=h.h1iccs4waoxh" w:colFirst="0" w:colLast="0"/>
      <w:bookmarkStart w:id="5" w:name="_Toc205477224"/>
      <w:bookmarkEnd w:id="4"/>
      <w:r>
        <w:t>I. Presentación de la solicitud de información</w:t>
      </w:r>
      <w:bookmarkEnd w:id="5"/>
    </w:p>
    <w:p w14:paraId="4E213054" w14:textId="77777777" w:rsidR="005E20E8" w:rsidRDefault="005E20E8">
      <w:pPr>
        <w:tabs>
          <w:tab w:val="left" w:pos="567"/>
        </w:tabs>
        <w:spacing w:after="0" w:line="360" w:lineRule="auto"/>
      </w:pPr>
    </w:p>
    <w:p w14:paraId="6A47D8A3" w14:textId="77777777" w:rsidR="005E20E8" w:rsidRDefault="00BC5FF1">
      <w:pPr>
        <w:spacing w:after="0" w:line="360" w:lineRule="auto"/>
      </w:pPr>
      <w:r>
        <w:t>Con fecha dos de mayo de dos mil veinticinco, la parte Solicitante presentó una solicitud de acceso a la información pública, a través del Sistema de Acceso, Rectificación, Cancelación y Oposición de Datos Personales del Estado de México, en lo sucesivo el SARCOEM, ante el Instituto de Salud del Estado de México, en la que requirió lo siguiente:</w:t>
      </w:r>
    </w:p>
    <w:p w14:paraId="614EC20D" w14:textId="77777777" w:rsidR="005E20E8" w:rsidRDefault="005E20E8">
      <w:pPr>
        <w:spacing w:after="0" w:line="360" w:lineRule="auto"/>
      </w:pPr>
    </w:p>
    <w:p w14:paraId="25774896" w14:textId="77777777" w:rsidR="005E20E8" w:rsidRDefault="00BC5FF1">
      <w:pPr>
        <w:tabs>
          <w:tab w:val="left" w:pos="567"/>
        </w:tabs>
        <w:spacing w:after="0" w:line="360" w:lineRule="auto"/>
        <w:ind w:left="567" w:right="709"/>
        <w:rPr>
          <w:b/>
          <w:sz w:val="20"/>
          <w:szCs w:val="20"/>
        </w:rPr>
      </w:pPr>
      <w:r>
        <w:rPr>
          <w:b/>
          <w:sz w:val="20"/>
          <w:szCs w:val="20"/>
        </w:rPr>
        <w:t>Folio de la solicitud: 00009/ISEM/AD/2025</w:t>
      </w:r>
    </w:p>
    <w:p w14:paraId="6C28707D" w14:textId="77777777" w:rsidR="005E20E8" w:rsidRDefault="00BC5FF1">
      <w:pPr>
        <w:tabs>
          <w:tab w:val="left" w:pos="4667"/>
        </w:tabs>
        <w:spacing w:after="0" w:line="360" w:lineRule="auto"/>
        <w:ind w:left="567" w:right="709"/>
        <w:rPr>
          <w:b/>
          <w:sz w:val="20"/>
          <w:szCs w:val="20"/>
        </w:rPr>
      </w:pPr>
      <w:r>
        <w:rPr>
          <w:b/>
          <w:sz w:val="20"/>
          <w:szCs w:val="20"/>
        </w:rPr>
        <w:t>DATOS PERSONALES A LOS QUE DESEA TENER EL ACCESO</w:t>
      </w:r>
      <w:r>
        <w:rPr>
          <w:b/>
          <w:sz w:val="20"/>
          <w:szCs w:val="20"/>
        </w:rPr>
        <w:tab/>
      </w:r>
    </w:p>
    <w:p w14:paraId="66706EFB" w14:textId="77777777" w:rsidR="005E20E8" w:rsidRDefault="00BC5FF1">
      <w:pPr>
        <w:tabs>
          <w:tab w:val="left" w:pos="4667"/>
        </w:tabs>
        <w:spacing w:after="0" w:line="360" w:lineRule="auto"/>
        <w:ind w:left="567" w:right="709"/>
        <w:rPr>
          <w:i/>
          <w:sz w:val="20"/>
          <w:szCs w:val="20"/>
        </w:rPr>
      </w:pPr>
      <w:bookmarkStart w:id="6" w:name="_heading=h.9i1rns4x23eq" w:colFirst="0" w:colLast="0"/>
      <w:bookmarkEnd w:id="6"/>
      <w:r>
        <w:rPr>
          <w:i/>
          <w:sz w:val="20"/>
          <w:szCs w:val="20"/>
        </w:rPr>
        <w:t>“Solicito copia de la respuesta al oficio 208C0101310000L/0677/2025 escrito firmado por el Director de Finanzas del Instituto de Salud del Estado de México, mediante el cual se requirió al Director del Centro Médico Adolfo López Mateos que diera atención al escrito firmado por (…), Gerente General de APAGSA, Sociedad de Responsabilidad Limitada de Capital Variable. Se adjunta archivo para mayor referencia.”</w:t>
      </w:r>
    </w:p>
    <w:p w14:paraId="025E91E4" w14:textId="77777777" w:rsidR="005E20E8" w:rsidRDefault="005E20E8">
      <w:pPr>
        <w:tabs>
          <w:tab w:val="left" w:pos="4667"/>
        </w:tabs>
        <w:spacing w:after="0" w:line="360" w:lineRule="auto"/>
        <w:ind w:left="567" w:right="709"/>
        <w:rPr>
          <w:b/>
          <w:sz w:val="20"/>
          <w:szCs w:val="20"/>
        </w:rPr>
      </w:pPr>
    </w:p>
    <w:p w14:paraId="010F913A" w14:textId="77777777" w:rsidR="005E20E8" w:rsidRDefault="00BC5FF1">
      <w:pPr>
        <w:tabs>
          <w:tab w:val="left" w:pos="4667"/>
        </w:tabs>
        <w:spacing w:after="0" w:line="360" w:lineRule="auto"/>
        <w:ind w:left="567" w:right="709"/>
        <w:rPr>
          <w:b/>
          <w:sz w:val="20"/>
          <w:szCs w:val="20"/>
        </w:rPr>
      </w:pPr>
      <w:r>
        <w:rPr>
          <w:b/>
          <w:sz w:val="20"/>
          <w:szCs w:val="20"/>
        </w:rPr>
        <w:lastRenderedPageBreak/>
        <w:t>MODALIDAD DE ACCESO</w:t>
      </w:r>
      <w:r>
        <w:rPr>
          <w:b/>
          <w:i/>
          <w:sz w:val="20"/>
          <w:szCs w:val="20"/>
        </w:rPr>
        <w:t xml:space="preserve"> </w:t>
      </w:r>
      <w:r>
        <w:rPr>
          <w:i/>
          <w:sz w:val="20"/>
          <w:szCs w:val="20"/>
        </w:rPr>
        <w:t>“SARCOEM.”</w:t>
      </w:r>
    </w:p>
    <w:p w14:paraId="4D4316CB" w14:textId="77777777" w:rsidR="005E20E8" w:rsidRDefault="005E20E8">
      <w:pPr>
        <w:tabs>
          <w:tab w:val="left" w:pos="4667"/>
        </w:tabs>
        <w:spacing w:after="0" w:line="360" w:lineRule="auto"/>
      </w:pPr>
    </w:p>
    <w:p w14:paraId="21CE477A" w14:textId="073146AB" w:rsidR="005E20E8" w:rsidRDefault="00BC5FF1">
      <w:pPr>
        <w:tabs>
          <w:tab w:val="left" w:pos="4667"/>
        </w:tabs>
        <w:spacing w:after="0" w:line="360" w:lineRule="auto"/>
      </w:pPr>
      <w:r>
        <w:t xml:space="preserve">La parte Solicitante adjuntó a su solicitud una imagen del oficio 208C0101310000L/0677/2025, suscrito por el </w:t>
      </w:r>
      <w:r w:rsidR="00E6268C">
        <w:t>D</w:t>
      </w:r>
      <w:r>
        <w:t>irector de Finanzas del Sujeto Obligado y dirigido al Director del Centro Médico Adolfo López Mateos, en el que le informa que derivado de un oficio en el que el Gerente General de la empresa “APAGSA, S.R.L. de C. V.”</w:t>
      </w:r>
      <w:r w:rsidR="00E6268C">
        <w:t>,</w:t>
      </w:r>
      <w:r>
        <w:t xml:space="preserve"> solicitó el pago con motivo de remisiones de bienes recibidos por el personal de dicho Centro Médico y en virtud de que señaló su imposibilidad para pronunciarse sobre la veracidad de los hechos o determinar si asiste el derecho de reclamar el pago, remitió el oficio y la documentación soporte para que se determinará la procedencia o improcedencia del pago y solicitó que en su caso, se le informará a dicha Dirección de Finanzas las acciones que se estuviesen realizando para cubrir el adeudo referido. </w:t>
      </w:r>
    </w:p>
    <w:p w14:paraId="0198E2F9" w14:textId="77777777" w:rsidR="005E20E8" w:rsidRDefault="005E20E8">
      <w:pPr>
        <w:tabs>
          <w:tab w:val="left" w:pos="4667"/>
        </w:tabs>
        <w:spacing w:after="0" w:line="360" w:lineRule="auto"/>
      </w:pPr>
    </w:p>
    <w:p w14:paraId="61482127" w14:textId="77777777" w:rsidR="005E20E8" w:rsidRDefault="00BC5FF1">
      <w:pPr>
        <w:pStyle w:val="Ttulo2"/>
        <w:spacing w:before="0" w:after="0"/>
      </w:pPr>
      <w:bookmarkStart w:id="7" w:name="_heading=h.4vqoj1prg039" w:colFirst="0" w:colLast="0"/>
      <w:bookmarkStart w:id="8" w:name="_Toc205477225"/>
      <w:bookmarkEnd w:id="7"/>
      <w:r>
        <w:t>II. Respuesta del Sujeto Obligado</w:t>
      </w:r>
      <w:bookmarkEnd w:id="8"/>
    </w:p>
    <w:p w14:paraId="272CC5F0" w14:textId="77777777" w:rsidR="005E20E8" w:rsidRDefault="005E20E8">
      <w:pPr>
        <w:spacing w:after="0" w:line="360" w:lineRule="auto"/>
      </w:pPr>
    </w:p>
    <w:p w14:paraId="7BB25549" w14:textId="77777777" w:rsidR="005E20E8" w:rsidRDefault="00BC5FF1">
      <w:pPr>
        <w:spacing w:after="0" w:line="360" w:lineRule="auto"/>
      </w:pPr>
      <w:r>
        <w:t>El dos de junio de dos mil veinticinco, el Sujeto Obligado a través de SARCOEM, dio respuesta mediante un oficio suscrito por la Jefa de la Unidad de Información, Planeación, Programación y Evaluación en el ISEM y Titular de la Unidad de Transparencia en el que medularmente informó que el SARCOEM es un sistema para dar seguimiento a las solicitudes de derechos ARCO y que el SAIMEX es el sistema para las solicitudes de información, dejó a salvo los derechos de la persona Solicitante para requerir la información vía SAIMEX e indicó lo siguiente:</w:t>
      </w:r>
    </w:p>
    <w:p w14:paraId="037ECE34" w14:textId="77777777" w:rsidR="005E20E8" w:rsidRDefault="005E20E8">
      <w:pPr>
        <w:spacing w:after="0" w:line="360" w:lineRule="auto"/>
      </w:pPr>
    </w:p>
    <w:p w14:paraId="32B95DF5" w14:textId="77777777" w:rsidR="005E20E8" w:rsidRDefault="00BC5FF1">
      <w:pPr>
        <w:spacing w:after="0" w:line="360" w:lineRule="auto"/>
        <w:ind w:left="567" w:right="709"/>
        <w:rPr>
          <w:i/>
          <w:sz w:val="20"/>
          <w:szCs w:val="20"/>
        </w:rPr>
      </w:pPr>
      <w:r>
        <w:rPr>
          <w:i/>
          <w:sz w:val="20"/>
          <w:szCs w:val="20"/>
        </w:rPr>
        <w:t xml:space="preserve">“Asimismo, de conformidad con lo expuesto en el artículo 163 de la Ley de Transparencia y Acceso a la Información Pública del Estado de México y Municipios; una vez realizado el análisis correspondiente, este Sujeto Obligado, Instituto de Salud del Estado de México (ISEM) infiere que </w:t>
      </w:r>
      <w:r>
        <w:rPr>
          <w:i/>
          <w:sz w:val="20"/>
          <w:szCs w:val="20"/>
        </w:rPr>
        <w:lastRenderedPageBreak/>
        <w:t>la información requerida no corresponde a un acceso, rectificación, cancelación u oposición de datos personales; más bien, se desea obtener información específica sobre un presupuesto ejercido.”</w:t>
      </w:r>
    </w:p>
    <w:p w14:paraId="0C565B45" w14:textId="77777777" w:rsidR="005E20E8" w:rsidRDefault="005E20E8">
      <w:pPr>
        <w:spacing w:after="0" w:line="360" w:lineRule="auto"/>
        <w:ind w:left="567" w:right="709"/>
        <w:rPr>
          <w:i/>
        </w:rPr>
      </w:pPr>
    </w:p>
    <w:p w14:paraId="67F822AE" w14:textId="77777777" w:rsidR="005E20E8" w:rsidRDefault="00BC5FF1">
      <w:pPr>
        <w:pStyle w:val="Ttulo2"/>
        <w:spacing w:before="0" w:after="0"/>
      </w:pPr>
      <w:bookmarkStart w:id="9" w:name="_heading=h.1639rhxlwskm" w:colFirst="0" w:colLast="0"/>
      <w:bookmarkStart w:id="10" w:name="_Toc205477226"/>
      <w:bookmarkEnd w:id="9"/>
      <w:r>
        <w:t>III. Interposición del Recurso de Revisión</w:t>
      </w:r>
      <w:bookmarkEnd w:id="10"/>
    </w:p>
    <w:p w14:paraId="35576B64" w14:textId="77777777" w:rsidR="005E20E8" w:rsidRDefault="005E20E8">
      <w:pPr>
        <w:spacing w:after="0" w:line="360" w:lineRule="auto"/>
        <w:rPr>
          <w:b/>
        </w:rPr>
      </w:pPr>
    </w:p>
    <w:p w14:paraId="75BFB0AB" w14:textId="77777777" w:rsidR="005E20E8" w:rsidRDefault="00BC5FF1">
      <w:pPr>
        <w:spacing w:after="0" w:line="360" w:lineRule="auto"/>
      </w:pPr>
      <w:bookmarkStart w:id="11" w:name="_heading=h.2et92p0" w:colFirst="0" w:colLast="0"/>
      <w:bookmarkEnd w:id="11"/>
      <w:r>
        <w:t>Con fecha cinco de junio de dos mil veinticinco, se recibió en este Instituto, a través del SARCOEM, el Recurso de Revisión interpuesto por la persona Recurrente, en los siguientes términos:</w:t>
      </w:r>
    </w:p>
    <w:p w14:paraId="55E98C0D" w14:textId="77777777" w:rsidR="005E20E8" w:rsidRDefault="005E20E8">
      <w:pPr>
        <w:spacing w:after="0" w:line="360" w:lineRule="auto"/>
      </w:pPr>
    </w:p>
    <w:p w14:paraId="7BAEB958" w14:textId="77777777" w:rsidR="005E20E8" w:rsidRDefault="00BC5FF1">
      <w:pPr>
        <w:spacing w:after="0" w:line="360" w:lineRule="auto"/>
        <w:ind w:left="567" w:right="709"/>
        <w:rPr>
          <w:b/>
          <w:sz w:val="20"/>
          <w:szCs w:val="20"/>
        </w:rPr>
      </w:pPr>
      <w:r>
        <w:rPr>
          <w:b/>
          <w:sz w:val="20"/>
          <w:szCs w:val="20"/>
        </w:rPr>
        <w:t>ACTO IMPUGNADO</w:t>
      </w:r>
      <w:r>
        <w:rPr>
          <w:b/>
          <w:sz w:val="20"/>
          <w:szCs w:val="20"/>
        </w:rPr>
        <w:tab/>
      </w:r>
    </w:p>
    <w:p w14:paraId="79095103" w14:textId="77777777" w:rsidR="005E20E8" w:rsidRDefault="00BC5FF1">
      <w:pPr>
        <w:spacing w:after="0" w:line="360" w:lineRule="auto"/>
        <w:ind w:left="567" w:right="709"/>
        <w:rPr>
          <w:b/>
          <w:sz w:val="20"/>
          <w:szCs w:val="20"/>
        </w:rPr>
      </w:pPr>
      <w:r>
        <w:rPr>
          <w:i/>
          <w:sz w:val="20"/>
          <w:szCs w:val="20"/>
        </w:rPr>
        <w:t>“LA NEGATIVA DEL SUJETO OBLIGADO PARA PROPORCIONAR LA INFORMACIÓN” (Sic.)</w:t>
      </w:r>
    </w:p>
    <w:p w14:paraId="7575DD98" w14:textId="77777777" w:rsidR="005E20E8" w:rsidRDefault="005E20E8">
      <w:pPr>
        <w:spacing w:after="0" w:line="360" w:lineRule="auto"/>
        <w:ind w:left="567" w:right="709"/>
        <w:rPr>
          <w:sz w:val="20"/>
          <w:szCs w:val="20"/>
        </w:rPr>
      </w:pPr>
    </w:p>
    <w:p w14:paraId="45C2F3A6" w14:textId="77777777" w:rsidR="005E20E8" w:rsidRDefault="00BC5FF1">
      <w:pPr>
        <w:spacing w:after="0" w:line="360" w:lineRule="auto"/>
        <w:ind w:left="567" w:right="709"/>
        <w:rPr>
          <w:b/>
          <w:sz w:val="20"/>
          <w:szCs w:val="20"/>
        </w:rPr>
      </w:pPr>
      <w:r>
        <w:rPr>
          <w:b/>
          <w:sz w:val="20"/>
          <w:szCs w:val="20"/>
        </w:rPr>
        <w:t>RAZONES O MOTIVOS DE LA INCONFORMIDAD</w:t>
      </w:r>
      <w:r>
        <w:rPr>
          <w:b/>
          <w:sz w:val="20"/>
          <w:szCs w:val="20"/>
        </w:rPr>
        <w:tab/>
      </w:r>
    </w:p>
    <w:p w14:paraId="630A02A4" w14:textId="77777777" w:rsidR="005E20E8" w:rsidRDefault="00BC5FF1">
      <w:pPr>
        <w:tabs>
          <w:tab w:val="left" w:pos="4667"/>
        </w:tabs>
        <w:spacing w:after="0" w:line="360" w:lineRule="auto"/>
        <w:ind w:left="567" w:right="709"/>
        <w:rPr>
          <w:i/>
          <w:sz w:val="20"/>
          <w:szCs w:val="20"/>
        </w:rPr>
      </w:pPr>
      <w:r>
        <w:rPr>
          <w:i/>
          <w:sz w:val="20"/>
          <w:szCs w:val="20"/>
        </w:rPr>
        <w:t>“LA INFORMACIÓN QUE SE SOLICITÓ NO IMPLICA CUESTIONES PRESUPUETALES SINO ÚNICAMENTE CONSISTE EN POROPORCIONAR EL DOCUMENTO REFERIDO EN LA SOLICITUD DE INFORMACIÓN.” (Sic.)</w:t>
      </w:r>
    </w:p>
    <w:p w14:paraId="12143788" w14:textId="77777777" w:rsidR="005E20E8" w:rsidRDefault="005E20E8">
      <w:pPr>
        <w:tabs>
          <w:tab w:val="left" w:pos="4667"/>
        </w:tabs>
        <w:spacing w:after="0" w:line="360" w:lineRule="auto"/>
      </w:pPr>
    </w:p>
    <w:p w14:paraId="2CA309BD" w14:textId="77777777" w:rsidR="005E20E8" w:rsidRDefault="00BC5FF1">
      <w:pPr>
        <w:pStyle w:val="Ttulo2"/>
        <w:spacing w:before="0" w:after="0"/>
      </w:pPr>
      <w:bookmarkStart w:id="12" w:name="_heading=h.of7qjczdr0cw" w:colFirst="0" w:colLast="0"/>
      <w:bookmarkStart w:id="13" w:name="_Toc205477227"/>
      <w:bookmarkEnd w:id="12"/>
      <w:r>
        <w:t>IV. Trámite del Recurso de Revisión ante este Instituto</w:t>
      </w:r>
      <w:bookmarkEnd w:id="13"/>
    </w:p>
    <w:p w14:paraId="05B96D62" w14:textId="77777777" w:rsidR="005E20E8" w:rsidRDefault="005E20E8">
      <w:pPr>
        <w:spacing w:after="0" w:line="360" w:lineRule="auto"/>
        <w:rPr>
          <w:b/>
        </w:rPr>
      </w:pPr>
    </w:p>
    <w:p w14:paraId="35A5F449" w14:textId="77777777" w:rsidR="005E20E8" w:rsidRDefault="00BC5FF1">
      <w:pPr>
        <w:spacing w:after="0" w:line="360" w:lineRule="auto"/>
      </w:pPr>
      <w:r>
        <w:rPr>
          <w:b/>
        </w:rPr>
        <w:t>a) Turno del Medio de Impugnación.</w:t>
      </w:r>
      <w:r>
        <w:t xml:space="preserve"> El cinco de junio de dos mil veinticinco, el SARCOEM, asignó el número de expediente</w:t>
      </w:r>
      <w:r>
        <w:rPr>
          <w:b/>
        </w:rPr>
        <w:t xml:space="preserve"> 06596/INFOEM/AD/RR/2025, </w:t>
      </w:r>
      <w:r>
        <w:t>al medio de impugnación que nos ocupan, con base en el sistema aprobado por el Pleno de este Órgano Garante y se turnó al Comisionado Ponente Luis Gustavo Parra Noriega, para los efectos del artículo 185, fracción I de la Ley de Transparencia y Acceso a la Información Pública del Estado de México y Municipios.</w:t>
      </w:r>
    </w:p>
    <w:p w14:paraId="3A996A63" w14:textId="77777777" w:rsidR="005E20E8" w:rsidRDefault="005E20E8">
      <w:pPr>
        <w:spacing w:after="0" w:line="360" w:lineRule="auto"/>
      </w:pPr>
    </w:p>
    <w:p w14:paraId="2A9337F3" w14:textId="77777777" w:rsidR="005E20E8" w:rsidRDefault="00BC5FF1">
      <w:pPr>
        <w:spacing w:after="0" w:line="360" w:lineRule="auto"/>
      </w:pPr>
      <w:r>
        <w:rPr>
          <w:b/>
        </w:rPr>
        <w:lastRenderedPageBreak/>
        <w:t>b) Admisión del Recurso de Revisión y Reconducción de Vía.</w:t>
      </w:r>
      <w:r>
        <w:t xml:space="preserve"> El trece de junio de dos mil veinticinco, se advirtió que el requerimiento presentado corresponde a una solicitud de acceso a la información pública y no de acceso a datos personales, al requerir la atención a un oficio, por lo que se acordó la reconducción de la vía de acceso a datos personales a acceso a información pública y la admisión del Recurso de Revisión interpuesto por la persona Recurrente en contra del Sujeto Obligado, en términos del artículo 185, fracciones I y II de la Ley de Transparencia y Acceso a la Información Pública del Estado de México y Municipios, el cual fue notificada a las partes en la misma fecha través del SARCOEM, en el que se les otorgó un plazo de siete días hábiles posteriores a la misma, para que manifestara lo que a su derecho conviniera y formularán alegatos.</w:t>
      </w:r>
    </w:p>
    <w:p w14:paraId="6CD632E7" w14:textId="77777777" w:rsidR="005E20E8" w:rsidRDefault="005E20E8">
      <w:pPr>
        <w:spacing w:after="0" w:line="360" w:lineRule="auto"/>
      </w:pPr>
    </w:p>
    <w:p w14:paraId="706BA8A6" w14:textId="77777777" w:rsidR="005E20E8" w:rsidRDefault="00BC5FF1">
      <w:pPr>
        <w:spacing w:after="0" w:line="360" w:lineRule="auto"/>
      </w:pPr>
      <w:r>
        <w:rPr>
          <w:b/>
        </w:rPr>
        <w:t xml:space="preserve">c) Informe Justificado. </w:t>
      </w:r>
      <w:r>
        <w:t>En fecha veinticuatro de junio de dos mil veinticinco, el Sujeto Obligado rindió informe justificado a través de SARCOEM, mediante un oficio suscrito por el Director de Servicios de Salud, mediante el que señaló que la solicitud de información pública debe realizarse a través del Sistema de Acceso a la Información Mexiquense (SAIMEX) e informó lo siguiente:</w:t>
      </w:r>
    </w:p>
    <w:p w14:paraId="6D31D553" w14:textId="77777777" w:rsidR="005E20E8" w:rsidRDefault="005E20E8">
      <w:pPr>
        <w:spacing w:after="0" w:line="360" w:lineRule="auto"/>
      </w:pPr>
    </w:p>
    <w:p w14:paraId="2BD1B615" w14:textId="77777777" w:rsidR="005E20E8" w:rsidRDefault="00BC5FF1">
      <w:pPr>
        <w:spacing w:after="0" w:line="360" w:lineRule="auto"/>
        <w:ind w:left="567"/>
        <w:rPr>
          <w:i/>
          <w:sz w:val="20"/>
          <w:szCs w:val="20"/>
        </w:rPr>
      </w:pPr>
      <w:r>
        <w:rPr>
          <w:i/>
          <w:sz w:val="20"/>
          <w:szCs w:val="20"/>
        </w:rPr>
        <w:t>“…</w:t>
      </w:r>
    </w:p>
    <w:p w14:paraId="274310E2" w14:textId="77777777" w:rsidR="005E20E8" w:rsidRDefault="00BC5FF1">
      <w:pPr>
        <w:numPr>
          <w:ilvl w:val="0"/>
          <w:numId w:val="1"/>
        </w:numPr>
        <w:pBdr>
          <w:top w:val="nil"/>
          <w:left w:val="nil"/>
          <w:bottom w:val="nil"/>
          <w:right w:val="nil"/>
          <w:between w:val="nil"/>
        </w:pBdr>
        <w:spacing w:after="0" w:line="360" w:lineRule="auto"/>
        <w:rPr>
          <w:i/>
          <w:color w:val="000000"/>
          <w:sz w:val="20"/>
          <w:szCs w:val="20"/>
        </w:rPr>
      </w:pPr>
      <w:r>
        <w:rPr>
          <w:i/>
          <w:color w:val="000000"/>
          <w:sz w:val="20"/>
          <w:szCs w:val="20"/>
        </w:rPr>
        <w:t xml:space="preserve">El documento requerido SÍ implica "cuestiones presupuestales" toda vez que los pagos a proveedores y la gestión que ello conlleva son cuestiones presupuestales, aunado a que este hace referencia a un procedimiento de pago. </w:t>
      </w:r>
    </w:p>
    <w:p w14:paraId="52EB6BFE" w14:textId="77777777" w:rsidR="005E20E8" w:rsidRDefault="00BC5FF1">
      <w:pPr>
        <w:numPr>
          <w:ilvl w:val="0"/>
          <w:numId w:val="1"/>
        </w:numPr>
        <w:pBdr>
          <w:top w:val="nil"/>
          <w:left w:val="nil"/>
          <w:bottom w:val="nil"/>
          <w:right w:val="nil"/>
          <w:between w:val="nil"/>
        </w:pBdr>
        <w:spacing w:after="0" w:line="360" w:lineRule="auto"/>
        <w:rPr>
          <w:i/>
          <w:color w:val="000000"/>
          <w:sz w:val="20"/>
          <w:szCs w:val="20"/>
        </w:rPr>
      </w:pPr>
      <w:r>
        <w:rPr>
          <w:i/>
          <w:color w:val="000000"/>
          <w:sz w:val="20"/>
          <w:szCs w:val="20"/>
        </w:rPr>
        <w:t>La solicitud de información fue ingresada a través del Sistema de Acceso, Rectificación, Cancelación y Oposición del Estado de México (SARCOEM) medio a través del cual es posible formular solicitudes de derechos ARCO, es decir, para solicitar el acceso, rectificación, cancelación u oposición sobre el tratamiento de los datos personales de un titular, ante el Sujeto Obligado que esté en posesión de estos.</w:t>
      </w:r>
    </w:p>
    <w:p w14:paraId="4955ECE1" w14:textId="7B5E7FCC" w:rsidR="005E20E8" w:rsidRPr="00E6268C" w:rsidRDefault="00BC5FF1" w:rsidP="00E6268C">
      <w:pPr>
        <w:numPr>
          <w:ilvl w:val="0"/>
          <w:numId w:val="1"/>
        </w:numPr>
        <w:pBdr>
          <w:top w:val="nil"/>
          <w:left w:val="nil"/>
          <w:bottom w:val="nil"/>
          <w:right w:val="nil"/>
          <w:between w:val="nil"/>
        </w:pBdr>
        <w:spacing w:after="0" w:line="360" w:lineRule="auto"/>
        <w:rPr>
          <w:i/>
          <w:color w:val="000000"/>
          <w:sz w:val="20"/>
          <w:szCs w:val="20"/>
        </w:rPr>
      </w:pPr>
      <w:r>
        <w:rPr>
          <w:i/>
          <w:color w:val="000000"/>
          <w:sz w:val="20"/>
          <w:szCs w:val="20"/>
        </w:rPr>
        <w:t>No se negó el acceso a la información, pero en cumplimiento a la normatividad vigente y aplicable, esta debe ser requerida por el medio oficial adecuado.”</w:t>
      </w:r>
    </w:p>
    <w:p w14:paraId="006D4FAE" w14:textId="77777777" w:rsidR="005E20E8" w:rsidRDefault="00BC5FF1">
      <w:pPr>
        <w:spacing w:after="0" w:line="360" w:lineRule="auto"/>
      </w:pPr>
      <w:r>
        <w:rPr>
          <w:b/>
        </w:rPr>
        <w:lastRenderedPageBreak/>
        <w:t>d) Vista del Informe Justificado.</w:t>
      </w:r>
      <w:r>
        <w:t xml:space="preserve"> El quince de julio de dos mil veinticinco, se dictó acuerdo por medio del cual se puso a la vista de la persona Recurrente el informe justificado entregado por el Sujeto Obligado, el cual fue notificado a las partes, el mismo día, a través del SARCOEM.</w:t>
      </w:r>
    </w:p>
    <w:p w14:paraId="7C9674D0" w14:textId="77777777" w:rsidR="005E20E8" w:rsidRDefault="005E20E8">
      <w:pPr>
        <w:spacing w:after="0" w:line="360" w:lineRule="auto"/>
        <w:rPr>
          <w:b/>
        </w:rPr>
      </w:pPr>
    </w:p>
    <w:p w14:paraId="330C4F05" w14:textId="77777777" w:rsidR="005E20E8" w:rsidRDefault="00BC5FF1">
      <w:pPr>
        <w:spacing w:after="0" w:line="360" w:lineRule="auto"/>
      </w:pPr>
      <w:r>
        <w:rPr>
          <w:b/>
        </w:rPr>
        <w:t xml:space="preserve">e) Manifestaciones de la parte Recurrente. </w:t>
      </w:r>
      <w:r>
        <w:t xml:space="preserve">De las constancias que obran en el SARCOEM, se advierte que la parte Recurrente no añadió manifestaciones. </w:t>
      </w:r>
    </w:p>
    <w:p w14:paraId="7A4030C7" w14:textId="77777777" w:rsidR="005E20E8" w:rsidRDefault="005E20E8">
      <w:pPr>
        <w:spacing w:after="0" w:line="360" w:lineRule="auto"/>
      </w:pPr>
    </w:p>
    <w:p w14:paraId="0B9C4AD1" w14:textId="77777777" w:rsidR="005E20E8" w:rsidRDefault="00BC5FF1">
      <w:pPr>
        <w:spacing w:after="0" w:line="360" w:lineRule="auto"/>
      </w:pPr>
      <w:r>
        <w:rPr>
          <w:b/>
        </w:rPr>
        <w:t>f) Cierre de instrucción.</w:t>
      </w:r>
      <w:r>
        <w:t xml:space="preserve"> El cuatro de agosto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en la misma fecha, mediante el SARCOEM.</w:t>
      </w:r>
    </w:p>
    <w:p w14:paraId="05EEE59B" w14:textId="77777777" w:rsidR="005E20E8" w:rsidRDefault="005E20E8">
      <w:pPr>
        <w:spacing w:after="0" w:line="360" w:lineRule="auto"/>
        <w:rPr>
          <w:color w:val="000000"/>
        </w:rPr>
      </w:pPr>
    </w:p>
    <w:p w14:paraId="38EB2F32" w14:textId="77777777" w:rsidR="005E20E8" w:rsidRDefault="00BC5FF1">
      <w:pPr>
        <w:spacing w:after="0" w:line="360" w:lineRule="auto"/>
      </w:pPr>
      <w:r>
        <w:t xml:space="preserve">En razón de que fue debidamente sustanciado e integrado el expediente electrónico y no existir diligencia pendiente de desahogo, se emite la resolución que conforme a Derecho proceda, de acuerdo a los siguientes: </w:t>
      </w:r>
    </w:p>
    <w:p w14:paraId="317E5A5F" w14:textId="77777777" w:rsidR="005E20E8" w:rsidRDefault="005E20E8">
      <w:pPr>
        <w:spacing w:after="0" w:line="360" w:lineRule="auto"/>
      </w:pPr>
    </w:p>
    <w:p w14:paraId="575DB3BF" w14:textId="77777777" w:rsidR="005E20E8" w:rsidRDefault="00BC5FF1">
      <w:pPr>
        <w:pStyle w:val="Ttulo1"/>
        <w:spacing w:before="0" w:after="0"/>
        <w:rPr>
          <w:sz w:val="22"/>
          <w:szCs w:val="22"/>
        </w:rPr>
      </w:pPr>
      <w:bookmarkStart w:id="14" w:name="_heading=h.f1f1n4xya33q" w:colFirst="0" w:colLast="0"/>
      <w:bookmarkStart w:id="15" w:name="_Toc205477228"/>
      <w:bookmarkEnd w:id="14"/>
      <w:r>
        <w:rPr>
          <w:sz w:val="22"/>
          <w:szCs w:val="22"/>
        </w:rPr>
        <w:t>C O N S I D E R A N D O S</w:t>
      </w:r>
      <w:bookmarkEnd w:id="15"/>
    </w:p>
    <w:p w14:paraId="40C579EF" w14:textId="77777777" w:rsidR="005E20E8" w:rsidRDefault="005E20E8">
      <w:pPr>
        <w:spacing w:after="0" w:line="360" w:lineRule="auto"/>
        <w:rPr>
          <w:b/>
        </w:rPr>
      </w:pPr>
    </w:p>
    <w:p w14:paraId="72E38D9A" w14:textId="77777777" w:rsidR="005E20E8" w:rsidRDefault="00BC5FF1">
      <w:pPr>
        <w:pStyle w:val="Ttulo2"/>
        <w:spacing w:before="0" w:after="0"/>
      </w:pPr>
      <w:bookmarkStart w:id="16" w:name="_heading=h.jlzuy0iod8tf" w:colFirst="0" w:colLast="0"/>
      <w:bookmarkStart w:id="17" w:name="_Toc205477229"/>
      <w:bookmarkEnd w:id="16"/>
      <w:r>
        <w:t>PRIMERO. Competencia</w:t>
      </w:r>
      <w:bookmarkEnd w:id="17"/>
    </w:p>
    <w:p w14:paraId="1EBC4D99" w14:textId="77777777" w:rsidR="005E20E8" w:rsidRDefault="005E20E8">
      <w:pPr>
        <w:spacing w:after="0" w:line="360" w:lineRule="auto"/>
      </w:pPr>
    </w:p>
    <w:p w14:paraId="38F9BBC7" w14:textId="77777777" w:rsidR="005E20E8" w:rsidRDefault="00BC5FF1">
      <w:pPr>
        <w:spacing w:after="0" w:line="360" w:lineRule="auto"/>
      </w:pPr>
      <w:r>
        <w:t xml:space="preserve">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trigésimo noveno, cuadragésimo y cuadragésimo primero de la Constitución Política </w:t>
      </w:r>
      <w:r>
        <w:lastRenderedPageBreak/>
        <w:t>del Estado Libre y Soberano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5FA588EC" w14:textId="77777777" w:rsidR="005E20E8" w:rsidRDefault="005E20E8">
      <w:pPr>
        <w:spacing w:after="0" w:line="360" w:lineRule="auto"/>
      </w:pPr>
    </w:p>
    <w:p w14:paraId="6C82B872" w14:textId="77777777" w:rsidR="005E20E8" w:rsidRDefault="00BC5FF1">
      <w:pPr>
        <w:pStyle w:val="Ttulo2"/>
        <w:spacing w:before="0" w:after="0"/>
        <w:jc w:val="both"/>
        <w:rPr>
          <w:color w:val="000000"/>
        </w:rPr>
      </w:pPr>
      <w:bookmarkStart w:id="18" w:name="_heading=h.8mjycdm5sc8w" w:colFirst="0" w:colLast="0"/>
      <w:bookmarkStart w:id="19" w:name="_Toc205477230"/>
      <w:bookmarkEnd w:id="18"/>
      <w:r>
        <w:rPr>
          <w:color w:val="000000"/>
        </w:rPr>
        <w:t>SEGUNDO. Causales de improcedencia y sobreseimiento</w:t>
      </w:r>
      <w:bookmarkEnd w:id="19"/>
    </w:p>
    <w:p w14:paraId="171F78EA" w14:textId="77777777" w:rsidR="00E6268C" w:rsidRPr="00E6268C" w:rsidRDefault="00E6268C" w:rsidP="00E6268C">
      <w:pPr>
        <w:spacing w:after="0" w:line="360" w:lineRule="auto"/>
        <w:rPr>
          <w:lang w:eastAsia="es-MX"/>
        </w:rPr>
      </w:pPr>
    </w:p>
    <w:p w14:paraId="2D6E6B52" w14:textId="77777777" w:rsidR="00E6268C" w:rsidRPr="00E6268C" w:rsidRDefault="00E6268C" w:rsidP="00E6268C">
      <w:pPr>
        <w:spacing w:after="0" w:line="360" w:lineRule="auto"/>
        <w:rPr>
          <w:lang w:eastAsia="es-MX"/>
        </w:rPr>
      </w:pPr>
      <w:r w:rsidRPr="00E6268C">
        <w:rPr>
          <w:lang w:eastAsia="es-MX"/>
        </w:rPr>
        <w:t xml:space="preserve">De las constancias que forma parte del Recurso de Revisión que se analiza, se advierte que previo al estudio del fondo de la </w:t>
      </w:r>
      <w:r w:rsidRPr="00E6268C">
        <w:rPr>
          <w:i/>
          <w:lang w:eastAsia="es-MX"/>
        </w:rPr>
        <w:t>litis</w:t>
      </w:r>
      <w:r w:rsidRPr="00E6268C">
        <w:rPr>
          <w:lang w:eastAsia="es-MX"/>
        </w:rPr>
        <w:t>, es necesario estudiar las causales de improcedencia y sobreseimiento que se adviertan, para determinar lo que en Derecho proceda.</w:t>
      </w:r>
    </w:p>
    <w:p w14:paraId="0017F91E" w14:textId="77777777" w:rsidR="00E6268C" w:rsidRPr="00E6268C" w:rsidRDefault="00E6268C" w:rsidP="00E6268C">
      <w:pPr>
        <w:spacing w:after="0" w:line="360" w:lineRule="auto"/>
        <w:rPr>
          <w:lang w:eastAsia="es-MX"/>
        </w:rPr>
      </w:pPr>
    </w:p>
    <w:p w14:paraId="32BC9C96" w14:textId="77777777" w:rsidR="00E6268C" w:rsidRPr="00E6268C" w:rsidRDefault="00E6268C" w:rsidP="00E6268C">
      <w:pPr>
        <w:spacing w:after="0" w:line="360" w:lineRule="auto"/>
        <w:rPr>
          <w:b/>
          <w:lang w:eastAsia="es-MX"/>
        </w:rPr>
      </w:pPr>
      <w:r w:rsidRPr="00E6268C">
        <w:rPr>
          <w:b/>
          <w:lang w:eastAsia="es-MX"/>
        </w:rPr>
        <w:t>Causales de improcedencia</w:t>
      </w:r>
    </w:p>
    <w:p w14:paraId="08CFF22D" w14:textId="77777777" w:rsidR="00E6268C" w:rsidRPr="00E6268C" w:rsidRDefault="00E6268C" w:rsidP="00E6268C">
      <w:pPr>
        <w:spacing w:after="0" w:line="360" w:lineRule="auto"/>
        <w:rPr>
          <w:b/>
          <w:lang w:eastAsia="es-MX"/>
        </w:rPr>
      </w:pPr>
    </w:p>
    <w:p w14:paraId="2C8A54A2" w14:textId="77777777" w:rsidR="00E6268C" w:rsidRPr="00E6268C" w:rsidRDefault="00E6268C" w:rsidP="00E6268C">
      <w:pPr>
        <w:spacing w:after="0" w:line="360" w:lineRule="auto"/>
        <w:rPr>
          <w:lang w:eastAsia="es-MX"/>
        </w:rPr>
      </w:pPr>
      <w:r w:rsidRPr="00E6268C">
        <w:rPr>
          <w:lang w:eastAsia="es-MX"/>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51DD8BBD" w14:textId="77777777" w:rsidR="00E6268C" w:rsidRPr="00E6268C" w:rsidRDefault="00E6268C" w:rsidP="00E6268C">
      <w:pPr>
        <w:spacing w:after="0" w:line="360" w:lineRule="auto"/>
        <w:rPr>
          <w:lang w:eastAsia="es-MX"/>
        </w:rPr>
      </w:pPr>
    </w:p>
    <w:p w14:paraId="3B46B70A" w14:textId="77777777" w:rsidR="00E6268C" w:rsidRPr="00E6268C" w:rsidRDefault="00E6268C" w:rsidP="00E6268C">
      <w:pPr>
        <w:spacing w:after="0" w:line="360" w:lineRule="auto"/>
        <w:rPr>
          <w:lang w:eastAsia="es-MX"/>
        </w:rPr>
      </w:pPr>
      <w:r w:rsidRPr="00E6268C">
        <w:rPr>
          <w:lang w:eastAsia="es-MX"/>
        </w:rPr>
        <w:t>En el presente caso, </w:t>
      </w:r>
      <w:r w:rsidRPr="00E6268C">
        <w:rPr>
          <w:b/>
          <w:lang w:eastAsia="es-MX"/>
        </w:rPr>
        <w:t>no se actualiza ninguna de las causales de improcedencia</w:t>
      </w:r>
      <w:r w:rsidRPr="00E6268C">
        <w:rPr>
          <w:lang w:eastAsia="es-MX"/>
        </w:rPr>
        <w:t xml:space="preserve"> establecidas en el ordenamiento jurídico previamente señalado, toda vez que: este Instituto no tiene conocimiento de que se encuentre en trámite algún medio de defensa presentado por la persona </w:t>
      </w:r>
      <w:r w:rsidRPr="00E6268C">
        <w:rPr>
          <w:lang w:eastAsia="es-MX"/>
        </w:rPr>
        <w:lastRenderedPageBreak/>
        <w:t>Recurrente ante otra instancia; no existió prevención alguna; la veracidad de la respuesta no formó parte del agravio; ni se realizó una consulta o ampliación a los alcances del requerimiento informativo.</w:t>
      </w:r>
    </w:p>
    <w:p w14:paraId="0F77CF4B" w14:textId="77777777" w:rsidR="005E20E8" w:rsidRDefault="005E20E8">
      <w:pPr>
        <w:spacing w:after="0" w:line="360" w:lineRule="auto"/>
        <w:rPr>
          <w:color w:val="000000"/>
        </w:rPr>
      </w:pPr>
    </w:p>
    <w:p w14:paraId="02582DB1" w14:textId="77777777" w:rsidR="005E20E8" w:rsidRDefault="00BC5FF1">
      <w:pPr>
        <w:spacing w:after="0" w:line="360" w:lineRule="auto"/>
        <w:rPr>
          <w:color w:val="000000"/>
        </w:rPr>
      </w:pPr>
      <w:r>
        <w:rPr>
          <w:color w:val="000000"/>
        </w:rPr>
        <w:t>Conforme a lo anterior, se actualiza la causal de procedencia señalada en el artículo 179, fracción I, de la Ley de la materia, toda vez que el Solicitante se inconformó por la negativa a la información solicitada.</w:t>
      </w:r>
    </w:p>
    <w:p w14:paraId="0BDD9C2F" w14:textId="77777777" w:rsidR="005E20E8" w:rsidRDefault="005E20E8">
      <w:pPr>
        <w:spacing w:after="0" w:line="360" w:lineRule="auto"/>
        <w:rPr>
          <w:color w:val="000000"/>
        </w:rPr>
      </w:pPr>
    </w:p>
    <w:p w14:paraId="4FBD6DBC" w14:textId="1120D731" w:rsidR="005E20E8" w:rsidRDefault="00BC5FF1" w:rsidP="00E6268C">
      <w:pPr>
        <w:pBdr>
          <w:top w:val="nil"/>
          <w:left w:val="nil"/>
          <w:bottom w:val="nil"/>
          <w:right w:val="nil"/>
          <w:between w:val="nil"/>
        </w:pBdr>
        <w:spacing w:after="0" w:line="360" w:lineRule="auto"/>
        <w:rPr>
          <w:b/>
          <w:color w:val="0D0D0D"/>
        </w:rPr>
      </w:pPr>
      <w:r>
        <w:rPr>
          <w:b/>
          <w:color w:val="0D0D0D"/>
        </w:rPr>
        <w:t>Causales de sobreseimiento</w:t>
      </w:r>
    </w:p>
    <w:p w14:paraId="3127B665" w14:textId="77777777" w:rsidR="005E20E8" w:rsidRDefault="005E20E8">
      <w:pPr>
        <w:spacing w:after="0" w:line="360" w:lineRule="auto"/>
        <w:rPr>
          <w:b/>
          <w:color w:val="0D0D0D"/>
        </w:rPr>
      </w:pPr>
    </w:p>
    <w:p w14:paraId="11DC4F57" w14:textId="77777777" w:rsidR="00E6268C" w:rsidRPr="009D5EFC" w:rsidRDefault="00E6268C" w:rsidP="00E6268C">
      <w:pPr>
        <w:spacing w:after="0" w:line="360" w:lineRule="auto"/>
      </w:pPr>
      <w:r w:rsidRPr="009D5EFC">
        <w:t>Por ser de previo y especial pronunciamiento, este Instituto analiza si se actualiza alguna causal de sobreseimiento.</w:t>
      </w:r>
    </w:p>
    <w:p w14:paraId="4BDC709B" w14:textId="77777777" w:rsidR="00E6268C" w:rsidRPr="009D5EFC" w:rsidRDefault="00E6268C" w:rsidP="00E6268C">
      <w:pPr>
        <w:spacing w:after="0" w:line="360" w:lineRule="auto"/>
      </w:pPr>
    </w:p>
    <w:p w14:paraId="62D8C665" w14:textId="77777777" w:rsidR="00E6268C" w:rsidRPr="009D5EFC" w:rsidRDefault="00E6268C" w:rsidP="00E6268C">
      <w:pPr>
        <w:spacing w:after="0" w:line="360" w:lineRule="auto"/>
      </w:pPr>
      <w:r w:rsidRPr="009D5EFC">
        <w:t>Sobre el tema, 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14:paraId="313FF399" w14:textId="77777777" w:rsidR="00E6268C" w:rsidRPr="009D5EFC" w:rsidRDefault="00E6268C" w:rsidP="00E6268C">
      <w:pPr>
        <w:spacing w:after="0" w:line="360" w:lineRule="auto"/>
      </w:pPr>
    </w:p>
    <w:p w14:paraId="3969728E" w14:textId="386F2D6E" w:rsidR="005E20E8" w:rsidRDefault="00E6268C">
      <w:pPr>
        <w:spacing w:after="0" w:line="360" w:lineRule="auto"/>
      </w:pPr>
      <w:r w:rsidRPr="009D5EFC">
        <w:t xml:space="preserve">Por tales motivos, se considera procedente entrar al fondo del presente asunto. </w:t>
      </w:r>
    </w:p>
    <w:p w14:paraId="0382542D" w14:textId="77777777" w:rsidR="00E6268C" w:rsidRDefault="00E6268C">
      <w:pPr>
        <w:spacing w:after="0" w:line="360" w:lineRule="auto"/>
        <w:rPr>
          <w:b/>
        </w:rPr>
      </w:pPr>
    </w:p>
    <w:p w14:paraId="1D5C758C" w14:textId="77777777" w:rsidR="005E20E8" w:rsidRDefault="00BC5FF1">
      <w:pPr>
        <w:spacing w:after="0" w:line="360" w:lineRule="auto"/>
        <w:rPr>
          <w:b/>
          <w:color w:val="000000"/>
        </w:rPr>
      </w:pPr>
      <w:bookmarkStart w:id="20" w:name="_heading=h.858mvc4tpp1z" w:colFirst="0" w:colLast="0"/>
      <w:bookmarkEnd w:id="20"/>
      <w:r>
        <w:rPr>
          <w:b/>
        </w:rPr>
        <w:t>TERCERO. Determinación de la Controversia</w:t>
      </w:r>
    </w:p>
    <w:p w14:paraId="7F164C07" w14:textId="77777777" w:rsidR="005E20E8" w:rsidRDefault="005E20E8">
      <w:pPr>
        <w:spacing w:after="0" w:line="360" w:lineRule="auto"/>
      </w:pPr>
    </w:p>
    <w:p w14:paraId="79B4A198" w14:textId="2F82D7C6" w:rsidR="005E20E8" w:rsidRDefault="00BC5FF1" w:rsidP="00E6268C">
      <w:pPr>
        <w:spacing w:after="0" w:line="360" w:lineRule="auto"/>
        <w:rPr>
          <w:color w:val="000000"/>
        </w:rPr>
      </w:pPr>
      <w:r>
        <w:lastRenderedPageBreak/>
        <w:t xml:space="preserve">La parte Solicitante requirió </w:t>
      </w:r>
      <w:r w:rsidR="00E6268C">
        <w:t>c</w:t>
      </w:r>
      <w:r>
        <w:rPr>
          <w:color w:val="000000"/>
        </w:rPr>
        <w:t xml:space="preserve">opia de la respuesta al oficio 208C0101310000L/0677/2025, que fue suscrito por el Director de Finanzas del Sujeto Obligado, mediante el que requirió al Director del Centro Médico Adolfo López Mateos que diera atención a un oficio firmado por un particular respecto a un pago. </w:t>
      </w:r>
    </w:p>
    <w:p w14:paraId="21A835D0" w14:textId="77777777" w:rsidR="005E20E8" w:rsidRDefault="005E20E8">
      <w:pPr>
        <w:spacing w:after="0" w:line="360" w:lineRule="auto"/>
      </w:pPr>
    </w:p>
    <w:p w14:paraId="4D252E20" w14:textId="77777777" w:rsidR="005E20E8" w:rsidRDefault="00BC5FF1">
      <w:pPr>
        <w:spacing w:after="0" w:line="360" w:lineRule="auto"/>
      </w:pPr>
      <w:r>
        <w:t xml:space="preserve">Al respecto, es de señalar que por cuanto hace a la afirmación de la persona Recurrente, en torno a que el oficio en cuestión implica que se de atención al oficio firmado por un Particular, cabe precisar que se trata de una interpretación por parte del Recurrente, dado que este Organismo Garante advierte que de la imagen proporcionada en la solicitud, se desprende que el oficio implicaba, que se determinará la procedencia o no del pago, y que en su caso, se informará de las acciones que se estuvieran realizando para cubrir el pago, por tanto, para fines de la presente resolución se tendrá como solicitud, </w:t>
      </w:r>
      <w:r>
        <w:rPr>
          <w:b/>
          <w:u w:val="single"/>
        </w:rPr>
        <w:t>la respuesta que derivó del oficio 208C0101310000L/0677/2025.</w:t>
      </w:r>
    </w:p>
    <w:p w14:paraId="266758FE" w14:textId="77777777" w:rsidR="005E20E8" w:rsidRDefault="005E20E8">
      <w:pPr>
        <w:spacing w:after="0" w:line="360" w:lineRule="auto"/>
      </w:pPr>
    </w:p>
    <w:p w14:paraId="65CDDA2B" w14:textId="77777777" w:rsidR="005E20E8" w:rsidRDefault="00BC5FF1">
      <w:pPr>
        <w:spacing w:after="0" w:line="360" w:lineRule="auto"/>
      </w:pPr>
      <w:r>
        <w:t xml:space="preserve">Derivado de la solicitud de información, el Sujeto Obligado dio respuesta a través de la Jefa de la Unidad de Información, Planeación, Programación y Evaluación en el ISEM y Titular de la Unidad de Transparencia, en la que medularmente señala que el SARCOEM es un sistema para el ejercicio de los derechos ARCO y que el sistema que debe usarse para acceder a información pública es el SAIMEX, dejó a salvo los derechos para realizar una nueva solicitud de información a través del último en mención y señaló que la información requerida no corresponde a un acceso, rectificación, cancelación u oposición de datos personales; más bien, se desea obtener información específica sobre un presupuesto ejercido. Derivado de la solicitud de información, la parte Recurrente se inconformó por la negativa a proporcionar la información y señaló que requiere la atención a dicho oficio. </w:t>
      </w:r>
    </w:p>
    <w:p w14:paraId="253791EB" w14:textId="77777777" w:rsidR="005E20E8" w:rsidRDefault="005E20E8">
      <w:pPr>
        <w:spacing w:after="0" w:line="360" w:lineRule="auto"/>
      </w:pPr>
    </w:p>
    <w:p w14:paraId="5FE5A63B" w14:textId="77777777" w:rsidR="005E20E8" w:rsidRDefault="00BC5FF1">
      <w:pPr>
        <w:spacing w:after="0" w:line="360" w:lineRule="auto"/>
      </w:pPr>
      <w:r>
        <w:lastRenderedPageBreak/>
        <w:t xml:space="preserve">Durante la sustanciación del Recurso de Revisión, el Sujeto Obligado, a través del Director de Servicios de Salud, ratificó la respuesta inicial y señaló que el documento requerido sí implica cuestiones presupuestales dado que se trata de pagos a proveedores, lo que conlleva cuestiones presupuestales que hacen referencia al pago, por lo que indicó que la solicitud debe realizarse a través del SAIMEX. </w:t>
      </w:r>
    </w:p>
    <w:p w14:paraId="082718AD" w14:textId="77777777" w:rsidR="005E20E8" w:rsidRDefault="005E20E8">
      <w:pPr>
        <w:spacing w:after="0" w:line="360" w:lineRule="auto"/>
      </w:pPr>
    </w:p>
    <w:p w14:paraId="5EEA6642" w14:textId="77777777" w:rsidR="005E20E8" w:rsidRDefault="00BC5FF1">
      <w:pPr>
        <w:spacing w:after="0" w:line="360" w:lineRule="auto"/>
      </w:pPr>
      <w:r>
        <w:t>Así pues, de las constancias que integran el expediente, se advierte que en el asunto que nos ocupa se actualiza la causal de procedencia señalada en el artículo 179, fracción I, de la Ley de la materia; por la negativa a la información solicitada.</w:t>
      </w:r>
    </w:p>
    <w:p w14:paraId="6161E1C5" w14:textId="77777777" w:rsidR="005E20E8" w:rsidRDefault="005E20E8">
      <w:pPr>
        <w:spacing w:after="0" w:line="360" w:lineRule="auto"/>
      </w:pPr>
    </w:p>
    <w:p w14:paraId="031F1CB6" w14:textId="77777777" w:rsidR="005E20E8" w:rsidRDefault="00BC5FF1">
      <w:pPr>
        <w:spacing w:after="0" w:line="360" w:lineRule="auto"/>
      </w:pPr>
      <w:r>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14:paraId="5B9D12EF" w14:textId="77777777" w:rsidR="005E20E8" w:rsidRDefault="005E20E8">
      <w:pPr>
        <w:spacing w:after="0" w:line="360" w:lineRule="auto"/>
      </w:pPr>
    </w:p>
    <w:p w14:paraId="33EC4A19" w14:textId="77777777" w:rsidR="005E20E8" w:rsidRDefault="00BC5FF1">
      <w:pPr>
        <w:pStyle w:val="Ttulo2"/>
        <w:spacing w:before="0" w:after="0"/>
        <w:jc w:val="both"/>
        <w:rPr>
          <w:b w:val="0"/>
        </w:rPr>
      </w:pPr>
      <w:bookmarkStart w:id="21" w:name="_heading=h.gkq9l3vvnvdc" w:colFirst="0" w:colLast="0"/>
      <w:bookmarkStart w:id="22" w:name="_Toc205477231"/>
      <w:bookmarkEnd w:id="21"/>
      <w:r>
        <w:t>CUARTO. Marco normativo aplicable en materia de transparencia y acceso a la información pública</w:t>
      </w:r>
      <w:bookmarkEnd w:id="22"/>
    </w:p>
    <w:p w14:paraId="0AE36173" w14:textId="77777777" w:rsidR="005E20E8" w:rsidRDefault="005E20E8">
      <w:pPr>
        <w:spacing w:after="0" w:line="360" w:lineRule="auto"/>
      </w:pPr>
    </w:p>
    <w:p w14:paraId="501E2D60" w14:textId="77777777" w:rsidR="005E20E8" w:rsidRDefault="00BC5FF1">
      <w:pPr>
        <w:spacing w:after="0" w:line="360" w:lineRule="auto"/>
      </w:pPr>
      <w: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30BFA959" w14:textId="77777777" w:rsidR="005E20E8" w:rsidRDefault="005E20E8">
      <w:pPr>
        <w:spacing w:after="0" w:line="360" w:lineRule="auto"/>
      </w:pPr>
    </w:p>
    <w:p w14:paraId="43D07D45" w14:textId="77777777" w:rsidR="005E20E8" w:rsidRDefault="00BC5FF1">
      <w:pPr>
        <w:spacing w:after="0" w:line="360" w:lineRule="auto"/>
      </w:pPr>
      <w:r>
        <w:t xml:space="preserve">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w:t>
      </w:r>
      <w:r>
        <w:lastRenderedPageBreak/>
        <w:t>público, así como la información referente a la intimidad de la vida privada y la imagen de las personas, con las excepciones que establezca la ley reglamentaria.</w:t>
      </w:r>
    </w:p>
    <w:p w14:paraId="306293EA" w14:textId="77777777" w:rsidR="005E20E8" w:rsidRDefault="005E20E8">
      <w:pPr>
        <w:spacing w:after="0" w:line="360" w:lineRule="auto"/>
      </w:pPr>
    </w:p>
    <w:p w14:paraId="50D1354C" w14:textId="77777777" w:rsidR="005E20E8" w:rsidRDefault="00BC5FF1">
      <w:pPr>
        <w:spacing w:after="0" w:line="360" w:lineRule="auto"/>
      </w:pPr>
      <w:r>
        <w:t>Por su parte, la Ley de Transparencia y Acceso a la Información Pública del Estado de México y Municipios (Reglamentaria del artículo 5° de la Constitución Local), establece lo siguiente:</w:t>
      </w:r>
    </w:p>
    <w:p w14:paraId="04F694C8" w14:textId="77777777" w:rsidR="005E20E8" w:rsidRDefault="005E20E8">
      <w:pPr>
        <w:spacing w:after="0" w:line="360" w:lineRule="auto"/>
      </w:pPr>
    </w:p>
    <w:p w14:paraId="02B66CEA" w14:textId="77777777" w:rsidR="005E20E8" w:rsidRDefault="00BC5FF1">
      <w:pPr>
        <w:spacing w:after="0" w:line="360" w:lineRule="auto"/>
      </w:pPr>
      <w:r>
        <w:t>El artículo 12 dice que, quienes generen, recopilen, administren, manejen, procesen, archiven o conserven información pública serán responsables de la misma.</w:t>
      </w:r>
    </w:p>
    <w:p w14:paraId="2B7CFF96" w14:textId="77777777" w:rsidR="005E20E8" w:rsidRDefault="005E20E8">
      <w:pPr>
        <w:spacing w:after="0" w:line="360" w:lineRule="auto"/>
      </w:pPr>
    </w:p>
    <w:p w14:paraId="7565E845" w14:textId="77777777" w:rsidR="005E20E8" w:rsidRDefault="00BC5FF1">
      <w:pPr>
        <w:spacing w:after="0" w:line="360" w:lineRule="auto"/>
      </w:pPr>
      <w:r>
        <w:t>El artículo 18, que, los Sujetos Obligados deberán documentar todo acto que derive del ejercicio de sus facultades, competencias o funciones, considerando desde su origen la eventual publicidad y reutilización de la información que generen.</w:t>
      </w:r>
    </w:p>
    <w:p w14:paraId="618C9A8C" w14:textId="77777777" w:rsidR="005E20E8" w:rsidRDefault="005E20E8">
      <w:pPr>
        <w:spacing w:after="0" w:line="360" w:lineRule="auto"/>
      </w:pPr>
    </w:p>
    <w:p w14:paraId="6A11D3E2" w14:textId="77777777" w:rsidR="005E20E8" w:rsidRDefault="00BC5FF1">
      <w:pPr>
        <w:spacing w:after="0" w:line="360" w:lineRule="auto"/>
      </w:pPr>
      <w: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48FA7BF0" w14:textId="77777777" w:rsidR="005E20E8" w:rsidRDefault="005E20E8">
      <w:pPr>
        <w:spacing w:after="0" w:line="360" w:lineRule="auto"/>
      </w:pPr>
    </w:p>
    <w:p w14:paraId="4C71832C" w14:textId="77777777" w:rsidR="005E20E8" w:rsidRDefault="00BC5FF1">
      <w:pPr>
        <w:pStyle w:val="Ttulo2"/>
        <w:spacing w:before="0" w:after="0"/>
        <w:rPr>
          <w:b w:val="0"/>
        </w:rPr>
      </w:pPr>
      <w:bookmarkStart w:id="23" w:name="_heading=h.9d2xwuodlv4g" w:colFirst="0" w:colLast="0"/>
      <w:bookmarkStart w:id="24" w:name="_Toc205477232"/>
      <w:bookmarkEnd w:id="23"/>
      <w:r>
        <w:t>QUINTO. Estudio de Fondo</w:t>
      </w:r>
      <w:bookmarkEnd w:id="24"/>
    </w:p>
    <w:p w14:paraId="39C218C9" w14:textId="77777777" w:rsidR="005E20E8" w:rsidRDefault="005E20E8">
      <w:pPr>
        <w:spacing w:after="0" w:line="360" w:lineRule="auto"/>
      </w:pPr>
    </w:p>
    <w:p w14:paraId="663D9CC7" w14:textId="77777777" w:rsidR="005E20E8" w:rsidRDefault="00BC5FF1">
      <w:pPr>
        <w:spacing w:after="0" w:line="360" w:lineRule="auto"/>
      </w:pPr>
      <w:r>
        <w:t>Una vez expuesto lo anterior, es menester contextualizar la solicitud de información, dado que se trata de la atención o documentos que resultaron de un oficio en específico.</w:t>
      </w:r>
    </w:p>
    <w:p w14:paraId="64B45C40" w14:textId="77777777" w:rsidR="005E20E8" w:rsidRDefault="005E20E8">
      <w:pPr>
        <w:spacing w:after="0" w:line="360" w:lineRule="auto"/>
      </w:pPr>
    </w:p>
    <w:p w14:paraId="7643FAE8" w14:textId="73F06180" w:rsidR="005E20E8" w:rsidRDefault="00BC5FF1">
      <w:pPr>
        <w:tabs>
          <w:tab w:val="left" w:pos="4667"/>
        </w:tabs>
        <w:spacing w:after="0" w:line="360" w:lineRule="auto"/>
      </w:pPr>
      <w:r>
        <w:t xml:space="preserve">Al respecto, cabe mencionar que de la imagen que se adjuntó a la solicitud de información, se desprende que el oficio 208C0101310000L/0677/2025, fue suscrito por el </w:t>
      </w:r>
      <w:r w:rsidR="00E6268C">
        <w:t>D</w:t>
      </w:r>
      <w:r>
        <w:t xml:space="preserve">irector de Finanzas del Sujeto Obligado y dirigido al Director del Centro Médico Adolfo López Mateos, en el que le </w:t>
      </w:r>
      <w:r>
        <w:lastRenderedPageBreak/>
        <w:t xml:space="preserve">informó que derivado de un oficio en el que el Gerente General de la empresa “APAGSA, S.R.L. de C. V.“ solicitó el pago con motivo de remisiones de bienes recibidos por el personal de dicho Centro Médico y en virtud de que señaló su imposibilidad para pronunciarse sobre la veracidad de los hechos o determinar si asiste el derecho de reclamar el pago, remitió el oficio y la documentación soporte para que se determinará la procedencia o improcedencia del pago y solicitó que en su caso, se le informará a dicha Dirección de Finanzas las acciones que se estuviesen realizando para cubrir el adeudo referido. </w:t>
      </w:r>
    </w:p>
    <w:p w14:paraId="28FD998F" w14:textId="77777777" w:rsidR="005E20E8" w:rsidRDefault="00BC5FF1">
      <w:pPr>
        <w:spacing w:after="0" w:line="360" w:lineRule="auto"/>
      </w:pPr>
      <w:r>
        <w:t xml:space="preserve"> </w:t>
      </w:r>
    </w:p>
    <w:p w14:paraId="23F8BF6B" w14:textId="5C681548" w:rsidR="005E20E8" w:rsidRDefault="00BC5FF1">
      <w:pPr>
        <w:spacing w:after="0" w:line="360" w:lineRule="auto"/>
      </w:pPr>
      <w:r>
        <w:t>De dicho oficio, se advierten los elementos suficientes para considerar que derivado de dicho oficio, se emitió una contestación</w:t>
      </w:r>
      <w:r w:rsidR="00E6268C">
        <w:t>; sobre el tema</w:t>
      </w:r>
      <w:r>
        <w:t>, el artículo 18 de la Ley de Transparencia y Acceso a la Información Pública del Estado de México y Municipios, prevé que los Sujetos Obligados deberán documentar todo acto que derive del ejercicio de sus facultades, por tanto, se aprecia que el Sujeto Obligado a través del Director del Centro Médico Adolfo López Mateos debió documentar el ejercicio de sus funciones y uno de los resultados de ello, es la realización de oficios, por tanto, el Sujeto Obligado pudo conocer de la información solicitada.</w:t>
      </w:r>
    </w:p>
    <w:p w14:paraId="18D435C1" w14:textId="77777777" w:rsidR="005E20E8" w:rsidRDefault="005E20E8">
      <w:pPr>
        <w:spacing w:after="0" w:line="360" w:lineRule="auto"/>
      </w:pPr>
    </w:p>
    <w:p w14:paraId="201EE456" w14:textId="77777777" w:rsidR="005E20E8" w:rsidRDefault="00BC5FF1">
      <w:pPr>
        <w:spacing w:after="0" w:line="360" w:lineRule="auto"/>
      </w:pPr>
      <w:r>
        <w:t xml:space="preserve">Cabe mencionar que de conformidad con el organigrama del Sujeto Obligado, destaca la Coordinación de Salud, de la que deriva la Dirección de Servicios de Salud y de la que se desprenden los Hospitales de Tercer Nivel, por su parte,  el Manual General de Organización del Instituto de Salud del Estado de México refiere que dentro de los Hospitales de Tercer Nivel se encuentra el 21785006 Centro Médico “Lic. Adolfo López Mateos”, por lo que el Sujeto Obligado a través del Director de dicho Centro y que corresponde a la persona a quién se le dirigió el oficio identificado en la solicitud, </w:t>
      </w:r>
      <w:r>
        <w:rPr>
          <w:b/>
        </w:rPr>
        <w:t>resulta competente para conocer de la respuesta proporcionada al mismo.</w:t>
      </w:r>
      <w:r>
        <w:t xml:space="preserve">   </w:t>
      </w:r>
    </w:p>
    <w:p w14:paraId="5C2A8C0F" w14:textId="77777777" w:rsidR="005E20E8" w:rsidRDefault="005E20E8">
      <w:pPr>
        <w:spacing w:after="0" w:line="360" w:lineRule="auto"/>
      </w:pPr>
    </w:p>
    <w:p w14:paraId="674C0CF7" w14:textId="77777777" w:rsidR="005E20E8" w:rsidRDefault="00BC5FF1">
      <w:pPr>
        <w:spacing w:after="0" w:line="360" w:lineRule="auto"/>
      </w:pPr>
      <w:r>
        <w:rPr>
          <w:color w:val="000000"/>
        </w:rPr>
        <w:lastRenderedPageBreak/>
        <w:t xml:space="preserve">Así, se procede analizar la información proporcionada por el Sujeto Obligado, para lo cual, cabe señalar que este dio respuesta a través de </w:t>
      </w:r>
      <w:r>
        <w:t>la Jefa de la Unidad de Información, Planeación, Programación y Evaluación en el ISEM y Titular de la Unidad de Transparencia</w:t>
      </w:r>
      <w:r>
        <w:rPr>
          <w:color w:val="000000"/>
        </w:rPr>
        <w:t xml:space="preserve">; sin embargo, en informe justificado se pronunció </w:t>
      </w:r>
      <w:r>
        <w:t>la Dirección de Servicios de Salud; empero se considera que, en el presente asunto, se debió buscar la información en la Dirección del Centro Médico “Lic. Adolfo López Mateos”, dado que es el área competente en específico, ante lo cual</w:t>
      </w:r>
      <w:r>
        <w:rPr>
          <w:color w:val="000000"/>
        </w:rPr>
        <w:t xml:space="preserve">, </w:t>
      </w:r>
      <w:r>
        <w:t xml:space="preserve">es oportuno hacer referencia al </w:t>
      </w:r>
      <w:r>
        <w:rPr>
          <w:b/>
        </w:rPr>
        <w:t>procedimiento de búsqueda que deben de seguir los Sujetos Obligados para localizar la información</w:t>
      </w:r>
      <w:r>
        <w:t xml:space="preserve">,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con el objeto de que dichas áreas realicen una búsqueda exhaustiva y razonable de la información requerido. Así y de lo plasmado en párrafos anteriores, </w:t>
      </w:r>
      <w:r>
        <w:rPr>
          <w:color w:val="000000"/>
        </w:rPr>
        <w:t xml:space="preserve">se advierte que el </w:t>
      </w:r>
      <w:r>
        <w:rPr>
          <w:b/>
          <w:color w:val="000000"/>
        </w:rPr>
        <w:t>Sujeto Obligado no cumplió con el procedimiento de búsqueda referido, pues no turnó la solicitud de información al área competente de conocer lo solicitado.</w:t>
      </w:r>
    </w:p>
    <w:p w14:paraId="6B9A40AF" w14:textId="77777777" w:rsidR="005E20E8" w:rsidRDefault="005E20E8">
      <w:pPr>
        <w:spacing w:after="0" w:line="360" w:lineRule="auto"/>
        <w:ind w:right="-93"/>
      </w:pPr>
    </w:p>
    <w:p w14:paraId="17B07B6E" w14:textId="77777777" w:rsidR="005E20E8" w:rsidRDefault="00BC5FF1">
      <w:pPr>
        <w:spacing w:after="0" w:line="360" w:lineRule="auto"/>
      </w:pPr>
      <w:r>
        <w:t xml:space="preserve">En este contexto, se debe tener en consideración que el Sujeto Obligado tanto en respuesta como en informe justificado, no se pronunció sobre la respuesta al oficio en cuestión, dado que únicamente refirió que se trata de información relacionada con el pago de proveedores, al respecto se debe tener en cuenta que el pago a proveedores es información pública de conformidad con lo dispuesto en el artículo 92, fracción XXIX de la Ley de Transparencia Local, que prevé que la documentación de adquisición de bienes y servicios forma parte de las obligaciones comunes de transparencia y por tanto, deben ser publicadas en el sitio para tales efectos; así pues, lo solicitado debe entregarse, no solo porque da cuenta de la atención a un oficio y el ejercicio de funciones de una área, sino también porque al tratarse de pagos a proveedores o de posibles deudas del Sujeto Obligado, su entrega y transparencia favorecen la </w:t>
      </w:r>
      <w:r>
        <w:lastRenderedPageBreak/>
        <w:t xml:space="preserve">rendición de cuentas y con ello, la confiabilidad en su actividad, a pesar de ello, destaca que en respuesta el </w:t>
      </w:r>
      <w:r>
        <w:rPr>
          <w:b/>
        </w:rPr>
        <w:t>Sujeto Obligado no señaló la existencia de la respuesta ni la remitió.</w:t>
      </w:r>
      <w:r>
        <w:t xml:space="preserve"> </w:t>
      </w:r>
    </w:p>
    <w:p w14:paraId="687BD631" w14:textId="77777777" w:rsidR="005E20E8" w:rsidRDefault="005E20E8">
      <w:pPr>
        <w:spacing w:after="0" w:line="360" w:lineRule="auto"/>
      </w:pPr>
    </w:p>
    <w:p w14:paraId="71D50E95" w14:textId="77777777" w:rsidR="005E20E8" w:rsidRDefault="00BC5FF1">
      <w:pPr>
        <w:spacing w:after="0" w:line="360" w:lineRule="auto"/>
      </w:pPr>
      <w:bookmarkStart w:id="25" w:name="_Hlk205475371"/>
      <w:r>
        <w:t>Aunado a ello indicó que no era posible atender la solicitud de información en virtud de que se realizó a través del SARCOEM y no del SAIMEX y que, al tratarse de una solicitud de información pública no era atendible mediante el SARCOEM, al respecto se debe tener en consideración lo siguiente:</w:t>
      </w:r>
    </w:p>
    <w:p w14:paraId="159D62D7" w14:textId="77777777" w:rsidR="005E20E8" w:rsidRDefault="005E20E8">
      <w:pPr>
        <w:spacing w:after="0" w:line="360" w:lineRule="auto"/>
      </w:pPr>
    </w:p>
    <w:p w14:paraId="51E59D8F" w14:textId="77777777" w:rsidR="005E20E8" w:rsidRDefault="00BC5FF1">
      <w:pPr>
        <w:numPr>
          <w:ilvl w:val="0"/>
          <w:numId w:val="2"/>
        </w:numPr>
        <w:pBdr>
          <w:top w:val="nil"/>
          <w:left w:val="nil"/>
          <w:bottom w:val="nil"/>
          <w:right w:val="nil"/>
          <w:between w:val="nil"/>
        </w:pBdr>
        <w:spacing w:after="0" w:line="360" w:lineRule="auto"/>
        <w:rPr>
          <w:color w:val="000000"/>
        </w:rPr>
      </w:pPr>
      <w:r>
        <w:rPr>
          <w:color w:val="000000"/>
        </w:rPr>
        <w:t xml:space="preserve">SARCOEM; es el Sistema de Acceso, Rectificación, Cancelación y Oposición de Datos Personales del Estado de México, que corresponde a la herramienta digital mediante la cual, las personas pueden ejercer los derechos ARCO, es decir, de acceso, rectificación, cancelación y oposición a sus datos personales en posesión de Sujetos Obligados, de conformidad con la Ley de Protección de Datos Personales en posesión de Sujetos Obligados del Estado de México. </w:t>
      </w:r>
    </w:p>
    <w:p w14:paraId="70DA4D6A" w14:textId="77777777" w:rsidR="005E20E8" w:rsidRDefault="00BC5FF1">
      <w:pPr>
        <w:numPr>
          <w:ilvl w:val="0"/>
          <w:numId w:val="2"/>
        </w:numPr>
        <w:pBdr>
          <w:top w:val="nil"/>
          <w:left w:val="nil"/>
          <w:bottom w:val="nil"/>
          <w:right w:val="nil"/>
          <w:between w:val="nil"/>
        </w:pBdr>
        <w:spacing w:after="0" w:line="360" w:lineRule="auto"/>
        <w:rPr>
          <w:color w:val="000000"/>
        </w:rPr>
      </w:pPr>
      <w:r>
        <w:rPr>
          <w:color w:val="000000"/>
        </w:rPr>
        <w:t xml:space="preserve">SAIMEX; es el Sistema de Acceso a la Información Mexiquense, que corresponde al mecanismo digital, mediante el cual, las personas pueden ejercer sus derechos de acceso a información pública y transparencia, de conformidad con la Ley de Transparencia y Acceso a la Información Pública del estado de México y Municipios. </w:t>
      </w:r>
    </w:p>
    <w:p w14:paraId="01D8CCE1" w14:textId="77777777" w:rsidR="005E20E8" w:rsidRDefault="005E20E8">
      <w:pPr>
        <w:spacing w:after="0" w:line="360" w:lineRule="auto"/>
      </w:pPr>
    </w:p>
    <w:p w14:paraId="75388078" w14:textId="20054333" w:rsidR="005E20E8" w:rsidRDefault="00BC5FF1">
      <w:pPr>
        <w:spacing w:after="0" w:line="360" w:lineRule="auto"/>
      </w:pPr>
      <w:r>
        <w:t>Así pues, tanto el SARCOEM</w:t>
      </w:r>
      <w:r w:rsidR="00E6268C">
        <w:t>,</w:t>
      </w:r>
      <w:r>
        <w:t xml:space="preserve"> como el SAIMEX son sistemas que permiten a las personas ejercer sus derechos, los cuales son garantizados por este Organismo Garante, así pues, en el primero de los mencionados se ejercer los derechos ARCO correspondientes a los datos personales y en el segundo, se puede acceder a información pública. </w:t>
      </w:r>
    </w:p>
    <w:p w14:paraId="13A5664C" w14:textId="77777777" w:rsidR="005E20E8" w:rsidRDefault="005E20E8">
      <w:pPr>
        <w:spacing w:after="0" w:line="360" w:lineRule="auto"/>
      </w:pPr>
    </w:p>
    <w:p w14:paraId="4B522EFA" w14:textId="77777777" w:rsidR="005E20E8" w:rsidRDefault="00BC5FF1">
      <w:pPr>
        <w:spacing w:after="0" w:line="360" w:lineRule="auto"/>
      </w:pPr>
      <w:r>
        <w:t xml:space="preserve">Así pues, en el presente caso, la persona Recurrente ingresó su solicitud de información a través de SARCOEM, sin embargo, se advierte que la solicitud consiste en acceder a información </w:t>
      </w:r>
      <w:r>
        <w:lastRenderedPageBreak/>
        <w:t xml:space="preserve">pública, en este sentido, </w:t>
      </w:r>
      <w:r>
        <w:rPr>
          <w:b/>
        </w:rPr>
        <w:t>sí bien el Sujeto Obligado en respuesta, refirió dicha distinción, lo cierto es que no resulta correcto afirmar que para acceder a información pública se debe realizar forzosamente la solicitud vía SAIMEX</w:t>
      </w:r>
      <w:r>
        <w:t>.</w:t>
      </w:r>
    </w:p>
    <w:p w14:paraId="2AE0FD98" w14:textId="77777777" w:rsidR="005E20E8" w:rsidRDefault="005E20E8">
      <w:pPr>
        <w:spacing w:after="0" w:line="360" w:lineRule="auto"/>
      </w:pPr>
    </w:p>
    <w:p w14:paraId="146D82B8" w14:textId="77777777" w:rsidR="005E20E8" w:rsidRDefault="00BC5FF1">
      <w:pPr>
        <w:spacing w:after="0" w:line="360" w:lineRule="auto"/>
      </w:pPr>
      <w:r>
        <w:t xml:space="preserve">Esto es así, en virtud de que el Sujeto Obligado </w:t>
      </w:r>
      <w:r>
        <w:rPr>
          <w:b/>
        </w:rPr>
        <w:t>omitió observar lo dispuesto en el segundo párrafo del artículo 112 de la Ley de Protección de Datos Personales en posesión de Sujetos Obligados del Estado de México</w:t>
      </w:r>
      <w:r>
        <w:t xml:space="preserve">, que dispone que en caso de que el responsable (Sujeto Obligado) advierta que la solicitud para el ejercicio de derechos ARCO corresponde a un derecho diferente de los previstos en dicha Ley, deberá reconducir la vía haciéndolo del conocimiento al titular en el plazo de tres días siguientes a la presentación de la solicitud. </w:t>
      </w:r>
    </w:p>
    <w:p w14:paraId="483C7FCB" w14:textId="77777777" w:rsidR="005E20E8" w:rsidRDefault="005E20E8">
      <w:pPr>
        <w:spacing w:after="0" w:line="360" w:lineRule="auto"/>
      </w:pPr>
    </w:p>
    <w:p w14:paraId="53FF7C5E" w14:textId="77777777" w:rsidR="005E20E8" w:rsidRDefault="00BC5FF1">
      <w:pPr>
        <w:spacing w:after="0" w:line="360" w:lineRule="auto"/>
      </w:pPr>
      <w:r>
        <w:t xml:space="preserve">Así pues, para el caso en el que las personas soliciten información pública a través del SARCOEM, el Sujeto Obligado debe reconducir la vía a un acceso a información pública y dar trámite correspondiente, cuestión que no sucedió en el presente asunto, puesto que el Sujeto Obligado no recondujo la vía a acceso a información pública, ni entregó un documento que diera cuenta de lo solicitado y, en consecuencia, resulta procedente tener por no satisfecha la solicitud de información.  </w:t>
      </w:r>
    </w:p>
    <w:bookmarkEnd w:id="25"/>
    <w:p w14:paraId="0B52F207" w14:textId="77777777" w:rsidR="005E20E8" w:rsidRDefault="005E20E8">
      <w:pPr>
        <w:spacing w:after="0" w:line="360" w:lineRule="auto"/>
        <w:rPr>
          <w:color w:val="000000"/>
        </w:rPr>
      </w:pPr>
    </w:p>
    <w:p w14:paraId="081B9BC9" w14:textId="77777777" w:rsidR="005E20E8" w:rsidRDefault="00BC5FF1">
      <w:pPr>
        <w:spacing w:after="0" w:line="360" w:lineRule="auto"/>
      </w:pPr>
      <w:r>
        <w:t xml:space="preserve">En atención a todo lo antes expuesto, resultan </w:t>
      </w:r>
      <w:r>
        <w:rPr>
          <w:b/>
        </w:rPr>
        <w:t>FUNDADOS</w:t>
      </w:r>
      <w:r>
        <w:t xml:space="preserve"> los motivos de inconformidad planteados por la parte Recurrente y es procedente </w:t>
      </w:r>
      <w:r>
        <w:rPr>
          <w:b/>
        </w:rPr>
        <w:t xml:space="preserve">REVOCAR </w:t>
      </w:r>
      <w:r>
        <w:t xml:space="preserve">la respuesta inicial y </w:t>
      </w:r>
      <w:r>
        <w:rPr>
          <w:b/>
        </w:rPr>
        <w:t xml:space="preserve">ordenar la entrega de la información solicitada. </w:t>
      </w:r>
      <w:r>
        <w:t xml:space="preserve"> Es preciso señalar que si bien, en la redacción de la solicitud de información requirió la entrega en copia, lo cierto es que con la entrega en formato electrónico es suficiente para tener por colmada la solicitud, dado que para obtener la copia simple se puede imprimir dicho formato, además que la entrega en formato digital o electrónico favorece la gratuidad en la entrega de la información.</w:t>
      </w:r>
    </w:p>
    <w:p w14:paraId="52455ED2" w14:textId="77777777" w:rsidR="00E6268C" w:rsidRDefault="00E6268C">
      <w:pPr>
        <w:spacing w:after="0" w:line="360" w:lineRule="auto"/>
      </w:pPr>
    </w:p>
    <w:p w14:paraId="015C42D5" w14:textId="24EF7CE5" w:rsidR="00E6268C" w:rsidRDefault="00E6268C">
      <w:pPr>
        <w:spacing w:after="0" w:line="360" w:lineRule="auto"/>
      </w:pPr>
      <w:r>
        <w:lastRenderedPageBreak/>
        <w:t xml:space="preserve">Ahora bien, conforme a las constancias que obran en el expediente se advierte que el oficio fue entregado el veintidós de abril de dos mil veinticinco, y que la solicitud se presentó el </w:t>
      </w:r>
      <w:r w:rsidR="00E2139F">
        <w:t xml:space="preserve">dos de mayo de dicho año, es decir, ocho días hábiles posteriores a su recepción, por lo que, para el caso de a dicha fecha no se haya emitido contestación al oficio, deberá hacerlo del conocimiento de la parte </w:t>
      </w:r>
      <w:proofErr w:type="spellStart"/>
      <w:r w:rsidR="00E2139F">
        <w:t>Recurrnte</w:t>
      </w:r>
      <w:proofErr w:type="spellEnd"/>
      <w:r w:rsidR="00E2139F">
        <w:t xml:space="preserve"> de manera clara y precisa, en términos del artículo 19, párrafo segundo de la Ley de Transparencia y Acceso a la Información Pública del Estado de México y Municipios.</w:t>
      </w:r>
    </w:p>
    <w:p w14:paraId="48545F69" w14:textId="77777777" w:rsidR="005E20E8" w:rsidRDefault="005E20E8">
      <w:pPr>
        <w:spacing w:after="0" w:line="360" w:lineRule="auto"/>
      </w:pPr>
    </w:p>
    <w:p w14:paraId="67DD1563" w14:textId="77777777" w:rsidR="005E20E8" w:rsidRDefault="00BC5FF1">
      <w:pPr>
        <w:spacing w:after="0" w:line="360" w:lineRule="auto"/>
        <w:rPr>
          <w:b/>
          <w:color w:val="000000"/>
        </w:rPr>
      </w:pPr>
      <w:r>
        <w:rPr>
          <w:b/>
          <w:color w:val="000000"/>
        </w:rPr>
        <w:t>Versión Pública</w:t>
      </w:r>
    </w:p>
    <w:p w14:paraId="278A536E" w14:textId="77777777" w:rsidR="005E20E8" w:rsidRDefault="005E20E8">
      <w:pPr>
        <w:spacing w:after="0" w:line="360" w:lineRule="auto"/>
        <w:rPr>
          <w:b/>
          <w:smallCaps/>
          <w:color w:val="000000"/>
        </w:rPr>
      </w:pPr>
    </w:p>
    <w:p w14:paraId="00AF5BFC" w14:textId="77777777" w:rsidR="005E20E8" w:rsidRDefault="00BC5FF1">
      <w:pPr>
        <w:spacing w:after="0" w:line="360" w:lineRule="auto"/>
        <w:rPr>
          <w:color w:val="000000"/>
        </w:rPr>
      </w:pPr>
      <w:r>
        <w:rPr>
          <w:color w:val="000000"/>
        </w:rPr>
        <w:t xml:space="preserve">Establecido lo anterior, cabe mencionar que el artículo 6°, Apartado A), fracción II, de la Constitución Política de los Estados Unidos Mexicanos, prevé que la información que se refiere a la vida privada y los datos personales será protegida en los términos y con las excepciones que fijen las leyes. </w:t>
      </w:r>
    </w:p>
    <w:p w14:paraId="62688ECA" w14:textId="77777777" w:rsidR="005E20E8" w:rsidRDefault="005E20E8">
      <w:pPr>
        <w:spacing w:after="0" w:line="360" w:lineRule="auto"/>
        <w:rPr>
          <w:color w:val="000000"/>
        </w:rPr>
      </w:pPr>
    </w:p>
    <w:p w14:paraId="603AB6B8" w14:textId="77777777" w:rsidR="005E20E8" w:rsidRDefault="00BC5FF1">
      <w:pPr>
        <w:spacing w:after="0" w:line="360" w:lineRule="auto"/>
        <w:rPr>
          <w:color w:val="000000"/>
        </w:rPr>
      </w:pPr>
      <w:r>
        <w:rPr>
          <w:color w:val="000000"/>
        </w:rPr>
        <w:t xml:space="preserve">Igualmente, el segundo párrafo del artículo 16 de dicho ordenamiento,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 </w:t>
      </w:r>
    </w:p>
    <w:p w14:paraId="4780A642" w14:textId="77777777" w:rsidR="005E20E8" w:rsidRDefault="005E20E8">
      <w:pPr>
        <w:spacing w:after="0" w:line="360" w:lineRule="auto"/>
        <w:rPr>
          <w:color w:val="000000"/>
        </w:rPr>
      </w:pPr>
    </w:p>
    <w:p w14:paraId="48EDDB0A" w14:textId="1297170A" w:rsidR="005E20E8" w:rsidRDefault="00BC5FF1">
      <w:pPr>
        <w:spacing w:after="0" w:line="360" w:lineRule="auto"/>
        <w:rPr>
          <w:color w:val="000000"/>
        </w:rPr>
      </w:pPr>
      <w:r>
        <w:rPr>
          <w:color w:val="000000"/>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67F8F3A2" w14:textId="77777777" w:rsidR="005E20E8" w:rsidRDefault="00BC5FF1">
      <w:pPr>
        <w:spacing w:after="0" w:line="360" w:lineRule="auto"/>
        <w:rPr>
          <w:color w:val="000000"/>
        </w:rPr>
      </w:pPr>
      <w:r>
        <w:rPr>
          <w:color w:val="000000"/>
        </w:rPr>
        <w:lastRenderedPageBreak/>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54A7885C" w14:textId="77777777" w:rsidR="005E20E8" w:rsidRDefault="005E20E8">
      <w:pPr>
        <w:spacing w:after="0" w:line="360" w:lineRule="auto"/>
        <w:rPr>
          <w:color w:val="000000"/>
        </w:rPr>
      </w:pPr>
    </w:p>
    <w:p w14:paraId="3A270A96" w14:textId="77777777" w:rsidR="005E20E8" w:rsidRDefault="00BC5FF1">
      <w:pPr>
        <w:spacing w:after="0" w:line="360" w:lineRule="auto"/>
        <w:rPr>
          <w:color w:val="000000"/>
        </w:rPr>
      </w:pPr>
      <w:r>
        <w:rPr>
          <w:color w:val="000000"/>
        </w:rPr>
        <w:t>En concordancia con lo previó, el artículo 143, fracción I, de la Ley previamente citada, establece que la información privada y los datos personales, concernientes a una persona física o jurídica colectiva identificada o identificable son confidenciales.</w:t>
      </w:r>
    </w:p>
    <w:p w14:paraId="06CDFC2E" w14:textId="77777777" w:rsidR="005E20E8" w:rsidRDefault="005E20E8">
      <w:pPr>
        <w:spacing w:after="0" w:line="360" w:lineRule="auto"/>
        <w:rPr>
          <w:color w:val="000000"/>
        </w:rPr>
      </w:pPr>
    </w:p>
    <w:p w14:paraId="27502277" w14:textId="77777777" w:rsidR="005E20E8" w:rsidRDefault="00BC5FF1">
      <w:pPr>
        <w:spacing w:after="0" w:line="360" w:lineRule="auto"/>
        <w:rPr>
          <w:color w:val="000000"/>
        </w:rPr>
      </w:pPr>
      <w:r>
        <w:rPr>
          <w:color w:val="000000"/>
        </w:rPr>
        <w:t xml:space="preserve">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w:t>
      </w:r>
      <w:r>
        <w:rPr>
          <w:smallCaps/>
          <w:color w:val="000000"/>
        </w:rPr>
        <w:t>I</w:t>
      </w:r>
      <w:r>
        <w:rPr>
          <w:color w:val="000000"/>
        </w:rPr>
        <w:t xml:space="preserve">) la información se encuentre en registros públicos o fuentes de acceso público, </w:t>
      </w:r>
      <w:r>
        <w:rPr>
          <w:smallCaps/>
          <w:color w:val="000000"/>
        </w:rPr>
        <w:t>II</w:t>
      </w:r>
      <w:r>
        <w:rPr>
          <w:color w:val="000000"/>
        </w:rPr>
        <w:t xml:space="preserve">) por ley tenga el carácter de pública, </w:t>
      </w:r>
      <w:r>
        <w:rPr>
          <w:smallCaps/>
          <w:color w:val="000000"/>
        </w:rPr>
        <w:t>III</w:t>
      </w:r>
      <w:r>
        <w:rPr>
          <w:color w:val="000000"/>
        </w:rPr>
        <w:t xml:space="preserve">) exista una orden judicial, </w:t>
      </w:r>
      <w:r>
        <w:rPr>
          <w:smallCaps/>
          <w:color w:val="000000"/>
        </w:rPr>
        <w:t>IV</w:t>
      </w:r>
      <w:r>
        <w:rPr>
          <w:color w:val="000000"/>
        </w:rPr>
        <w:t xml:space="preserve">) por razones de seguridad nacional y salubridad general o </w:t>
      </w:r>
      <w:r>
        <w:rPr>
          <w:smallCaps/>
          <w:color w:val="000000"/>
        </w:rPr>
        <w:t>V</w:t>
      </w:r>
      <w:r>
        <w:rPr>
          <w:color w:val="000000"/>
        </w:rPr>
        <w:t>) para proteger los derechos de terceros o cuando se transmitan entre sujetos obligados en términos de los tratados y los acuerdos interinstitucionales.</w:t>
      </w:r>
    </w:p>
    <w:p w14:paraId="4846FA15" w14:textId="77777777" w:rsidR="005E20E8" w:rsidRDefault="005E20E8">
      <w:pPr>
        <w:spacing w:after="0" w:line="360" w:lineRule="auto"/>
        <w:rPr>
          <w:color w:val="000000"/>
        </w:rPr>
      </w:pPr>
    </w:p>
    <w:p w14:paraId="65F4E313" w14:textId="77777777" w:rsidR="005E20E8" w:rsidRDefault="00BC5FF1">
      <w:pPr>
        <w:spacing w:after="0" w:line="360" w:lineRule="auto"/>
        <w:rPr>
          <w:color w:val="000000"/>
        </w:rPr>
      </w:pPr>
      <w:r>
        <w:rPr>
          <w:color w:val="000000"/>
        </w:rPr>
        <w:t>En términos de lo expuesto, la documentación y aquellos datos que se consideren confidenciales, serán una limitante del derecho de acceso a la información, siempre y cuando:</w:t>
      </w:r>
    </w:p>
    <w:p w14:paraId="7EB83BDF" w14:textId="77777777" w:rsidR="005E20E8" w:rsidRDefault="005E20E8">
      <w:pPr>
        <w:spacing w:after="0" w:line="360" w:lineRule="auto"/>
        <w:rPr>
          <w:color w:val="000000"/>
        </w:rPr>
      </w:pPr>
    </w:p>
    <w:p w14:paraId="7CDDD065" w14:textId="77777777" w:rsidR="005E20E8" w:rsidRDefault="00BC5FF1">
      <w:pPr>
        <w:numPr>
          <w:ilvl w:val="0"/>
          <w:numId w:val="3"/>
        </w:numPr>
        <w:spacing w:after="0" w:line="360" w:lineRule="auto"/>
        <w:rPr>
          <w:color w:val="000000"/>
        </w:rPr>
      </w:pPr>
      <w:r>
        <w:rPr>
          <w:color w:val="000000"/>
        </w:rPr>
        <w:t xml:space="preserve">Se trate de datos personales o información privada; esto es, información concerniente a una persona física o jurídica colectiva y que esta sea identificada o identificable. </w:t>
      </w:r>
    </w:p>
    <w:p w14:paraId="6490B298" w14:textId="77777777" w:rsidR="005E20E8" w:rsidRDefault="00BC5FF1">
      <w:pPr>
        <w:numPr>
          <w:ilvl w:val="0"/>
          <w:numId w:val="3"/>
        </w:numPr>
        <w:spacing w:after="0" w:line="360" w:lineRule="auto"/>
        <w:rPr>
          <w:color w:val="000000"/>
        </w:rPr>
      </w:pPr>
      <w:r>
        <w:rPr>
          <w:color w:val="000000"/>
        </w:rPr>
        <w:t xml:space="preserve">Para la difusión de los datos, se requiere el consentimiento del titular. </w:t>
      </w:r>
    </w:p>
    <w:p w14:paraId="1E204D75" w14:textId="77777777" w:rsidR="005E20E8" w:rsidRDefault="005E20E8">
      <w:pPr>
        <w:spacing w:after="0" w:line="360" w:lineRule="auto"/>
        <w:rPr>
          <w:color w:val="000000"/>
        </w:rPr>
      </w:pPr>
    </w:p>
    <w:p w14:paraId="58484BFB" w14:textId="77777777" w:rsidR="005E20E8" w:rsidRDefault="00BC5FF1">
      <w:pPr>
        <w:spacing w:after="0" w:line="360" w:lineRule="auto"/>
        <w:rPr>
          <w:color w:val="000000"/>
        </w:rPr>
      </w:pPr>
      <w:r>
        <w:rPr>
          <w:color w:val="000000"/>
        </w:rPr>
        <w:t xml:space="preserve">En ese orden de ideas, de conformidad con el artículo 3°, fracción IX, de la Ley de Transparencia y Acceso a la Información Pública del Estado de México y Municipios, con relación el diverso </w:t>
      </w:r>
      <w:r>
        <w:rPr>
          <w:color w:val="000000"/>
        </w:rPr>
        <w:lastRenderedPageBreak/>
        <w:t xml:space="preserve">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6897CB26" w14:textId="77777777" w:rsidR="005E20E8" w:rsidRDefault="005E20E8">
      <w:pPr>
        <w:spacing w:after="0" w:line="360" w:lineRule="auto"/>
        <w:rPr>
          <w:color w:val="000000"/>
        </w:rPr>
      </w:pPr>
    </w:p>
    <w:p w14:paraId="22597162" w14:textId="77777777" w:rsidR="005E20E8" w:rsidRDefault="00BC5FF1">
      <w:pPr>
        <w:spacing w:after="0" w:line="360" w:lineRule="auto"/>
        <w:rPr>
          <w:color w:val="000000"/>
        </w:rPr>
      </w:pPr>
      <w:r>
        <w:rPr>
          <w:color w:val="000000"/>
        </w:rPr>
        <w:t>Además, en el artículo 5° de dicho ordenamiento jurídico, establece que es la Ley aplicable para todo tratamiento de datos personales.</w:t>
      </w:r>
    </w:p>
    <w:p w14:paraId="5C5F8AC0" w14:textId="77777777" w:rsidR="005E20E8" w:rsidRDefault="005E20E8">
      <w:pPr>
        <w:spacing w:after="0" w:line="360" w:lineRule="auto"/>
        <w:rPr>
          <w:color w:val="000000"/>
        </w:rPr>
      </w:pPr>
    </w:p>
    <w:p w14:paraId="585AD2E5" w14:textId="77777777" w:rsidR="005E20E8" w:rsidRDefault="00BC5FF1">
      <w:pPr>
        <w:spacing w:after="0" w:line="360" w:lineRule="auto"/>
        <w:rPr>
          <w:color w:val="000000"/>
        </w:rPr>
      </w:pPr>
      <w:r>
        <w:rPr>
          <w:color w:val="000000"/>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2F5991A8" w14:textId="77777777" w:rsidR="005E20E8" w:rsidRDefault="005E20E8">
      <w:pPr>
        <w:spacing w:after="0" w:line="360" w:lineRule="auto"/>
        <w:rPr>
          <w:color w:val="000000"/>
        </w:rPr>
      </w:pPr>
    </w:p>
    <w:p w14:paraId="1A35942E" w14:textId="77777777" w:rsidR="005E20E8" w:rsidRDefault="00BC5FF1">
      <w:pPr>
        <w:spacing w:after="0" w:line="360" w:lineRule="auto"/>
        <w:rPr>
          <w:color w:val="000000"/>
        </w:rPr>
      </w:pPr>
      <w:r>
        <w:rPr>
          <w:color w:val="000000"/>
        </w:rPr>
        <w:t>En este sentido, un dato personal es cualquier información que pueda hacer a una persona física o jurídica colectiva identificada e identificable.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14825A64" w14:textId="77777777" w:rsidR="005E20E8" w:rsidRDefault="005E20E8">
      <w:pPr>
        <w:spacing w:after="0" w:line="360" w:lineRule="auto"/>
        <w:rPr>
          <w:color w:val="000000"/>
        </w:rPr>
      </w:pPr>
    </w:p>
    <w:p w14:paraId="67D27236" w14:textId="77777777" w:rsidR="005E20E8" w:rsidRDefault="00BC5FF1">
      <w:pPr>
        <w:spacing w:after="0" w:line="360" w:lineRule="auto"/>
        <w:rPr>
          <w:color w:val="000000"/>
        </w:rPr>
      </w:pPr>
      <w:r>
        <w:rPr>
          <w:color w:val="000000"/>
        </w:rPr>
        <w:t xml:space="preserve">Por lo cual, la confidencialidad de los datos personales tiene por objetivo establecer el límite del derecho de acceso a la información a partir del derecho a la intimidad y la vida privada de los </w:t>
      </w:r>
      <w:r>
        <w:rPr>
          <w:color w:val="000000"/>
        </w:rPr>
        <w:lastRenderedPageBreak/>
        <w:t>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0F747130" w14:textId="77777777" w:rsidR="005E20E8" w:rsidRDefault="005E20E8">
      <w:pPr>
        <w:spacing w:after="0" w:line="360" w:lineRule="auto"/>
        <w:rPr>
          <w:color w:val="000000"/>
        </w:rPr>
      </w:pPr>
    </w:p>
    <w:p w14:paraId="012703AD" w14:textId="77777777" w:rsidR="005E20E8" w:rsidRDefault="00BC5FF1">
      <w:pPr>
        <w:spacing w:after="0" w:line="360" w:lineRule="auto"/>
        <w:rPr>
          <w:color w:val="000000"/>
        </w:rPr>
      </w:pPr>
      <w:r>
        <w:rPr>
          <w:color w:val="000000"/>
        </w:rPr>
        <w:t>De tal suerte, las instituciones públicas tienen la doble responsabilidad, por un lado, de proteger los datos personales y por otro, darles publicidad cuando la relevancia de esos datos sea de interés público.</w:t>
      </w:r>
    </w:p>
    <w:p w14:paraId="50C4B107" w14:textId="77777777" w:rsidR="005E20E8" w:rsidRDefault="005E20E8">
      <w:pPr>
        <w:spacing w:after="0" w:line="360" w:lineRule="auto"/>
        <w:rPr>
          <w:color w:val="000000"/>
        </w:rPr>
      </w:pPr>
    </w:p>
    <w:p w14:paraId="24C847B1" w14:textId="77777777" w:rsidR="005E20E8" w:rsidRDefault="00BC5FF1">
      <w:pPr>
        <w:spacing w:after="0" w:line="360" w:lineRule="auto"/>
        <w:rPr>
          <w:color w:val="000000"/>
        </w:rPr>
      </w:pPr>
      <w:r>
        <w:rPr>
          <w:color w:val="000000"/>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cumplimiento de atribuciones, entre otros; información que necesariamente está vinculada con datos personales, que pierden la protección en beneficio del interés público (no por eso dejan de ser datos personales, sólo que no están protegidos en la confidencialidad).</w:t>
      </w:r>
    </w:p>
    <w:p w14:paraId="327310B1" w14:textId="77777777" w:rsidR="005E20E8" w:rsidRDefault="005E20E8">
      <w:pPr>
        <w:spacing w:after="0" w:line="360" w:lineRule="auto"/>
        <w:rPr>
          <w:color w:val="000000"/>
        </w:rPr>
      </w:pPr>
    </w:p>
    <w:p w14:paraId="03542368" w14:textId="77777777" w:rsidR="005E20E8" w:rsidRDefault="00BC5FF1">
      <w:pPr>
        <w:spacing w:after="0" w:line="360" w:lineRule="auto"/>
        <w:rPr>
          <w:color w:val="000000"/>
        </w:rPr>
      </w:pPr>
      <w:r>
        <w:rPr>
          <w:color w:val="000000"/>
        </w:rPr>
        <w:t xml:space="preserve">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w:t>
      </w:r>
      <w:r>
        <w:rPr>
          <w:color w:val="000000"/>
        </w:rPr>
        <w:lastRenderedPageBreak/>
        <w:t xml:space="preserve">beneficio de su publicidad es mayor que el beneficio de su clasificación, </w:t>
      </w:r>
      <w:proofErr w:type="spellStart"/>
      <w:r>
        <w:t>aún</w:t>
      </w:r>
      <w:proofErr w:type="spellEnd"/>
      <w:r>
        <w:rPr>
          <w:color w:val="000000"/>
        </w:rPr>
        <w:t xml:space="preserve"> tratándose de información personal.</w:t>
      </w:r>
    </w:p>
    <w:p w14:paraId="4DDEFCBC" w14:textId="77777777" w:rsidR="005E20E8" w:rsidRDefault="005E20E8">
      <w:pPr>
        <w:spacing w:after="0" w:line="360" w:lineRule="auto"/>
        <w:rPr>
          <w:color w:val="000000"/>
        </w:rPr>
      </w:pPr>
    </w:p>
    <w:p w14:paraId="7E929BBA" w14:textId="77777777" w:rsidR="005E20E8" w:rsidRDefault="00BC5FF1">
      <w:pPr>
        <w:spacing w:after="0" w:line="360" w:lineRule="auto"/>
        <w:rPr>
          <w:color w:val="000000"/>
        </w:rPr>
      </w:pPr>
      <w:r>
        <w:rPr>
          <w:color w:val="000000"/>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596D20D6" w14:textId="77777777" w:rsidR="005E20E8" w:rsidRDefault="005E20E8">
      <w:pPr>
        <w:spacing w:after="0" w:line="360" w:lineRule="auto"/>
        <w:rPr>
          <w:color w:val="000000"/>
        </w:rPr>
      </w:pPr>
    </w:p>
    <w:p w14:paraId="4A918BBB" w14:textId="77777777" w:rsidR="005E20E8" w:rsidRDefault="00BC5FF1">
      <w:pPr>
        <w:spacing w:after="0" w:line="360" w:lineRule="auto"/>
        <w:rPr>
          <w:color w:val="000000"/>
          <w:u w:val="single"/>
        </w:rPr>
      </w:pPr>
      <w:r>
        <w:rPr>
          <w:color w:val="000000"/>
        </w:rPr>
        <w:t xml:space="preserve">Bajo ese contexto, se analizarán de manera enunciativa más no limitativa algunos datos personales que pueden encontrarse dentro de los documentos que pueden dar cuenta de lo requerido por el Particular y que actualiza el supuesto de información confidencial por corresponder a la vida privada de las personas </w:t>
      </w:r>
      <w:r>
        <w:rPr>
          <w:color w:val="000000"/>
          <w:u w:val="single"/>
        </w:rPr>
        <w:t>son nombres que no sean proveedores, domicilios, CURP, RFC de personas que no sean proveedores, cuentas bancarias y bancos de particulares, entre otros</w:t>
      </w:r>
      <w:r>
        <w:rPr>
          <w:color w:val="000000"/>
        </w:rPr>
        <w:t>, los cuales  actualizan la causal de clasificación establecida en el artículo 143, fracción I, de la Ley de Transparencia y Acceso a la Información Pública del Estado de México y Municipios.</w:t>
      </w:r>
    </w:p>
    <w:p w14:paraId="4CAA648B" w14:textId="77777777" w:rsidR="005E20E8" w:rsidRDefault="005E20E8">
      <w:pPr>
        <w:spacing w:after="0" w:line="360" w:lineRule="auto"/>
        <w:rPr>
          <w:color w:val="000000"/>
        </w:rPr>
      </w:pPr>
    </w:p>
    <w:p w14:paraId="3FDFF9A5" w14:textId="77777777" w:rsidR="005E20E8" w:rsidRDefault="00BC5FF1">
      <w:pPr>
        <w:spacing w:after="0" w:line="360" w:lineRule="auto"/>
      </w:pPr>
      <w:r>
        <w:rPr>
          <w:color w:val="000000"/>
        </w:rPr>
        <w:t>Además, el Sujeto Obligado deberá seguir el procedimiento establecido en el artículo 168 de dicho ordenamiento jurídico; esto es, que el área competente deberá elaborar la versión pública en los términos planteados en la presente Resolución, así como emitir el Acuerdo, por parte del Comité de Transparencia, donde confirme la clasificación de los datos previamente señalados, fundando y motivando la clasificación.</w:t>
      </w:r>
    </w:p>
    <w:p w14:paraId="0E78FDEB" w14:textId="77777777" w:rsidR="005E20E8" w:rsidRDefault="005E20E8">
      <w:pPr>
        <w:pStyle w:val="Ttulo2"/>
        <w:spacing w:before="0" w:after="0"/>
      </w:pPr>
      <w:bookmarkStart w:id="26" w:name="_heading=h.tts8fum01b5z" w:colFirst="0" w:colLast="0"/>
      <w:bookmarkEnd w:id="26"/>
    </w:p>
    <w:p w14:paraId="52B1E514" w14:textId="77777777" w:rsidR="005E20E8" w:rsidRDefault="00BC5FF1">
      <w:pPr>
        <w:pStyle w:val="Ttulo2"/>
        <w:spacing w:before="0" w:after="0"/>
      </w:pPr>
      <w:bookmarkStart w:id="27" w:name="_heading=h.nvpct0mhdms0" w:colFirst="0" w:colLast="0"/>
      <w:bookmarkStart w:id="28" w:name="_Toc205477233"/>
      <w:bookmarkEnd w:id="27"/>
      <w:r>
        <w:t>SEXTO. Decisión</w:t>
      </w:r>
      <w:bookmarkEnd w:id="28"/>
    </w:p>
    <w:p w14:paraId="0DAE1FC3" w14:textId="77777777" w:rsidR="005E20E8" w:rsidRDefault="005E20E8">
      <w:pPr>
        <w:spacing w:after="0" w:line="360" w:lineRule="auto"/>
        <w:rPr>
          <w:b/>
        </w:rPr>
      </w:pPr>
    </w:p>
    <w:p w14:paraId="6C053A1A" w14:textId="77777777" w:rsidR="005E20E8" w:rsidRDefault="00BC5FF1">
      <w:pPr>
        <w:spacing w:after="0" w:line="360" w:lineRule="auto"/>
      </w:pPr>
      <w:r>
        <w:t xml:space="preserve">Con fundamento en el artículo 186, fracción III, de la Ley de Transparencia y Acceso a la Información Pública del Estado de México y Municipios, este Instituto considera procedente </w:t>
      </w:r>
      <w:r>
        <w:rPr>
          <w:b/>
        </w:rPr>
        <w:t>REVOCAR</w:t>
      </w:r>
      <w:r>
        <w:t xml:space="preserve"> la respuesta otorgada por el Sujeto Obligado a la solicitud de información </w:t>
      </w:r>
      <w:r>
        <w:rPr>
          <w:b/>
        </w:rPr>
        <w:t xml:space="preserve"> </w:t>
      </w:r>
      <w:r>
        <w:rPr>
          <w:b/>
          <w:color w:val="000000"/>
        </w:rPr>
        <w:t>00009/ISEM/AD/2025</w:t>
      </w:r>
      <w:r>
        <w:t xml:space="preserve">, por resultar fundadas las razones o motivos de inconformidad hechos valer por la parte Recurrente, en el Recurso de Revisión </w:t>
      </w:r>
      <w:r>
        <w:rPr>
          <w:b/>
          <w:color w:val="000000"/>
        </w:rPr>
        <w:t>06596/INFOEM/AD/RR/2025</w:t>
      </w:r>
      <w:r>
        <w:t xml:space="preserve">, en consecuencia procede </w:t>
      </w:r>
      <w:r>
        <w:rPr>
          <w:b/>
        </w:rPr>
        <w:t xml:space="preserve">ORDENAR, </w:t>
      </w:r>
      <w:r>
        <w:t>la entrega de la información en los términos expuestos.</w:t>
      </w:r>
    </w:p>
    <w:p w14:paraId="1F92F57A" w14:textId="77777777" w:rsidR="005E20E8" w:rsidRDefault="005E20E8">
      <w:pPr>
        <w:spacing w:after="0" w:line="360" w:lineRule="auto"/>
      </w:pPr>
    </w:p>
    <w:p w14:paraId="63E010E0" w14:textId="694FF0BB" w:rsidR="005E20E8" w:rsidRDefault="00BC5FF1">
      <w:pPr>
        <w:spacing w:after="0" w:line="360" w:lineRule="auto"/>
        <w:rPr>
          <w:b/>
          <w:u w:val="single"/>
        </w:rPr>
      </w:pPr>
      <w:r>
        <w:rPr>
          <w:b/>
          <w:u w:val="single"/>
        </w:rPr>
        <w:t>Términos de la Reso</w:t>
      </w:r>
      <w:r w:rsidR="00D63D55">
        <w:rPr>
          <w:b/>
          <w:u w:val="single"/>
        </w:rPr>
        <w:t>lución para la parte Recurrente</w:t>
      </w:r>
    </w:p>
    <w:p w14:paraId="25F44D20" w14:textId="77777777" w:rsidR="005E20E8" w:rsidRDefault="005E20E8">
      <w:pPr>
        <w:spacing w:after="0" w:line="360" w:lineRule="auto"/>
      </w:pPr>
    </w:p>
    <w:p w14:paraId="283F7FBF" w14:textId="77777777" w:rsidR="005E20E8" w:rsidRDefault="00BC5FF1">
      <w:pPr>
        <w:spacing w:after="0" w:line="360" w:lineRule="auto"/>
        <w:rPr>
          <w:u w:val="single"/>
        </w:rPr>
      </w:pPr>
      <w:r>
        <w:rPr>
          <w:u w:val="single"/>
        </w:rPr>
        <w:t xml:space="preserve">Se hace del conocimiento de parte Recurrente que este Organismo Garante determinó concederle la razón y se ordena la entrega de la respuesta al oficio solicitado. </w:t>
      </w:r>
    </w:p>
    <w:p w14:paraId="271481EE" w14:textId="77777777" w:rsidR="005E20E8" w:rsidRDefault="005E20E8">
      <w:pPr>
        <w:spacing w:after="0" w:line="360" w:lineRule="auto"/>
        <w:rPr>
          <w:u w:val="single"/>
        </w:rPr>
      </w:pPr>
    </w:p>
    <w:p w14:paraId="58C93C22" w14:textId="77777777" w:rsidR="005E20E8" w:rsidRDefault="00BC5FF1">
      <w:pPr>
        <w:spacing w:after="0" w:line="360" w:lineRule="auto"/>
        <w:rPr>
          <w:u w:val="single"/>
        </w:rPr>
      </w:pPr>
      <w:r>
        <w:rPr>
          <w:u w:val="single"/>
        </w:rPr>
        <w:t xml:space="preserve">Cabe mencionar que el SARCOEM corresponde a una plataforma para ejercer los derechos ARCO sobre sus datos personales y el SAIMEX sirve para acceder a información pública; y si bien, en el presente caso presentó su solicitud a través del SARCOEM el Sujeto Obligado debió reconducir la vía y dar trámite y atención a su solicitud. Sin embargo, para futuras ocasiones puede hacer uso de dichas plataformas para los fines antes descritos. </w:t>
      </w:r>
    </w:p>
    <w:p w14:paraId="3B14D8CA" w14:textId="77777777" w:rsidR="005E20E8" w:rsidRDefault="005E20E8">
      <w:pPr>
        <w:spacing w:after="0" w:line="360" w:lineRule="auto"/>
        <w:rPr>
          <w:u w:val="single"/>
        </w:rPr>
      </w:pPr>
    </w:p>
    <w:p w14:paraId="29CDA190" w14:textId="77777777" w:rsidR="005E20E8" w:rsidRDefault="00BC5FF1">
      <w:pPr>
        <w:spacing w:after="0" w:line="360" w:lineRule="auto"/>
        <w:rPr>
          <w:u w:val="single"/>
        </w:rPr>
      </w:pPr>
      <w:r>
        <w:rPr>
          <w:u w:val="single"/>
        </w:rPr>
        <w:t>Es necesario mencionar, que en este caso no se observó ninguna relación de la parte Recurrente con el oficio, por lo que, para el caso de que, la información tenga datos personales será necesaria su entrega en versión pública, lo que significa que se testen los datos personales y se entregue acompañada de un acuerdo en el que se expresen las razones por las que se protegen dichos datos.</w:t>
      </w:r>
    </w:p>
    <w:p w14:paraId="50BBE588" w14:textId="77777777" w:rsidR="005E20E8" w:rsidRDefault="005E20E8">
      <w:pPr>
        <w:spacing w:after="0" w:line="360" w:lineRule="auto"/>
        <w:rPr>
          <w:u w:val="single"/>
        </w:rPr>
      </w:pPr>
    </w:p>
    <w:p w14:paraId="5361728A" w14:textId="77777777" w:rsidR="005E20E8" w:rsidRDefault="00BC5FF1">
      <w:pPr>
        <w:spacing w:after="0" w:line="360" w:lineRule="auto"/>
        <w:rPr>
          <w:u w:val="single"/>
        </w:rPr>
      </w:pPr>
      <w:r>
        <w:rPr>
          <w:u w:val="single"/>
        </w:rPr>
        <w:t>La labor del INFOEM, es apoyar a la población para acceder a la información pública y garantizar la protección de sus datos personales.</w:t>
      </w:r>
    </w:p>
    <w:p w14:paraId="5C73F3B2" w14:textId="77777777" w:rsidR="005E20E8" w:rsidRDefault="005E20E8">
      <w:pPr>
        <w:spacing w:after="0" w:line="360" w:lineRule="auto"/>
        <w:rPr>
          <w:u w:val="single"/>
        </w:rPr>
      </w:pPr>
    </w:p>
    <w:p w14:paraId="6758CC27" w14:textId="77777777" w:rsidR="005E20E8" w:rsidRDefault="00BC5FF1">
      <w:pPr>
        <w:pStyle w:val="Ttulo1"/>
        <w:spacing w:before="0" w:after="0"/>
        <w:rPr>
          <w:color w:val="000000"/>
          <w:sz w:val="22"/>
          <w:szCs w:val="22"/>
        </w:rPr>
      </w:pPr>
      <w:bookmarkStart w:id="29" w:name="_heading=h.9h2u915o79n" w:colFirst="0" w:colLast="0"/>
      <w:bookmarkStart w:id="30" w:name="_Toc205477234"/>
      <w:bookmarkEnd w:id="29"/>
      <w:r>
        <w:rPr>
          <w:color w:val="000000"/>
          <w:sz w:val="22"/>
          <w:szCs w:val="22"/>
        </w:rPr>
        <w:t>R E S U E L V E</w:t>
      </w:r>
      <w:bookmarkEnd w:id="30"/>
    </w:p>
    <w:p w14:paraId="549CE1DD" w14:textId="77777777" w:rsidR="005E20E8" w:rsidRDefault="005E20E8">
      <w:pPr>
        <w:spacing w:after="0" w:line="360" w:lineRule="auto"/>
        <w:rPr>
          <w:b/>
        </w:rPr>
      </w:pPr>
    </w:p>
    <w:p w14:paraId="2191B221" w14:textId="77777777" w:rsidR="005E20E8" w:rsidRDefault="00BC5FF1">
      <w:pPr>
        <w:spacing w:after="0" w:line="360" w:lineRule="auto"/>
      </w:pPr>
      <w:r>
        <w:rPr>
          <w:b/>
        </w:rPr>
        <w:t xml:space="preserve">PRIMERO. </w:t>
      </w:r>
      <w:r>
        <w:t xml:space="preserve">Se </w:t>
      </w:r>
      <w:r>
        <w:rPr>
          <w:b/>
        </w:rPr>
        <w:t>REVOCA</w:t>
      </w:r>
      <w:r>
        <w:t xml:space="preserve"> la respuesta entregada por el </w:t>
      </w:r>
      <w:r>
        <w:rPr>
          <w:b/>
        </w:rPr>
        <w:t>Instituto de Salud del Estado de México</w:t>
      </w:r>
      <w:r>
        <w:t xml:space="preserve"> a la solicitud de información </w:t>
      </w:r>
      <w:r>
        <w:rPr>
          <w:b/>
          <w:color w:val="000000"/>
        </w:rPr>
        <w:t xml:space="preserve">00009/ISEM/AD/2025 </w:t>
      </w:r>
      <w:r>
        <w:t xml:space="preserve">por resultar fundadas las razones o motivos de inconformidad hechos valer por la parte Recurrente en el Recurso de Revisión </w:t>
      </w:r>
      <w:r>
        <w:rPr>
          <w:b/>
        </w:rPr>
        <w:t>06596/INFOEM/AD/RR/2025</w:t>
      </w:r>
      <w:r>
        <w:t>, en términos de los considerandos QUINTO y SEXTO de la presente Resolución.</w:t>
      </w:r>
    </w:p>
    <w:p w14:paraId="6D6B6378" w14:textId="77777777" w:rsidR="005E20E8" w:rsidRDefault="005E20E8">
      <w:pPr>
        <w:spacing w:after="0" w:line="360" w:lineRule="auto"/>
      </w:pPr>
    </w:p>
    <w:p w14:paraId="4BD3D75F" w14:textId="219BF7BA" w:rsidR="005E20E8" w:rsidRPr="00E6268C" w:rsidRDefault="00BC5FF1">
      <w:pPr>
        <w:spacing w:after="0" w:line="360" w:lineRule="auto"/>
        <w:rPr>
          <w:bCs/>
        </w:rPr>
      </w:pPr>
      <w:r>
        <w:rPr>
          <w:b/>
        </w:rPr>
        <w:t xml:space="preserve">SEGUNDO. </w:t>
      </w:r>
      <w:r>
        <w:t xml:space="preserve">Se </w:t>
      </w:r>
      <w:r>
        <w:rPr>
          <w:b/>
        </w:rPr>
        <w:t>ORDENA</w:t>
      </w:r>
      <w:r>
        <w:t xml:space="preserve"> al Sujeto Obligado, a efecto de entregue, previa búsqueda exhaustiva y razonable, a través del SARCOEM, en su caso en versión pública</w:t>
      </w:r>
      <w:r w:rsidR="00E6268C">
        <w:t>,</w:t>
      </w:r>
      <w:r>
        <w:t xml:space="preserve"> el documento </w:t>
      </w:r>
      <w:r w:rsidR="00E6268C">
        <w:t xml:space="preserve">con el que contara al dos de mayo de dos mil veinticinco, </w:t>
      </w:r>
      <w:r>
        <w:t xml:space="preserve">donde conste </w:t>
      </w:r>
      <w:r w:rsidRPr="00E6268C">
        <w:rPr>
          <w:bCs/>
        </w:rPr>
        <w:t xml:space="preserve">la respuesta </w:t>
      </w:r>
      <w:r w:rsidR="00E6268C">
        <w:rPr>
          <w:bCs/>
        </w:rPr>
        <w:t xml:space="preserve">al </w:t>
      </w:r>
      <w:r w:rsidRPr="00E6268C">
        <w:rPr>
          <w:bCs/>
        </w:rPr>
        <w:t xml:space="preserve">oficio </w:t>
      </w:r>
      <w:r w:rsidR="00E6268C">
        <w:rPr>
          <w:bCs/>
        </w:rPr>
        <w:t xml:space="preserve">número </w:t>
      </w:r>
      <w:r w:rsidRPr="00E6268C">
        <w:rPr>
          <w:bCs/>
        </w:rPr>
        <w:t>208C0101310000L/0677/2025.</w:t>
      </w:r>
    </w:p>
    <w:p w14:paraId="18FA3D31" w14:textId="77777777" w:rsidR="005E20E8" w:rsidRDefault="005E20E8">
      <w:pPr>
        <w:spacing w:after="0" w:line="360" w:lineRule="auto"/>
      </w:pPr>
    </w:p>
    <w:p w14:paraId="530A46EF" w14:textId="77777777" w:rsidR="005E20E8" w:rsidRDefault="00BC5FF1">
      <w:pPr>
        <w:spacing w:after="0" w:line="360" w:lineRule="auto"/>
      </w:pPr>
      <w:r>
        <w:rPr>
          <w:color w:val="000000"/>
        </w:rPr>
        <w:t xml:space="preserve">Para el caso de requerir la versión pública, se deberá proporcionar el Acuerdo de Clasificación donde el Comité de Transparencia, confirme la eliminación de los datos confidenciales </w:t>
      </w:r>
      <w:r>
        <w:t xml:space="preserve">de acuerdo con los artículos 49, fracciones II y VIII, 132, fracción II, 143, fracción I y 149 de la Ley de Transparencia y Acceso a la Información Pública del Estado de México y Municipios. </w:t>
      </w:r>
    </w:p>
    <w:p w14:paraId="59B50AD7" w14:textId="77777777" w:rsidR="00E2139F" w:rsidRDefault="00E2139F">
      <w:pPr>
        <w:spacing w:after="0" w:line="360" w:lineRule="auto"/>
      </w:pPr>
    </w:p>
    <w:p w14:paraId="3BA539AB" w14:textId="2CF94028" w:rsidR="00E2139F" w:rsidRDefault="00E2139F">
      <w:pPr>
        <w:spacing w:after="0" w:line="360" w:lineRule="auto"/>
      </w:pPr>
      <w:r>
        <w:t>Para el caso, de que a la fecha de la solicitud, no haya emitido contestación al oficio, deberá hacerlo del conocimiento de la persona Recurrente, de manera clara y precisa.</w:t>
      </w:r>
    </w:p>
    <w:p w14:paraId="4C501943" w14:textId="77777777" w:rsidR="005E20E8" w:rsidRDefault="005E20E8">
      <w:pPr>
        <w:spacing w:after="0" w:line="360" w:lineRule="auto"/>
      </w:pPr>
    </w:p>
    <w:p w14:paraId="37E60265" w14:textId="77777777" w:rsidR="005E20E8" w:rsidRDefault="00BC5FF1">
      <w:pPr>
        <w:spacing w:after="0" w:line="360" w:lineRule="auto"/>
      </w:pPr>
      <w:bookmarkStart w:id="31" w:name="_heading=h.argy21qnkmhr" w:colFirst="0" w:colLast="0"/>
      <w:bookmarkEnd w:id="31"/>
      <w:r>
        <w:rPr>
          <w:b/>
        </w:rPr>
        <w:lastRenderedPageBreak/>
        <w:t xml:space="preserve">TERCERO. NOTIFÍQUESE POR SARCOEM </w:t>
      </w:r>
      <w: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referida.</w:t>
      </w:r>
    </w:p>
    <w:p w14:paraId="0DF6BB7B" w14:textId="77777777" w:rsidR="005E20E8" w:rsidRDefault="005E20E8">
      <w:pPr>
        <w:spacing w:after="0" w:line="360" w:lineRule="auto"/>
      </w:pPr>
    </w:p>
    <w:p w14:paraId="4D83088B" w14:textId="74676DDD" w:rsidR="005E20E8" w:rsidRDefault="00BC5FF1">
      <w:pPr>
        <w:spacing w:after="0" w:line="360" w:lineRule="auto"/>
      </w:pPr>
      <w:r>
        <w:t xml:space="preserve">De conformidad con el artículo 198 de la Ley </w:t>
      </w:r>
      <w:r w:rsidR="00E2139F">
        <w:t>de la materia</w:t>
      </w:r>
      <w:r>
        <w:t>, de considerarlo procedente, el Sujeto Obligado de manera fundada y motivada, podrá solicitar una ampliación de plazo para el cumplimiento de la presente resolución.</w:t>
      </w:r>
    </w:p>
    <w:p w14:paraId="36EB9271" w14:textId="77777777" w:rsidR="005E20E8" w:rsidRDefault="005E20E8">
      <w:pPr>
        <w:spacing w:after="0" w:line="360" w:lineRule="auto"/>
      </w:pPr>
    </w:p>
    <w:p w14:paraId="065DB9A5" w14:textId="596FF4B7" w:rsidR="005E20E8" w:rsidRDefault="00BC5FF1">
      <w:pPr>
        <w:spacing w:after="0" w:line="360" w:lineRule="auto"/>
      </w:pPr>
      <w:r>
        <w:rPr>
          <w:b/>
        </w:rPr>
        <w:t>CUARTO. NOTIFÍQUESE</w:t>
      </w:r>
      <w:r>
        <w:t xml:space="preserve"> </w:t>
      </w:r>
      <w:r>
        <w:rPr>
          <w:b/>
        </w:rPr>
        <w:t xml:space="preserve">POR SARCOEM </w:t>
      </w:r>
      <w:r>
        <w:t>a la parte Recurrente la presente Resolución</w:t>
      </w:r>
      <w:r w:rsidR="001051B1" w:rsidRPr="001051B1">
        <w:t xml:space="preserve">; asimismo, </w:t>
      </w:r>
      <w:r w:rsidR="001051B1" w:rsidRPr="00BC5FF1">
        <w:t>se hace de su conocimiento que de conformidad con lo establecido en el artículo 142 de la Ley de Protección de Datos Personales en Posesión de Sujetos Obligados del Estado de México y Municipios podrá promover el Juicio de Amparo, en términos de las leyes aplicables</w:t>
      </w:r>
      <w:r w:rsidR="001051B1" w:rsidRPr="001051B1">
        <w:t>.</w:t>
      </w:r>
    </w:p>
    <w:p w14:paraId="54A79215" w14:textId="77777777" w:rsidR="005E20E8" w:rsidRDefault="005E20E8">
      <w:pPr>
        <w:spacing w:after="0" w:line="360" w:lineRule="auto"/>
        <w:rPr>
          <w:b/>
        </w:rPr>
      </w:pPr>
    </w:p>
    <w:p w14:paraId="3B9C10BD" w14:textId="08899175" w:rsidR="005E20E8" w:rsidRDefault="00BC5FF1">
      <w:pPr>
        <w:spacing w:after="0" w:line="360" w:lineRule="auto"/>
        <w:rPr>
          <w:b/>
        </w:rPr>
      </w:pPr>
      <w:r>
        <w:t>ASÍ LO RESUELVE, POR </w:t>
      </w:r>
      <w:r>
        <w:rPr>
          <w:b/>
        </w:rPr>
        <w:t>UNANIMIDAD</w:t>
      </w:r>
      <w:r>
        <w:t>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SÉPTIMA SESIÓN ORDINARIA, CELEBRADA EL SEIS DE AGOSTO DE DOS MIL VEINTICINCO, ANTE EL SECRETARIO TÉCNICO DEL PLENO, ALEXIS TAPIA RAMÍREZ.</w:t>
      </w:r>
    </w:p>
    <w:p w14:paraId="6D3AE5B8" w14:textId="77777777" w:rsidR="005E20E8" w:rsidRDefault="005E20E8">
      <w:pPr>
        <w:spacing w:after="0" w:line="360" w:lineRule="auto"/>
      </w:pPr>
    </w:p>
    <w:p w14:paraId="078BB37E" w14:textId="77777777" w:rsidR="005E20E8" w:rsidRDefault="005E20E8">
      <w:pPr>
        <w:spacing w:after="0" w:line="360" w:lineRule="auto"/>
      </w:pPr>
    </w:p>
    <w:p w14:paraId="15718EC4" w14:textId="77777777" w:rsidR="005E20E8" w:rsidRDefault="005E20E8">
      <w:pPr>
        <w:spacing w:after="0" w:line="360" w:lineRule="auto"/>
      </w:pPr>
    </w:p>
    <w:p w14:paraId="407EAC33" w14:textId="77777777" w:rsidR="005E20E8" w:rsidRDefault="005E20E8">
      <w:pPr>
        <w:spacing w:after="0" w:line="360" w:lineRule="auto"/>
      </w:pPr>
    </w:p>
    <w:p w14:paraId="56A106CE" w14:textId="77777777" w:rsidR="005E20E8" w:rsidRDefault="005E20E8">
      <w:pPr>
        <w:spacing w:after="0" w:line="360" w:lineRule="auto"/>
      </w:pPr>
    </w:p>
    <w:p w14:paraId="7A8EE459" w14:textId="77777777" w:rsidR="005E20E8" w:rsidRDefault="005E20E8">
      <w:pPr>
        <w:spacing w:after="0" w:line="360" w:lineRule="auto"/>
      </w:pPr>
    </w:p>
    <w:p w14:paraId="56DB3087" w14:textId="77777777" w:rsidR="005E20E8" w:rsidRDefault="005E20E8">
      <w:pPr>
        <w:spacing w:after="0" w:line="360" w:lineRule="auto"/>
      </w:pPr>
    </w:p>
    <w:p w14:paraId="31E1912C" w14:textId="77777777" w:rsidR="005E20E8" w:rsidRDefault="005E20E8">
      <w:pPr>
        <w:spacing w:after="0" w:line="360" w:lineRule="auto"/>
      </w:pPr>
    </w:p>
    <w:p w14:paraId="358B0E91" w14:textId="77777777" w:rsidR="005E20E8" w:rsidRDefault="005E20E8">
      <w:pPr>
        <w:spacing w:after="0" w:line="360" w:lineRule="auto"/>
      </w:pPr>
    </w:p>
    <w:p w14:paraId="32BA9264" w14:textId="77777777" w:rsidR="005E20E8" w:rsidRDefault="005E20E8">
      <w:pPr>
        <w:spacing w:after="0" w:line="360" w:lineRule="auto"/>
      </w:pPr>
    </w:p>
    <w:p w14:paraId="3A8EC545" w14:textId="77777777" w:rsidR="005E20E8" w:rsidRDefault="005E20E8">
      <w:pPr>
        <w:spacing w:after="0" w:line="360" w:lineRule="auto"/>
      </w:pPr>
    </w:p>
    <w:p w14:paraId="1232B1B9" w14:textId="77777777" w:rsidR="005E20E8" w:rsidRDefault="005E20E8">
      <w:pPr>
        <w:spacing w:after="0" w:line="360" w:lineRule="auto"/>
      </w:pPr>
    </w:p>
    <w:p w14:paraId="3DD8CEE3" w14:textId="77777777" w:rsidR="005E20E8" w:rsidRDefault="005E20E8">
      <w:pPr>
        <w:spacing w:after="0" w:line="360" w:lineRule="auto"/>
      </w:pPr>
    </w:p>
    <w:p w14:paraId="4185BBA6" w14:textId="77777777" w:rsidR="005E20E8" w:rsidRDefault="005E20E8">
      <w:pPr>
        <w:spacing w:after="0" w:line="360" w:lineRule="auto"/>
      </w:pPr>
    </w:p>
    <w:p w14:paraId="427C9956" w14:textId="77777777" w:rsidR="005E20E8" w:rsidRDefault="005E20E8">
      <w:pPr>
        <w:spacing w:after="0" w:line="360" w:lineRule="auto"/>
      </w:pPr>
    </w:p>
    <w:p w14:paraId="41133D67" w14:textId="77777777" w:rsidR="005E20E8" w:rsidRDefault="005E20E8">
      <w:pPr>
        <w:spacing w:after="0" w:line="360" w:lineRule="auto"/>
      </w:pPr>
    </w:p>
    <w:p w14:paraId="1A2764FF" w14:textId="77777777" w:rsidR="005E20E8" w:rsidRDefault="005E20E8">
      <w:pPr>
        <w:spacing w:after="0" w:line="360" w:lineRule="auto"/>
      </w:pPr>
    </w:p>
    <w:p w14:paraId="745A5689" w14:textId="77777777" w:rsidR="005E20E8" w:rsidRDefault="005E20E8">
      <w:pPr>
        <w:spacing w:after="0" w:line="360" w:lineRule="auto"/>
      </w:pPr>
    </w:p>
    <w:p w14:paraId="48B6C60C" w14:textId="77777777" w:rsidR="005E20E8" w:rsidRDefault="005E20E8">
      <w:pPr>
        <w:spacing w:after="0" w:line="360" w:lineRule="auto"/>
      </w:pPr>
    </w:p>
    <w:p w14:paraId="26D89300" w14:textId="77777777" w:rsidR="005E20E8" w:rsidRDefault="005E20E8">
      <w:pPr>
        <w:spacing w:after="0" w:line="360" w:lineRule="auto"/>
      </w:pPr>
    </w:p>
    <w:p w14:paraId="5D8C3C44" w14:textId="77777777" w:rsidR="005E20E8" w:rsidRDefault="005E20E8">
      <w:pPr>
        <w:spacing w:after="0" w:line="360" w:lineRule="auto"/>
      </w:pPr>
    </w:p>
    <w:p w14:paraId="67F0F1AA" w14:textId="77777777" w:rsidR="005E20E8" w:rsidRDefault="005E20E8">
      <w:pPr>
        <w:spacing w:after="0" w:line="360" w:lineRule="auto"/>
      </w:pPr>
    </w:p>
    <w:p w14:paraId="2173F55B" w14:textId="77777777" w:rsidR="005E20E8" w:rsidRDefault="005E20E8">
      <w:pPr>
        <w:spacing w:after="0" w:line="360" w:lineRule="auto"/>
      </w:pPr>
    </w:p>
    <w:p w14:paraId="78985B6D" w14:textId="77777777" w:rsidR="005E20E8" w:rsidRDefault="005E20E8">
      <w:pPr>
        <w:spacing w:after="0" w:line="360" w:lineRule="auto"/>
      </w:pPr>
    </w:p>
    <w:p w14:paraId="07F86DB8" w14:textId="77777777" w:rsidR="005E20E8" w:rsidRDefault="005E20E8">
      <w:pPr>
        <w:pStyle w:val="Ttulo2"/>
        <w:spacing w:before="0" w:after="0"/>
      </w:pPr>
    </w:p>
    <w:sectPr w:rsidR="005E20E8">
      <w:headerReference w:type="even" r:id="rId9"/>
      <w:headerReference w:type="default" r:id="rId10"/>
      <w:footerReference w:type="even" r:id="rId11"/>
      <w:footerReference w:type="default" r:id="rId12"/>
      <w:headerReference w:type="first" r:id="rId13"/>
      <w:footerReference w:type="first" r:id="rId14"/>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134377" w14:textId="77777777" w:rsidR="00ED4FDC" w:rsidRDefault="00ED4FDC">
      <w:pPr>
        <w:spacing w:after="0" w:line="240" w:lineRule="auto"/>
      </w:pPr>
      <w:r>
        <w:separator/>
      </w:r>
    </w:p>
  </w:endnote>
  <w:endnote w:type="continuationSeparator" w:id="0">
    <w:p w14:paraId="3BE85C2B" w14:textId="77777777" w:rsidR="00ED4FDC" w:rsidRDefault="00ED4F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1" w:fontKey="{562B9E62-021E-447B-A25F-D94B7268A2E7}"/>
    <w:embedBold r:id="rId2" w:fontKey="{63A4A765-696E-486D-848C-5FD780A36810}"/>
    <w:embedItalic r:id="rId3" w:fontKey="{6A832C5E-DF7E-4809-AF1F-683323992857}"/>
    <w:embedBoldItalic r:id="rId4" w:fontKey="{702D015B-5083-4D13-8B5D-072CB9F1E337}"/>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5" w:fontKey="{4BF1CEE2-B014-4459-9F39-84939943F745}"/>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AB797C58-7AFE-4CA7-88DE-B42C9E8A8619}"/>
  </w:font>
  <w:font w:name="Georgia">
    <w:panose1 w:val="02040502050405020303"/>
    <w:charset w:val="00"/>
    <w:family w:val="roman"/>
    <w:pitch w:val="variable"/>
    <w:sig w:usb0="00000287" w:usb1="00000000" w:usb2="00000000" w:usb3="00000000" w:csb0="0000009F" w:csb1="00000000"/>
    <w:embedRegular r:id="rId7" w:fontKey="{FFC37408-D73E-4040-B780-6D2427BA7075}"/>
    <w:embedItalic r:id="rId8" w:fontKey="{7A5C4B59-742F-4B51-ACB2-6D46AAAC596C}"/>
  </w:font>
  <w:font w:name="Calibri">
    <w:panose1 w:val="020F0502020204030204"/>
    <w:charset w:val="00"/>
    <w:family w:val="swiss"/>
    <w:pitch w:val="variable"/>
    <w:sig w:usb0="E4002EFF" w:usb1="C200247B" w:usb2="00000009" w:usb3="00000000" w:csb0="000001FF" w:csb1="00000000"/>
    <w:embedRegular r:id="rId9" w:fontKey="{F0B5A76E-0C03-46EF-829F-69CAC90B2D0B}"/>
  </w:font>
  <w:font w:name="Garamond">
    <w:panose1 w:val="02020404030301010803"/>
    <w:charset w:val="00"/>
    <w:family w:val="roman"/>
    <w:pitch w:val="variable"/>
    <w:sig w:usb0="00000287" w:usb1="00000000" w:usb2="00000000" w:usb3="00000000" w:csb0="0000009F" w:csb1="00000000"/>
    <w:embedRegular r:id="rId10" w:fontKey="{3DDEBE6D-4F90-45F6-B6CB-787D129803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BE5494" w14:textId="08F11F68" w:rsidR="005E20E8" w:rsidRDefault="00BC5FF1">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2852F5">
      <w:rPr>
        <w:b/>
        <w:noProof/>
        <w:color w:val="000000"/>
        <w:sz w:val="24"/>
        <w:szCs w:val="24"/>
      </w:rPr>
      <w:t>24</w:t>
    </w:r>
    <w:r>
      <w:rPr>
        <w:b/>
        <w:color w:val="000000"/>
        <w:sz w:val="24"/>
        <w:szCs w:val="24"/>
      </w:rPr>
      <w:fldChar w:fldCharType="end"/>
    </w:r>
  </w:p>
  <w:p w14:paraId="40BF63BE" w14:textId="77777777" w:rsidR="005E20E8" w:rsidRDefault="005E20E8">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9B8ABE" w14:textId="67C952CA" w:rsidR="005E20E8" w:rsidRDefault="00BC5FF1">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F05C9E">
      <w:rPr>
        <w:b/>
        <w:noProof/>
        <w:color w:val="000000"/>
        <w:sz w:val="24"/>
        <w:szCs w:val="24"/>
      </w:rPr>
      <w:t>3</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F05C9E">
      <w:rPr>
        <w:b/>
        <w:noProof/>
        <w:color w:val="000000"/>
        <w:sz w:val="24"/>
        <w:szCs w:val="24"/>
      </w:rPr>
      <w:t>24</w:t>
    </w:r>
    <w:r>
      <w:rPr>
        <w:b/>
        <w:color w:val="000000"/>
        <w:sz w:val="24"/>
        <w:szCs w:val="24"/>
      </w:rPr>
      <w:fldChar w:fldCharType="end"/>
    </w:r>
  </w:p>
  <w:p w14:paraId="392661C2" w14:textId="77777777" w:rsidR="005E20E8" w:rsidRDefault="005E20E8">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9F2328" w14:textId="77777777" w:rsidR="005E20E8" w:rsidRDefault="00BC5FF1">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F05C9E">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F05C9E">
      <w:rPr>
        <w:b/>
        <w:noProof/>
        <w:color w:val="000000"/>
        <w:sz w:val="24"/>
        <w:szCs w:val="24"/>
      </w:rPr>
      <w:t>24</w:t>
    </w:r>
    <w:r>
      <w:rPr>
        <w:b/>
        <w:color w:val="000000"/>
        <w:sz w:val="24"/>
        <w:szCs w:val="24"/>
      </w:rPr>
      <w:fldChar w:fldCharType="end"/>
    </w:r>
  </w:p>
  <w:p w14:paraId="61148DAE" w14:textId="77777777" w:rsidR="005E20E8" w:rsidRDefault="005E20E8">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190A4" w14:textId="77777777" w:rsidR="00ED4FDC" w:rsidRDefault="00ED4FDC">
      <w:pPr>
        <w:spacing w:after="0" w:line="240" w:lineRule="auto"/>
      </w:pPr>
      <w:r>
        <w:separator/>
      </w:r>
    </w:p>
  </w:footnote>
  <w:footnote w:type="continuationSeparator" w:id="0">
    <w:p w14:paraId="07A29B66" w14:textId="77777777" w:rsidR="00ED4FDC" w:rsidRDefault="00ED4F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E242F5" w14:textId="77777777" w:rsidR="005E20E8" w:rsidRDefault="005E20E8">
    <w:pPr>
      <w:widowControl w:val="0"/>
      <w:pBdr>
        <w:top w:val="nil"/>
        <w:left w:val="nil"/>
        <w:bottom w:val="nil"/>
        <w:right w:val="nil"/>
        <w:between w:val="nil"/>
      </w:pBdr>
      <w:spacing w:after="0" w:line="276" w:lineRule="auto"/>
      <w:jc w:val="left"/>
      <w:rPr>
        <w:color w:val="000000"/>
      </w:rPr>
    </w:pPr>
  </w:p>
  <w:tbl>
    <w:tblPr>
      <w:tblStyle w:val="afffffd"/>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5E20E8" w14:paraId="5A393258" w14:textId="77777777">
      <w:trPr>
        <w:trHeight w:val="141"/>
      </w:trPr>
      <w:tc>
        <w:tcPr>
          <w:tcW w:w="2404" w:type="dxa"/>
        </w:tcPr>
        <w:p w14:paraId="1F2F8F0B" w14:textId="77777777" w:rsidR="005E20E8" w:rsidRDefault="00BC5FF1">
          <w:pPr>
            <w:tabs>
              <w:tab w:val="right" w:pos="8838"/>
            </w:tabs>
            <w:ind w:right="-105"/>
            <w:rPr>
              <w:b/>
            </w:rPr>
          </w:pPr>
          <w:r>
            <w:rPr>
              <w:b/>
            </w:rPr>
            <w:t>Recurso de Revisión:</w:t>
          </w:r>
        </w:p>
      </w:tc>
      <w:tc>
        <w:tcPr>
          <w:tcW w:w="3587" w:type="dxa"/>
        </w:tcPr>
        <w:p w14:paraId="7E8F4AE5" w14:textId="77777777" w:rsidR="005E20E8" w:rsidRDefault="00BC5FF1">
          <w:pPr>
            <w:tabs>
              <w:tab w:val="right" w:pos="8838"/>
            </w:tabs>
            <w:ind w:left="-28" w:right="683"/>
          </w:pPr>
          <w:r>
            <w:t>04196/INFOEM/IP/RR/2020</w:t>
          </w:r>
        </w:p>
      </w:tc>
    </w:tr>
    <w:tr w:rsidR="005E20E8" w14:paraId="21CB2BA0" w14:textId="77777777">
      <w:trPr>
        <w:trHeight w:val="276"/>
      </w:trPr>
      <w:tc>
        <w:tcPr>
          <w:tcW w:w="2404" w:type="dxa"/>
        </w:tcPr>
        <w:p w14:paraId="5F4D3D3F" w14:textId="77777777" w:rsidR="005E20E8" w:rsidRDefault="00BC5FF1">
          <w:pPr>
            <w:tabs>
              <w:tab w:val="right" w:pos="8838"/>
            </w:tabs>
            <w:ind w:right="-105"/>
            <w:rPr>
              <w:b/>
            </w:rPr>
          </w:pPr>
          <w:r>
            <w:rPr>
              <w:b/>
            </w:rPr>
            <w:t>Sujeto Obligado:</w:t>
          </w:r>
        </w:p>
      </w:tc>
      <w:tc>
        <w:tcPr>
          <w:tcW w:w="3587" w:type="dxa"/>
        </w:tcPr>
        <w:p w14:paraId="31338D94" w14:textId="77777777" w:rsidR="005E20E8" w:rsidRDefault="00BC5FF1">
          <w:pPr>
            <w:tabs>
              <w:tab w:val="right" w:pos="8838"/>
            </w:tabs>
            <w:ind w:right="116"/>
          </w:pPr>
          <w:r>
            <w:t>Ayuntamiento de Chapultepec</w:t>
          </w:r>
        </w:p>
      </w:tc>
    </w:tr>
    <w:tr w:rsidR="005E20E8" w14:paraId="31E7DDDB" w14:textId="77777777">
      <w:trPr>
        <w:trHeight w:val="276"/>
      </w:trPr>
      <w:tc>
        <w:tcPr>
          <w:tcW w:w="2404" w:type="dxa"/>
        </w:tcPr>
        <w:p w14:paraId="0A557032" w14:textId="77777777" w:rsidR="005E20E8" w:rsidRDefault="00BC5FF1">
          <w:pPr>
            <w:tabs>
              <w:tab w:val="right" w:pos="8838"/>
            </w:tabs>
            <w:ind w:right="-105"/>
            <w:rPr>
              <w:b/>
            </w:rPr>
          </w:pPr>
          <w:r>
            <w:rPr>
              <w:b/>
            </w:rPr>
            <w:t>Comisionado Ponente:</w:t>
          </w:r>
        </w:p>
      </w:tc>
      <w:tc>
        <w:tcPr>
          <w:tcW w:w="3587" w:type="dxa"/>
        </w:tcPr>
        <w:p w14:paraId="0ABDE431" w14:textId="77777777" w:rsidR="005E20E8" w:rsidRDefault="00BC5FF1">
          <w:pPr>
            <w:tabs>
              <w:tab w:val="right" w:pos="8838"/>
            </w:tabs>
            <w:ind w:right="-32"/>
          </w:pPr>
          <w:r>
            <w:t>Luis Gustavo Parra Noriega</w:t>
          </w:r>
        </w:p>
      </w:tc>
    </w:tr>
  </w:tbl>
  <w:p w14:paraId="2736DAED" w14:textId="77777777" w:rsidR="005E20E8" w:rsidRDefault="00F05C9E">
    <w:pPr>
      <w:pBdr>
        <w:top w:val="nil"/>
        <w:left w:val="nil"/>
        <w:bottom w:val="nil"/>
        <w:right w:val="nil"/>
        <w:between w:val="nil"/>
      </w:pBdr>
      <w:tabs>
        <w:tab w:val="center" w:pos="4419"/>
        <w:tab w:val="right" w:pos="8838"/>
      </w:tabs>
      <w:spacing w:after="0" w:line="240" w:lineRule="auto"/>
      <w:rPr>
        <w:color w:val="000000"/>
      </w:rPr>
    </w:pPr>
    <w:r>
      <w:rPr>
        <w:color w:val="000000"/>
      </w:rPr>
      <w:pict w14:anchorId="59606C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7" type="#_x0000_t75" alt="MARCA DE AGUA - HOJA RESOLUCIÓN" style="position:absolute;left:0;text-align:left;margin-left:0;margin-top:0;width:663.5pt;height:12in;z-index:-251657728;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FF1C23" w14:textId="77777777" w:rsidR="005E20E8" w:rsidRDefault="005E20E8">
    <w:pPr>
      <w:rPr>
        <w:sz w:val="16"/>
        <w:szCs w:val="16"/>
      </w:rPr>
    </w:pPr>
  </w:p>
  <w:tbl>
    <w:tblPr>
      <w:tblStyle w:val="afffffe"/>
      <w:tblW w:w="6095"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409"/>
      <w:gridCol w:w="3686"/>
    </w:tblGrid>
    <w:tr w:rsidR="005E20E8" w14:paraId="5080AD22" w14:textId="77777777">
      <w:trPr>
        <w:trHeight w:val="141"/>
      </w:trPr>
      <w:tc>
        <w:tcPr>
          <w:tcW w:w="2409" w:type="dxa"/>
        </w:tcPr>
        <w:p w14:paraId="5FE72CBA" w14:textId="77777777" w:rsidR="005E20E8" w:rsidRDefault="00BC5FF1">
          <w:pPr>
            <w:tabs>
              <w:tab w:val="right" w:pos="8838"/>
            </w:tabs>
            <w:ind w:left="-395" w:right="-105" w:firstLine="395"/>
            <w:rPr>
              <w:b/>
            </w:rPr>
          </w:pPr>
          <w:r>
            <w:rPr>
              <w:b/>
            </w:rPr>
            <w:t>Recurso de Revisión:</w:t>
          </w:r>
        </w:p>
      </w:tc>
      <w:tc>
        <w:tcPr>
          <w:tcW w:w="3686" w:type="dxa"/>
        </w:tcPr>
        <w:p w14:paraId="42ABB662" w14:textId="77777777" w:rsidR="005E20E8" w:rsidRDefault="00BC5FF1">
          <w:pPr>
            <w:tabs>
              <w:tab w:val="right" w:pos="8838"/>
            </w:tabs>
            <w:ind w:right="176"/>
            <w:rPr>
              <w:b/>
            </w:rPr>
          </w:pPr>
          <w:r>
            <w:rPr>
              <w:b/>
            </w:rPr>
            <w:t>06596/INFOEM/AD/RR/2025</w:t>
          </w:r>
        </w:p>
      </w:tc>
    </w:tr>
    <w:tr w:rsidR="005E20E8" w14:paraId="344B984B" w14:textId="77777777">
      <w:trPr>
        <w:trHeight w:val="276"/>
      </w:trPr>
      <w:tc>
        <w:tcPr>
          <w:tcW w:w="2409" w:type="dxa"/>
        </w:tcPr>
        <w:p w14:paraId="737EE1E4" w14:textId="77777777" w:rsidR="005E20E8" w:rsidRDefault="00BC5FF1">
          <w:pPr>
            <w:tabs>
              <w:tab w:val="right" w:pos="8838"/>
            </w:tabs>
            <w:ind w:right="-105"/>
            <w:rPr>
              <w:b/>
            </w:rPr>
          </w:pPr>
          <w:r>
            <w:rPr>
              <w:b/>
            </w:rPr>
            <w:t>Sujeto Obligado:</w:t>
          </w:r>
        </w:p>
      </w:tc>
      <w:tc>
        <w:tcPr>
          <w:tcW w:w="3686" w:type="dxa"/>
        </w:tcPr>
        <w:p w14:paraId="65ACE149" w14:textId="77777777" w:rsidR="005E20E8" w:rsidRDefault="00BC5FF1">
          <w:pPr>
            <w:tabs>
              <w:tab w:val="left" w:pos="3158"/>
              <w:tab w:val="left" w:pos="4292"/>
              <w:tab w:val="right" w:pos="8838"/>
            </w:tabs>
            <w:ind w:right="176"/>
          </w:pPr>
          <w:r>
            <w:t>Instituto de Salud del Estado de México</w:t>
          </w:r>
        </w:p>
      </w:tc>
    </w:tr>
    <w:tr w:rsidR="005E20E8" w14:paraId="48F1F633" w14:textId="77777777">
      <w:trPr>
        <w:trHeight w:val="276"/>
      </w:trPr>
      <w:tc>
        <w:tcPr>
          <w:tcW w:w="2409" w:type="dxa"/>
        </w:tcPr>
        <w:p w14:paraId="531E48DD" w14:textId="77777777" w:rsidR="005E20E8" w:rsidRDefault="00BC5FF1">
          <w:pPr>
            <w:tabs>
              <w:tab w:val="right" w:pos="8838"/>
            </w:tabs>
            <w:ind w:right="-105"/>
            <w:rPr>
              <w:b/>
            </w:rPr>
          </w:pPr>
          <w:r>
            <w:rPr>
              <w:b/>
            </w:rPr>
            <w:t>Comisionado Ponente:</w:t>
          </w:r>
        </w:p>
      </w:tc>
      <w:tc>
        <w:tcPr>
          <w:tcW w:w="3686" w:type="dxa"/>
        </w:tcPr>
        <w:p w14:paraId="4BDE3B66" w14:textId="77777777" w:rsidR="005E20E8" w:rsidRDefault="00BC5FF1">
          <w:pPr>
            <w:tabs>
              <w:tab w:val="right" w:pos="8838"/>
            </w:tabs>
            <w:ind w:right="176"/>
          </w:pPr>
          <w:r>
            <w:t>Luis Gustavo Parra Noriega</w:t>
          </w:r>
        </w:p>
        <w:p w14:paraId="27998E39" w14:textId="77777777" w:rsidR="005E20E8" w:rsidRDefault="005E20E8">
          <w:pPr>
            <w:tabs>
              <w:tab w:val="right" w:pos="8838"/>
            </w:tabs>
            <w:ind w:right="176"/>
          </w:pPr>
        </w:p>
      </w:tc>
    </w:tr>
  </w:tbl>
  <w:p w14:paraId="057EE609" w14:textId="77777777" w:rsidR="005E20E8" w:rsidRDefault="00F05C9E">
    <w:pPr>
      <w:pBdr>
        <w:top w:val="nil"/>
        <w:left w:val="nil"/>
        <w:bottom w:val="nil"/>
        <w:right w:val="nil"/>
        <w:between w:val="nil"/>
      </w:pBdr>
      <w:tabs>
        <w:tab w:val="center" w:pos="4419"/>
        <w:tab w:val="right" w:pos="8838"/>
      </w:tabs>
      <w:spacing w:after="0" w:line="240" w:lineRule="auto"/>
      <w:rPr>
        <w:color w:val="000000"/>
      </w:rPr>
    </w:pPr>
    <w:r>
      <w:rPr>
        <w:color w:val="000000"/>
      </w:rPr>
      <w:pict w14:anchorId="783E8B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MARCA DE AGUA - HOJA RESOLUCIÓN" style="position:absolute;left:0;text-align:left;margin-left:0;margin-top:0;width:663.5pt;height:12in;z-index:-251659776;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0CFD46" w14:textId="77777777" w:rsidR="005E20E8" w:rsidRDefault="00F05C9E">
    <w:pPr>
      <w:widowControl w:val="0"/>
      <w:pBdr>
        <w:top w:val="nil"/>
        <w:left w:val="nil"/>
        <w:bottom w:val="nil"/>
        <w:right w:val="nil"/>
        <w:between w:val="nil"/>
      </w:pBdr>
      <w:spacing w:after="0" w:line="276" w:lineRule="auto"/>
      <w:jc w:val="left"/>
      <w:rPr>
        <w:color w:val="000000"/>
      </w:rPr>
    </w:pPr>
    <w:r>
      <w:rPr>
        <w:color w:val="000000"/>
      </w:rPr>
      <w:pict w14:anchorId="67672D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MARCA DE AGUA - HOJA RESOLUCIÓN" style="position:absolute;margin-left:-97.1pt;margin-top:-123.85pt;width:663.5pt;height:12in;z-index:-251658752;mso-wrap-edited:f;mso-width-percent:0;mso-height-percent:0;mso-position-horizontal:absolute;mso-position-horizontal-relative:margin;mso-position-vertical:absolute;mso-position-vertical-relative:margin;mso-width-percent:0;mso-height-percent:0">
          <v:imagedata r:id="rId1" o:title="image1"/>
          <w10:wrap anchorx="margin" anchory="margin"/>
        </v:shape>
      </w:pict>
    </w:r>
  </w:p>
  <w:tbl>
    <w:tblPr>
      <w:tblStyle w:val="affffff"/>
      <w:tblW w:w="9214" w:type="dxa"/>
      <w:tblInd w:w="0" w:type="dxa"/>
      <w:tblLayout w:type="fixed"/>
      <w:tblLook w:val="0400" w:firstRow="0" w:lastRow="0" w:firstColumn="0" w:lastColumn="0" w:noHBand="0" w:noVBand="1"/>
    </w:tblPr>
    <w:tblGrid>
      <w:gridCol w:w="2127"/>
      <w:gridCol w:w="7087"/>
    </w:tblGrid>
    <w:tr w:rsidR="005E20E8" w14:paraId="49B6AF53" w14:textId="77777777">
      <w:trPr>
        <w:trHeight w:val="1546"/>
      </w:trPr>
      <w:tc>
        <w:tcPr>
          <w:tcW w:w="2127" w:type="dxa"/>
        </w:tcPr>
        <w:p w14:paraId="645D4836" w14:textId="77777777" w:rsidR="005E20E8" w:rsidRDefault="005E20E8">
          <w:pPr>
            <w:tabs>
              <w:tab w:val="right" w:pos="4273"/>
            </w:tabs>
            <w:rPr>
              <w:rFonts w:ascii="Garamond" w:eastAsia="Garamond" w:hAnsi="Garamond" w:cs="Garamond"/>
              <w:sz w:val="16"/>
              <w:szCs w:val="16"/>
            </w:rPr>
          </w:pPr>
        </w:p>
      </w:tc>
      <w:tc>
        <w:tcPr>
          <w:tcW w:w="7087" w:type="dxa"/>
        </w:tcPr>
        <w:p w14:paraId="69A81B07" w14:textId="77777777" w:rsidR="005E20E8" w:rsidRDefault="005E20E8">
          <w:pPr>
            <w:rPr>
              <w:sz w:val="10"/>
              <w:szCs w:val="10"/>
            </w:rPr>
          </w:pPr>
        </w:p>
        <w:tbl>
          <w:tblPr>
            <w:tblStyle w:val="affffff0"/>
            <w:tblW w:w="5911" w:type="dxa"/>
            <w:tblInd w:w="1167" w:type="dxa"/>
            <w:tblLayout w:type="fixed"/>
            <w:tblLook w:val="0400" w:firstRow="0" w:lastRow="0" w:firstColumn="0" w:lastColumn="0" w:noHBand="0" w:noVBand="1"/>
          </w:tblPr>
          <w:tblGrid>
            <w:gridCol w:w="2168"/>
            <w:gridCol w:w="3743"/>
          </w:tblGrid>
          <w:tr w:rsidR="005E20E8" w14:paraId="712694B4" w14:textId="77777777">
            <w:trPr>
              <w:trHeight w:val="472"/>
            </w:trPr>
            <w:tc>
              <w:tcPr>
                <w:tcW w:w="2168" w:type="dxa"/>
                <w:vAlign w:val="bottom"/>
              </w:tcPr>
              <w:p w14:paraId="7121CC75" w14:textId="77777777" w:rsidR="005E20E8" w:rsidRDefault="00BC5FF1">
                <w:pPr>
                  <w:tabs>
                    <w:tab w:val="right" w:pos="8838"/>
                  </w:tabs>
                  <w:ind w:right="-105"/>
                  <w:rPr>
                    <w:b/>
                  </w:rPr>
                </w:pPr>
                <w:r>
                  <w:rPr>
                    <w:b/>
                  </w:rPr>
                  <w:t>Recurso de Revisión:</w:t>
                </w:r>
              </w:p>
            </w:tc>
            <w:tc>
              <w:tcPr>
                <w:tcW w:w="3743" w:type="dxa"/>
              </w:tcPr>
              <w:p w14:paraId="38AD9A71" w14:textId="77777777" w:rsidR="005E20E8" w:rsidRDefault="005E20E8" w:rsidP="00151C53">
                <w:pPr>
                  <w:tabs>
                    <w:tab w:val="right" w:pos="8838"/>
                  </w:tabs>
                  <w:ind w:right="-107"/>
                  <w:rPr>
                    <w:b/>
                  </w:rPr>
                </w:pPr>
              </w:p>
              <w:p w14:paraId="770AB74A" w14:textId="77777777" w:rsidR="005E20E8" w:rsidRDefault="00BC5FF1">
                <w:pPr>
                  <w:tabs>
                    <w:tab w:val="right" w:pos="8838"/>
                  </w:tabs>
                  <w:ind w:left="-28" w:right="-107"/>
                  <w:rPr>
                    <w:b/>
                  </w:rPr>
                </w:pPr>
                <w:r>
                  <w:rPr>
                    <w:b/>
                  </w:rPr>
                  <w:t>06596/INFOEM/AD/RR/2025</w:t>
                </w:r>
              </w:p>
            </w:tc>
          </w:tr>
          <w:tr w:rsidR="005E20E8" w14:paraId="6E2FF0DA" w14:textId="77777777">
            <w:trPr>
              <w:trHeight w:val="156"/>
            </w:trPr>
            <w:tc>
              <w:tcPr>
                <w:tcW w:w="2168" w:type="dxa"/>
              </w:tcPr>
              <w:p w14:paraId="7023C349" w14:textId="77777777" w:rsidR="005E20E8" w:rsidRDefault="00BC5FF1">
                <w:pPr>
                  <w:tabs>
                    <w:tab w:val="right" w:pos="8838"/>
                  </w:tabs>
                  <w:ind w:right="-105"/>
                  <w:rPr>
                    <w:b/>
                  </w:rPr>
                </w:pPr>
                <w:r>
                  <w:rPr>
                    <w:b/>
                  </w:rPr>
                  <w:t>Recurrente:</w:t>
                </w:r>
              </w:p>
            </w:tc>
            <w:tc>
              <w:tcPr>
                <w:tcW w:w="3743" w:type="dxa"/>
              </w:tcPr>
              <w:p w14:paraId="2707B823" w14:textId="09595AD8" w:rsidR="005E20E8" w:rsidRDefault="00F05C9E">
                <w:pPr>
                  <w:tabs>
                    <w:tab w:val="right" w:pos="8838"/>
                  </w:tabs>
                  <w:ind w:right="-107"/>
                </w:pPr>
                <w:r>
                  <w:rPr>
                    <w:b/>
                    <w:highlight w:val="black"/>
                  </w:rPr>
                  <w:t>XXXXXXXXXXXXXXXXXXXX</w:t>
                </w:r>
              </w:p>
            </w:tc>
          </w:tr>
          <w:tr w:rsidR="005E20E8" w14:paraId="6B4CDEEC" w14:textId="77777777">
            <w:trPr>
              <w:trHeight w:val="305"/>
            </w:trPr>
            <w:tc>
              <w:tcPr>
                <w:tcW w:w="2168" w:type="dxa"/>
              </w:tcPr>
              <w:p w14:paraId="4037C8BE" w14:textId="77777777" w:rsidR="005E20E8" w:rsidRDefault="00BC5FF1">
                <w:pPr>
                  <w:tabs>
                    <w:tab w:val="right" w:pos="8838"/>
                  </w:tabs>
                  <w:ind w:right="-105"/>
                  <w:rPr>
                    <w:b/>
                  </w:rPr>
                </w:pPr>
                <w:r>
                  <w:rPr>
                    <w:b/>
                  </w:rPr>
                  <w:t>Sujeto Obligado:</w:t>
                </w:r>
              </w:p>
            </w:tc>
            <w:tc>
              <w:tcPr>
                <w:tcW w:w="3743" w:type="dxa"/>
              </w:tcPr>
              <w:p w14:paraId="371CEA14" w14:textId="77777777" w:rsidR="005E20E8" w:rsidRDefault="00BC5FF1">
                <w:pPr>
                  <w:tabs>
                    <w:tab w:val="right" w:pos="8838"/>
                  </w:tabs>
                  <w:ind w:right="33"/>
                </w:pPr>
                <w:r>
                  <w:t>Instituto de Salud del Estado de México</w:t>
                </w:r>
              </w:p>
            </w:tc>
          </w:tr>
          <w:tr w:rsidR="005E20E8" w14:paraId="7D527569" w14:textId="77777777">
            <w:trPr>
              <w:trHeight w:val="305"/>
            </w:trPr>
            <w:tc>
              <w:tcPr>
                <w:tcW w:w="2168" w:type="dxa"/>
              </w:tcPr>
              <w:p w14:paraId="7F1105E2" w14:textId="77777777" w:rsidR="005E20E8" w:rsidRDefault="00BC5FF1">
                <w:pPr>
                  <w:tabs>
                    <w:tab w:val="right" w:pos="8838"/>
                  </w:tabs>
                  <w:ind w:right="-105"/>
                  <w:rPr>
                    <w:b/>
                  </w:rPr>
                </w:pPr>
                <w:r>
                  <w:rPr>
                    <w:b/>
                  </w:rPr>
                  <w:t>Comisionado Ponente:</w:t>
                </w:r>
              </w:p>
            </w:tc>
            <w:tc>
              <w:tcPr>
                <w:tcW w:w="3743" w:type="dxa"/>
              </w:tcPr>
              <w:p w14:paraId="4B1B9C92" w14:textId="77777777" w:rsidR="005E20E8" w:rsidRDefault="00BC5FF1">
                <w:pPr>
                  <w:tabs>
                    <w:tab w:val="right" w:pos="8838"/>
                  </w:tabs>
                  <w:ind w:right="-107"/>
                </w:pPr>
                <w:r>
                  <w:t>Luis Gustavo Parra Noriega</w:t>
                </w:r>
              </w:p>
            </w:tc>
          </w:tr>
        </w:tbl>
        <w:p w14:paraId="5F6F3E52" w14:textId="77777777" w:rsidR="005E20E8" w:rsidRDefault="005E20E8">
          <w:pPr>
            <w:tabs>
              <w:tab w:val="right" w:pos="8838"/>
            </w:tabs>
            <w:ind w:left="-28"/>
            <w:rPr>
              <w:rFonts w:ascii="Arial" w:eastAsia="Arial" w:hAnsi="Arial" w:cs="Arial"/>
              <w:b/>
            </w:rPr>
          </w:pPr>
        </w:p>
      </w:tc>
    </w:tr>
  </w:tbl>
  <w:p w14:paraId="0070CD56" w14:textId="77777777" w:rsidR="005E20E8" w:rsidRDefault="005E20E8">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F0655"/>
    <w:multiLevelType w:val="multilevel"/>
    <w:tmpl w:val="3436447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96C7F9A"/>
    <w:multiLevelType w:val="multilevel"/>
    <w:tmpl w:val="37202E1C"/>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99A581C"/>
    <w:multiLevelType w:val="multilevel"/>
    <w:tmpl w:val="D39CAC66"/>
    <w:lvl w:ilvl="0">
      <w:start w:val="3"/>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659438E"/>
    <w:multiLevelType w:val="multilevel"/>
    <w:tmpl w:val="C5108390"/>
    <w:lvl w:ilvl="0">
      <w:start w:val="1"/>
      <w:numFmt w:val="decimal"/>
      <w:pStyle w:val="Listaconvietas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3EE46D6D"/>
    <w:multiLevelType w:val="multilevel"/>
    <w:tmpl w:val="92AAF54C"/>
    <w:lvl w:ilvl="0">
      <w:start w:val="6"/>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34A7BBA"/>
    <w:multiLevelType w:val="multilevel"/>
    <w:tmpl w:val="9FAABBFE"/>
    <w:lvl w:ilvl="0">
      <w:start w:val="1"/>
      <w:numFmt w:val="upperRoman"/>
      <w:lvlText w:val="%1."/>
      <w:lvlJc w:val="right"/>
      <w:pPr>
        <w:ind w:left="720" w:hanging="360"/>
      </w:pPr>
      <w:rPr>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4"/>
  </w:num>
  <w:num w:numId="3">
    <w:abstractNumId w:val="0"/>
  </w:num>
  <w:num w:numId="4">
    <w:abstractNumId w:val="5"/>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20E8"/>
    <w:rsid w:val="001051B1"/>
    <w:rsid w:val="00151C53"/>
    <w:rsid w:val="002852F5"/>
    <w:rsid w:val="002A560C"/>
    <w:rsid w:val="003140C2"/>
    <w:rsid w:val="005E20E8"/>
    <w:rsid w:val="00830BE8"/>
    <w:rsid w:val="00B6431D"/>
    <w:rsid w:val="00BC5FF1"/>
    <w:rsid w:val="00C17E86"/>
    <w:rsid w:val="00D63D55"/>
    <w:rsid w:val="00E2139F"/>
    <w:rsid w:val="00E6268C"/>
    <w:rsid w:val="00ED0BF3"/>
    <w:rsid w:val="00ED4FDC"/>
    <w:rsid w:val="00F05C9E"/>
    <w:rsid w:val="00F55D6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04FD5F"/>
  <w15:docId w15:val="{4B6AEC83-2DB5-484E-B58E-D143FF402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ES_tradnl"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line="360" w:lineRule="auto"/>
      <w:jc w:val="center"/>
      <w:outlineLvl w:val="0"/>
    </w:pPr>
    <w:rPr>
      <w:b/>
      <w:sz w:val="24"/>
      <w:szCs w:val="24"/>
    </w:rPr>
  </w:style>
  <w:style w:type="paragraph" w:styleId="Ttulo2">
    <w:name w:val="heading 2"/>
    <w:basedOn w:val="Normal"/>
    <w:next w:val="Normal"/>
    <w:uiPriority w:val="9"/>
    <w:unhideWhenUsed/>
    <w:qFormat/>
    <w:pPr>
      <w:keepNext/>
      <w:keepLines/>
      <w:spacing w:before="360" w:after="80" w:line="360" w:lineRule="auto"/>
      <w:jc w:val="left"/>
      <w:outlineLvl w:val="1"/>
    </w:pPr>
    <w:rPr>
      <w:b/>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qFormat/>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table" w:customStyle="1" w:styleId="a">
    <w:basedOn w:val="TableNormalf1"/>
    <w:pPr>
      <w:spacing w:after="0" w:line="240" w:lineRule="auto"/>
    </w:pPr>
    <w:tblPr>
      <w:tblStyleRowBandSize w:val="1"/>
      <w:tblStyleColBandSize w:val="1"/>
      <w:tblCellMar>
        <w:left w:w="108" w:type="dxa"/>
        <w:right w:w="108" w:type="dxa"/>
      </w:tblCellMar>
    </w:tblPr>
  </w:style>
  <w:style w:type="table" w:customStyle="1" w:styleId="a0">
    <w:basedOn w:val="TableNormalf1"/>
    <w:pPr>
      <w:spacing w:after="0" w:line="240" w:lineRule="auto"/>
    </w:pPr>
    <w:tblPr>
      <w:tblStyleRowBandSize w:val="1"/>
      <w:tblStyleColBandSize w:val="1"/>
      <w:tblCellMar>
        <w:left w:w="108" w:type="dxa"/>
        <w:right w:w="108" w:type="dxa"/>
      </w:tblCellMar>
    </w:tblPr>
  </w:style>
  <w:style w:type="table" w:customStyle="1" w:styleId="a1">
    <w:basedOn w:val="TableNormalf1"/>
    <w:tblPr>
      <w:tblStyleRowBandSize w:val="1"/>
      <w:tblStyleColBandSize w:val="1"/>
      <w:tblCellMar>
        <w:left w:w="115" w:type="dxa"/>
        <w:right w:w="115" w:type="dxa"/>
      </w:tblCellMar>
    </w:tblPr>
  </w:style>
  <w:style w:type="table" w:customStyle="1" w:styleId="a2">
    <w:basedOn w:val="TableNormalf1"/>
    <w:pPr>
      <w:spacing w:after="0" w:line="240" w:lineRule="auto"/>
    </w:pPr>
    <w:tblPr>
      <w:tblStyleRowBandSize w:val="1"/>
      <w:tblStyleColBandSize w:val="1"/>
      <w:tblCellMar>
        <w:left w:w="108" w:type="dxa"/>
        <w:right w:w="108" w:type="dxa"/>
      </w:tblCellMar>
    </w:tblPr>
  </w:style>
  <w:style w:type="paragraph" w:styleId="TtulodeTDC">
    <w:name w:val="TOC Heading"/>
    <w:next w:val="Normal"/>
    <w:uiPriority w:val="39"/>
    <w:unhideWhenUsed/>
    <w:qFormat/>
    <w:rsid w:val="00A50615"/>
    <w:pPr>
      <w:spacing w:before="240" w:after="0"/>
      <w:jc w:val="left"/>
    </w:pPr>
    <w:rPr>
      <w:rFonts w:asciiTheme="majorHAnsi" w:eastAsiaTheme="majorEastAsia" w:hAnsiTheme="majorHAnsi" w:cstheme="majorBidi"/>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f1"/>
    <w:pPr>
      <w:spacing w:after="0" w:line="240" w:lineRule="auto"/>
    </w:pPr>
    <w:tblPr>
      <w:tblStyleRowBandSize w:val="1"/>
      <w:tblStyleColBandSize w:val="1"/>
      <w:tblCellMar>
        <w:left w:w="108" w:type="dxa"/>
        <w:right w:w="108" w:type="dxa"/>
      </w:tblCellMar>
    </w:tblPr>
  </w:style>
  <w:style w:type="table" w:customStyle="1" w:styleId="a4">
    <w:basedOn w:val="TableNormalf1"/>
    <w:pPr>
      <w:spacing w:after="0" w:line="240" w:lineRule="auto"/>
    </w:pPr>
    <w:tblPr>
      <w:tblStyleRowBandSize w:val="1"/>
      <w:tblStyleColBandSize w:val="1"/>
      <w:tblCellMar>
        <w:left w:w="108" w:type="dxa"/>
        <w:right w:w="108" w:type="dxa"/>
      </w:tblCellMar>
    </w:tblPr>
  </w:style>
  <w:style w:type="table" w:customStyle="1" w:styleId="a5">
    <w:basedOn w:val="TableNormalf1"/>
    <w:pPr>
      <w:spacing w:after="0" w:line="240" w:lineRule="auto"/>
    </w:pPr>
    <w:tblPr>
      <w:tblStyleRowBandSize w:val="1"/>
      <w:tblStyleColBandSize w:val="1"/>
      <w:tblCellMar>
        <w:left w:w="108" w:type="dxa"/>
        <w:right w:w="108" w:type="dxa"/>
      </w:tblCellMar>
    </w:tblPr>
  </w:style>
  <w:style w:type="table" w:customStyle="1" w:styleId="a6">
    <w:basedOn w:val="TableNormalf1"/>
    <w:pPr>
      <w:spacing w:after="0" w:line="240" w:lineRule="auto"/>
    </w:pPr>
    <w:tblPr>
      <w:tblStyleRowBandSize w:val="1"/>
      <w:tblStyleColBandSize w:val="1"/>
      <w:tblCellMar>
        <w:left w:w="108" w:type="dxa"/>
        <w:right w:w="108" w:type="dxa"/>
      </w:tblCellMar>
    </w:tblPr>
  </w:style>
  <w:style w:type="table" w:customStyle="1" w:styleId="a7">
    <w:basedOn w:val="TableNormalf0"/>
    <w:pPr>
      <w:spacing w:after="0" w:line="240" w:lineRule="auto"/>
    </w:pPr>
    <w:tblPr>
      <w:tblStyleRowBandSize w:val="1"/>
      <w:tblStyleColBandSize w:val="1"/>
      <w:tblCellMar>
        <w:left w:w="108" w:type="dxa"/>
        <w:right w:w="108" w:type="dxa"/>
      </w:tblCellMar>
    </w:tblPr>
  </w:style>
  <w:style w:type="table" w:customStyle="1" w:styleId="a8">
    <w:basedOn w:val="TableNormalf0"/>
    <w:pPr>
      <w:spacing w:after="0" w:line="240" w:lineRule="auto"/>
    </w:pPr>
    <w:tblPr>
      <w:tblStyleRowBandSize w:val="1"/>
      <w:tblStyleColBandSize w:val="1"/>
      <w:tblCellMar>
        <w:left w:w="108" w:type="dxa"/>
        <w:right w:w="108" w:type="dxa"/>
      </w:tblCellMar>
    </w:tblPr>
  </w:style>
  <w:style w:type="table" w:customStyle="1" w:styleId="a9">
    <w:basedOn w:val="TableNormalf0"/>
    <w:pPr>
      <w:spacing w:after="0" w:line="240" w:lineRule="auto"/>
    </w:pPr>
    <w:tblPr>
      <w:tblStyleRowBandSize w:val="1"/>
      <w:tblStyleColBandSize w:val="1"/>
      <w:tblCellMar>
        <w:left w:w="108" w:type="dxa"/>
        <w:right w:w="108" w:type="dxa"/>
      </w:tblCellMar>
    </w:tblPr>
  </w:style>
  <w:style w:type="table" w:customStyle="1" w:styleId="aa">
    <w:basedOn w:val="TableNormalf0"/>
    <w:pPr>
      <w:spacing w:after="0" w:line="240" w:lineRule="auto"/>
    </w:pPr>
    <w:tblPr>
      <w:tblStyleRowBandSize w:val="1"/>
      <w:tblStyleColBandSize w:val="1"/>
      <w:tblCellMar>
        <w:left w:w="108" w:type="dxa"/>
        <w:right w:w="108" w:type="dxa"/>
      </w:tblCellMar>
    </w:tblPr>
  </w:style>
  <w:style w:type="table" w:customStyle="1" w:styleId="ab">
    <w:basedOn w:val="TableNormalf"/>
    <w:pPr>
      <w:spacing w:after="0" w:line="240" w:lineRule="auto"/>
    </w:pPr>
    <w:tblPr>
      <w:tblStyleRowBandSize w:val="1"/>
      <w:tblStyleColBandSize w:val="1"/>
      <w:tblCellMar>
        <w:left w:w="108" w:type="dxa"/>
        <w:right w:w="108" w:type="dxa"/>
      </w:tblCellMar>
    </w:tblPr>
  </w:style>
  <w:style w:type="table" w:customStyle="1" w:styleId="ac">
    <w:basedOn w:val="TableNormalf"/>
    <w:pPr>
      <w:spacing w:after="0" w:line="240" w:lineRule="auto"/>
    </w:pPr>
    <w:tblPr>
      <w:tblStyleRowBandSize w:val="1"/>
      <w:tblStyleColBandSize w:val="1"/>
      <w:tblCellMar>
        <w:left w:w="108" w:type="dxa"/>
        <w:right w:w="108" w:type="dxa"/>
      </w:tblCellMar>
    </w:tblPr>
  </w:style>
  <w:style w:type="table" w:customStyle="1" w:styleId="ad">
    <w:basedOn w:val="TableNormalf"/>
    <w:pPr>
      <w:spacing w:after="0" w:line="240" w:lineRule="auto"/>
    </w:pPr>
    <w:tblPr>
      <w:tblStyleRowBandSize w:val="1"/>
      <w:tblStyleColBandSize w:val="1"/>
      <w:tblCellMar>
        <w:left w:w="108" w:type="dxa"/>
        <w:right w:w="108" w:type="dxa"/>
      </w:tblCellMar>
    </w:tblPr>
  </w:style>
  <w:style w:type="table" w:customStyle="1" w:styleId="ae">
    <w:basedOn w:val="TableNormalf"/>
    <w:pPr>
      <w:spacing w:after="0" w:line="240" w:lineRule="auto"/>
    </w:pPr>
    <w:tblPr>
      <w:tblStyleRowBandSize w:val="1"/>
      <w:tblStyleColBandSize w:val="1"/>
      <w:tblCellMar>
        <w:left w:w="108" w:type="dxa"/>
        <w:right w:w="108" w:type="dxa"/>
      </w:tblCellMar>
    </w:tblPr>
  </w:style>
  <w:style w:type="table" w:customStyle="1" w:styleId="af">
    <w:basedOn w:val="TableNormale"/>
    <w:pPr>
      <w:spacing w:after="0" w:line="240" w:lineRule="auto"/>
    </w:pPr>
    <w:tblPr>
      <w:tblStyleRowBandSize w:val="1"/>
      <w:tblStyleColBandSize w:val="1"/>
      <w:tblCellMar>
        <w:left w:w="108" w:type="dxa"/>
        <w:right w:w="108" w:type="dxa"/>
      </w:tblCellMar>
    </w:tblPr>
  </w:style>
  <w:style w:type="table" w:customStyle="1" w:styleId="af0">
    <w:basedOn w:val="TableNormale"/>
    <w:pPr>
      <w:spacing w:after="0" w:line="240" w:lineRule="auto"/>
    </w:pPr>
    <w:tblPr>
      <w:tblStyleRowBandSize w:val="1"/>
      <w:tblStyleColBandSize w:val="1"/>
      <w:tblCellMar>
        <w:left w:w="108" w:type="dxa"/>
        <w:right w:w="108" w:type="dxa"/>
      </w:tblCellMar>
    </w:tblPr>
  </w:style>
  <w:style w:type="table" w:customStyle="1" w:styleId="af1">
    <w:basedOn w:val="TableNormale"/>
    <w:pPr>
      <w:spacing w:after="0" w:line="240" w:lineRule="auto"/>
    </w:pPr>
    <w:tblPr>
      <w:tblStyleRowBandSize w:val="1"/>
      <w:tblStyleColBandSize w:val="1"/>
      <w:tblCellMar>
        <w:left w:w="108" w:type="dxa"/>
        <w:right w:w="108" w:type="dxa"/>
      </w:tblCellMar>
    </w:tblPr>
  </w:style>
  <w:style w:type="table" w:customStyle="1" w:styleId="af2">
    <w:basedOn w:val="TableNormale"/>
    <w:pPr>
      <w:spacing w:after="0" w:line="240" w:lineRule="auto"/>
    </w:pPr>
    <w:tblPr>
      <w:tblStyleRowBandSize w:val="1"/>
      <w:tblStyleColBandSize w:val="1"/>
      <w:tblCellMar>
        <w:left w:w="108" w:type="dxa"/>
        <w:right w:w="108" w:type="dxa"/>
      </w:tblCellMar>
    </w:tblPr>
  </w:style>
  <w:style w:type="table" w:customStyle="1" w:styleId="af3">
    <w:basedOn w:val="TableNormald"/>
    <w:pPr>
      <w:spacing w:after="0" w:line="240" w:lineRule="auto"/>
    </w:pPr>
    <w:tblPr>
      <w:tblStyleRowBandSize w:val="1"/>
      <w:tblStyleColBandSize w:val="1"/>
      <w:tblCellMar>
        <w:left w:w="108" w:type="dxa"/>
        <w:right w:w="108" w:type="dxa"/>
      </w:tblCellMar>
    </w:tblPr>
  </w:style>
  <w:style w:type="table" w:customStyle="1" w:styleId="af4">
    <w:basedOn w:val="TableNormald"/>
    <w:pPr>
      <w:spacing w:after="0" w:line="240" w:lineRule="auto"/>
    </w:pPr>
    <w:tblPr>
      <w:tblStyleRowBandSize w:val="1"/>
      <w:tblStyleColBandSize w:val="1"/>
      <w:tblCellMar>
        <w:left w:w="108" w:type="dxa"/>
        <w:right w:w="108" w:type="dxa"/>
      </w:tblCellMar>
    </w:tblPr>
  </w:style>
  <w:style w:type="table" w:customStyle="1" w:styleId="af5">
    <w:basedOn w:val="TableNormald"/>
    <w:pPr>
      <w:spacing w:after="0" w:line="240" w:lineRule="auto"/>
    </w:pPr>
    <w:tblPr>
      <w:tblStyleRowBandSize w:val="1"/>
      <w:tblStyleColBandSize w:val="1"/>
      <w:tblCellMar>
        <w:left w:w="108" w:type="dxa"/>
        <w:right w:w="108" w:type="dxa"/>
      </w:tblCellMar>
    </w:tblPr>
  </w:style>
  <w:style w:type="table" w:customStyle="1" w:styleId="af6">
    <w:basedOn w:val="TableNormald"/>
    <w:pPr>
      <w:spacing w:after="0" w:line="240" w:lineRule="auto"/>
    </w:pPr>
    <w:tblPr>
      <w:tblStyleRowBandSize w:val="1"/>
      <w:tblStyleColBandSize w:val="1"/>
      <w:tblCellMar>
        <w:left w:w="108" w:type="dxa"/>
        <w:right w:w="108" w:type="dxa"/>
      </w:tblCellMar>
    </w:tblPr>
  </w:style>
  <w:style w:type="table" w:customStyle="1" w:styleId="af7">
    <w:basedOn w:val="TableNormalc"/>
    <w:pPr>
      <w:spacing w:after="0" w:line="240" w:lineRule="auto"/>
    </w:pPr>
    <w:tblPr>
      <w:tblStyleRowBandSize w:val="1"/>
      <w:tblStyleColBandSize w:val="1"/>
      <w:tblCellMar>
        <w:left w:w="108" w:type="dxa"/>
        <w:right w:w="108" w:type="dxa"/>
      </w:tblCellMar>
    </w:tblPr>
  </w:style>
  <w:style w:type="table" w:customStyle="1" w:styleId="af8">
    <w:basedOn w:val="TableNormalc"/>
    <w:pPr>
      <w:spacing w:after="0" w:line="240" w:lineRule="auto"/>
    </w:pPr>
    <w:tblPr>
      <w:tblStyleRowBandSize w:val="1"/>
      <w:tblStyleColBandSize w:val="1"/>
      <w:tblCellMar>
        <w:left w:w="108" w:type="dxa"/>
        <w:right w:w="108" w:type="dxa"/>
      </w:tblCellMar>
    </w:tblPr>
  </w:style>
  <w:style w:type="table" w:customStyle="1" w:styleId="af9">
    <w:basedOn w:val="TableNormalc"/>
    <w:pPr>
      <w:spacing w:after="0" w:line="240" w:lineRule="auto"/>
    </w:pPr>
    <w:tblPr>
      <w:tblStyleRowBandSize w:val="1"/>
      <w:tblStyleColBandSize w:val="1"/>
      <w:tblCellMar>
        <w:left w:w="108" w:type="dxa"/>
        <w:right w:w="108" w:type="dxa"/>
      </w:tblCellMar>
    </w:tblPr>
  </w:style>
  <w:style w:type="table" w:customStyle="1" w:styleId="afa">
    <w:basedOn w:val="TableNormalc"/>
    <w:pPr>
      <w:spacing w:after="0" w:line="240" w:lineRule="auto"/>
    </w:pPr>
    <w:tblPr>
      <w:tblStyleRowBandSize w:val="1"/>
      <w:tblStyleColBandSize w:val="1"/>
      <w:tblCellMar>
        <w:left w:w="108" w:type="dxa"/>
        <w:right w:w="108" w:type="dxa"/>
      </w:tblCellMar>
    </w:tblPr>
  </w:style>
  <w:style w:type="table" w:customStyle="1" w:styleId="afb">
    <w:basedOn w:val="TableNormalb"/>
    <w:pPr>
      <w:spacing w:after="0" w:line="240" w:lineRule="auto"/>
    </w:pPr>
    <w:tblPr>
      <w:tblStyleRowBandSize w:val="1"/>
      <w:tblStyleColBandSize w:val="1"/>
      <w:tblCellMar>
        <w:left w:w="108" w:type="dxa"/>
        <w:right w:w="108" w:type="dxa"/>
      </w:tblCellMar>
    </w:tblPr>
  </w:style>
  <w:style w:type="table" w:customStyle="1" w:styleId="afc">
    <w:basedOn w:val="TableNormalb"/>
    <w:pPr>
      <w:spacing w:after="0" w:line="240" w:lineRule="auto"/>
    </w:pPr>
    <w:tblPr>
      <w:tblStyleRowBandSize w:val="1"/>
      <w:tblStyleColBandSize w:val="1"/>
      <w:tblCellMar>
        <w:left w:w="108" w:type="dxa"/>
        <w:right w:w="108" w:type="dxa"/>
      </w:tblCellMar>
    </w:tblPr>
  </w:style>
  <w:style w:type="table" w:customStyle="1" w:styleId="afd">
    <w:basedOn w:val="TableNormalb"/>
    <w:pPr>
      <w:spacing w:after="0" w:line="240" w:lineRule="auto"/>
    </w:pPr>
    <w:tblPr>
      <w:tblStyleRowBandSize w:val="1"/>
      <w:tblStyleColBandSize w:val="1"/>
      <w:tblCellMar>
        <w:left w:w="108" w:type="dxa"/>
        <w:right w:w="108" w:type="dxa"/>
      </w:tblCellMar>
    </w:tblPr>
  </w:style>
  <w:style w:type="table" w:customStyle="1" w:styleId="afe">
    <w:basedOn w:val="TableNormalb"/>
    <w:pPr>
      <w:spacing w:after="0" w:line="240" w:lineRule="auto"/>
    </w:pPr>
    <w:tblPr>
      <w:tblStyleRowBandSize w:val="1"/>
      <w:tblStyleColBandSize w:val="1"/>
      <w:tblCellMar>
        <w:left w:w="108" w:type="dxa"/>
        <w:right w:w="108" w:type="dxa"/>
      </w:tblCellMar>
    </w:tblPr>
  </w:style>
  <w:style w:type="table" w:customStyle="1" w:styleId="aff">
    <w:basedOn w:val="TableNormala"/>
    <w:pPr>
      <w:spacing w:after="0" w:line="240" w:lineRule="auto"/>
    </w:pPr>
    <w:tblPr>
      <w:tblStyleRowBandSize w:val="1"/>
      <w:tblStyleColBandSize w:val="1"/>
      <w:tblCellMar>
        <w:left w:w="108" w:type="dxa"/>
        <w:right w:w="108" w:type="dxa"/>
      </w:tblCellMar>
    </w:tblPr>
  </w:style>
  <w:style w:type="table" w:customStyle="1" w:styleId="aff0">
    <w:basedOn w:val="TableNormala"/>
    <w:pPr>
      <w:spacing w:after="0" w:line="240" w:lineRule="auto"/>
    </w:pPr>
    <w:tblPr>
      <w:tblStyleRowBandSize w:val="1"/>
      <w:tblStyleColBandSize w:val="1"/>
      <w:tblCellMar>
        <w:left w:w="108" w:type="dxa"/>
        <w:right w:w="108" w:type="dxa"/>
      </w:tblCellMar>
    </w:tblPr>
  </w:style>
  <w:style w:type="table" w:customStyle="1" w:styleId="aff1">
    <w:basedOn w:val="TableNormala"/>
    <w:pPr>
      <w:spacing w:after="0" w:line="240" w:lineRule="auto"/>
    </w:pPr>
    <w:tblPr>
      <w:tblStyleRowBandSize w:val="1"/>
      <w:tblStyleColBandSize w:val="1"/>
      <w:tblCellMar>
        <w:left w:w="108" w:type="dxa"/>
        <w:right w:w="108" w:type="dxa"/>
      </w:tblCellMar>
    </w:tblPr>
  </w:style>
  <w:style w:type="table" w:customStyle="1" w:styleId="aff2">
    <w:basedOn w:val="TableNormala"/>
    <w:pPr>
      <w:spacing w:after="0" w:line="240" w:lineRule="auto"/>
    </w:pPr>
    <w:tblPr>
      <w:tblStyleRowBandSize w:val="1"/>
      <w:tblStyleColBandSize w:val="1"/>
      <w:tblCellMar>
        <w:left w:w="108" w:type="dxa"/>
        <w:right w:w="108" w:type="dxa"/>
      </w:tblCellMar>
    </w:tblPr>
  </w:style>
  <w:style w:type="table" w:customStyle="1" w:styleId="aff3">
    <w:basedOn w:val="TableNormal9"/>
    <w:pPr>
      <w:spacing w:after="0" w:line="240" w:lineRule="auto"/>
    </w:pPr>
    <w:tblPr>
      <w:tblStyleRowBandSize w:val="1"/>
      <w:tblStyleColBandSize w:val="1"/>
      <w:tblCellMar>
        <w:left w:w="108" w:type="dxa"/>
        <w:right w:w="108" w:type="dxa"/>
      </w:tblCellMar>
    </w:tblPr>
  </w:style>
  <w:style w:type="table" w:customStyle="1" w:styleId="aff4">
    <w:basedOn w:val="TableNormal9"/>
    <w:pPr>
      <w:spacing w:after="0" w:line="240" w:lineRule="auto"/>
    </w:pPr>
    <w:tblPr>
      <w:tblStyleRowBandSize w:val="1"/>
      <w:tblStyleColBandSize w:val="1"/>
      <w:tblCellMar>
        <w:left w:w="108" w:type="dxa"/>
        <w:right w:w="108" w:type="dxa"/>
      </w:tblCellMar>
    </w:tblPr>
  </w:style>
  <w:style w:type="table" w:customStyle="1" w:styleId="aff5">
    <w:basedOn w:val="TableNormal9"/>
    <w:pPr>
      <w:spacing w:after="0" w:line="240" w:lineRule="auto"/>
    </w:pPr>
    <w:tblPr>
      <w:tblStyleRowBandSize w:val="1"/>
      <w:tblStyleColBandSize w:val="1"/>
      <w:tblCellMar>
        <w:left w:w="108" w:type="dxa"/>
        <w:right w:w="108" w:type="dxa"/>
      </w:tblCellMar>
    </w:tblPr>
  </w:style>
  <w:style w:type="table" w:customStyle="1" w:styleId="aff6">
    <w:basedOn w:val="TableNormal9"/>
    <w:pPr>
      <w:spacing w:after="0" w:line="240" w:lineRule="auto"/>
    </w:pPr>
    <w:tblPr>
      <w:tblStyleRowBandSize w:val="1"/>
      <w:tblStyleColBandSize w:val="1"/>
      <w:tblCellMar>
        <w:left w:w="108" w:type="dxa"/>
        <w:right w:w="108" w:type="dxa"/>
      </w:tblCellMar>
    </w:tblPr>
  </w:style>
  <w:style w:type="table" w:customStyle="1" w:styleId="aff7">
    <w:basedOn w:val="TableNormal8"/>
    <w:pPr>
      <w:spacing w:after="0" w:line="240" w:lineRule="auto"/>
    </w:pPr>
    <w:tblPr>
      <w:tblStyleRowBandSize w:val="1"/>
      <w:tblStyleColBandSize w:val="1"/>
      <w:tblCellMar>
        <w:left w:w="108" w:type="dxa"/>
        <w:right w:w="108" w:type="dxa"/>
      </w:tblCellMar>
    </w:tblPr>
  </w:style>
  <w:style w:type="table" w:customStyle="1" w:styleId="aff8">
    <w:basedOn w:val="TableNormal8"/>
    <w:pPr>
      <w:spacing w:after="0" w:line="240" w:lineRule="auto"/>
    </w:pPr>
    <w:tblPr>
      <w:tblStyleRowBandSize w:val="1"/>
      <w:tblStyleColBandSize w:val="1"/>
      <w:tblCellMar>
        <w:left w:w="108" w:type="dxa"/>
        <w:right w:w="108" w:type="dxa"/>
      </w:tblCellMar>
    </w:tblPr>
  </w:style>
  <w:style w:type="table" w:customStyle="1" w:styleId="aff9">
    <w:basedOn w:val="TableNormal8"/>
    <w:pPr>
      <w:spacing w:after="0" w:line="240" w:lineRule="auto"/>
    </w:pPr>
    <w:tblPr>
      <w:tblStyleRowBandSize w:val="1"/>
      <w:tblStyleColBandSize w:val="1"/>
      <w:tblCellMar>
        <w:left w:w="108" w:type="dxa"/>
        <w:right w:w="108" w:type="dxa"/>
      </w:tblCellMar>
    </w:tblPr>
  </w:style>
  <w:style w:type="table" w:customStyle="1" w:styleId="affa">
    <w:basedOn w:val="TableNormal8"/>
    <w:pPr>
      <w:spacing w:after="0" w:line="240" w:lineRule="auto"/>
    </w:pPr>
    <w:tblPr>
      <w:tblStyleRowBandSize w:val="1"/>
      <w:tblStyleColBandSize w:val="1"/>
      <w:tblCellMar>
        <w:left w:w="108" w:type="dxa"/>
        <w:right w:w="108" w:type="dxa"/>
      </w:tblCellMar>
    </w:tblPr>
  </w:style>
  <w:style w:type="table" w:customStyle="1" w:styleId="affb">
    <w:basedOn w:val="TableNormal8"/>
    <w:pPr>
      <w:spacing w:after="0" w:line="240" w:lineRule="auto"/>
    </w:pPr>
    <w:tblPr>
      <w:tblStyleRowBandSize w:val="1"/>
      <w:tblStyleColBandSize w:val="1"/>
      <w:tblCellMar>
        <w:left w:w="108" w:type="dxa"/>
        <w:right w:w="108" w:type="dxa"/>
      </w:tblCellMar>
    </w:tblPr>
  </w:style>
  <w:style w:type="table" w:customStyle="1" w:styleId="affc">
    <w:basedOn w:val="TableNormal8"/>
    <w:pPr>
      <w:spacing w:after="0" w:line="240" w:lineRule="auto"/>
    </w:pPr>
    <w:tblPr>
      <w:tblStyleRowBandSize w:val="1"/>
      <w:tblStyleColBandSize w:val="1"/>
      <w:tblCellMar>
        <w:left w:w="108" w:type="dxa"/>
        <w:right w:w="108" w:type="dxa"/>
      </w:tblCellMar>
    </w:tblPr>
  </w:style>
  <w:style w:type="table" w:customStyle="1" w:styleId="affd">
    <w:basedOn w:val="TableNormal8"/>
    <w:pPr>
      <w:spacing w:after="0" w:line="240" w:lineRule="auto"/>
    </w:pPr>
    <w:tblPr>
      <w:tblStyleRowBandSize w:val="1"/>
      <w:tblStyleColBandSize w:val="1"/>
      <w:tblCellMar>
        <w:left w:w="108" w:type="dxa"/>
        <w:right w:w="108" w:type="dxa"/>
      </w:tblCellMar>
    </w:tblPr>
  </w:style>
  <w:style w:type="table" w:customStyle="1" w:styleId="affe">
    <w:basedOn w:val="TableNormal8"/>
    <w:pPr>
      <w:spacing w:after="0" w:line="240" w:lineRule="auto"/>
    </w:pPr>
    <w:tblPr>
      <w:tblStyleRowBandSize w:val="1"/>
      <w:tblStyleColBandSize w:val="1"/>
      <w:tblCellMar>
        <w:left w:w="108" w:type="dxa"/>
        <w:right w:w="108" w:type="dxa"/>
      </w:tblCellMar>
    </w:tblPr>
  </w:style>
  <w:style w:type="table" w:customStyle="1" w:styleId="afff">
    <w:basedOn w:val="TableNormal8"/>
    <w:pPr>
      <w:spacing w:after="0" w:line="240" w:lineRule="auto"/>
    </w:pPr>
    <w:tblPr>
      <w:tblStyleRowBandSize w:val="1"/>
      <w:tblStyleColBandSize w:val="1"/>
      <w:tblCellMar>
        <w:left w:w="108" w:type="dxa"/>
        <w:right w:w="108" w:type="dxa"/>
      </w:tblCellMar>
    </w:tblPr>
  </w:style>
  <w:style w:type="table" w:customStyle="1" w:styleId="afff0">
    <w:basedOn w:val="TableNormal8"/>
    <w:pPr>
      <w:spacing w:after="0" w:line="240" w:lineRule="auto"/>
    </w:pPr>
    <w:tblPr>
      <w:tblStyleRowBandSize w:val="1"/>
      <w:tblStyleColBandSize w:val="1"/>
      <w:tblCellMar>
        <w:left w:w="108" w:type="dxa"/>
        <w:right w:w="108" w:type="dxa"/>
      </w:tblCellMar>
    </w:tblPr>
  </w:style>
  <w:style w:type="table" w:customStyle="1" w:styleId="afff1">
    <w:basedOn w:val="TableNormal8"/>
    <w:pPr>
      <w:spacing w:after="0" w:line="240" w:lineRule="auto"/>
    </w:pPr>
    <w:tblPr>
      <w:tblStyleRowBandSize w:val="1"/>
      <w:tblStyleColBandSize w:val="1"/>
      <w:tblCellMar>
        <w:left w:w="108" w:type="dxa"/>
        <w:right w:w="108" w:type="dxa"/>
      </w:tblCellMar>
    </w:tblPr>
  </w:style>
  <w:style w:type="table" w:customStyle="1" w:styleId="afff2">
    <w:basedOn w:val="TableNormal8"/>
    <w:pPr>
      <w:spacing w:after="0" w:line="240" w:lineRule="auto"/>
    </w:pPr>
    <w:tblPr>
      <w:tblStyleRowBandSize w:val="1"/>
      <w:tblStyleColBandSize w:val="1"/>
      <w:tblCellMar>
        <w:left w:w="108" w:type="dxa"/>
        <w:right w:w="108" w:type="dxa"/>
      </w:tblCellMar>
    </w:tblPr>
  </w:style>
  <w:style w:type="table" w:customStyle="1" w:styleId="afff3">
    <w:basedOn w:val="TableNormal8"/>
    <w:pPr>
      <w:spacing w:after="0" w:line="240" w:lineRule="auto"/>
    </w:pPr>
    <w:tblPr>
      <w:tblStyleRowBandSize w:val="1"/>
      <w:tblStyleColBandSize w:val="1"/>
      <w:tblCellMar>
        <w:left w:w="108" w:type="dxa"/>
        <w:right w:w="108" w:type="dxa"/>
      </w:tblCellMar>
    </w:tblPr>
  </w:style>
  <w:style w:type="table" w:customStyle="1" w:styleId="afff4">
    <w:basedOn w:val="TableNormal8"/>
    <w:pPr>
      <w:spacing w:after="0" w:line="240" w:lineRule="auto"/>
    </w:pPr>
    <w:tblPr>
      <w:tblStyleRowBandSize w:val="1"/>
      <w:tblStyleColBandSize w:val="1"/>
      <w:tblCellMar>
        <w:left w:w="108" w:type="dxa"/>
        <w:right w:w="108" w:type="dxa"/>
      </w:tblCellMar>
    </w:tblPr>
  </w:style>
  <w:style w:type="table" w:customStyle="1" w:styleId="afff5">
    <w:basedOn w:val="TableNormal8"/>
    <w:pPr>
      <w:spacing w:after="0" w:line="240" w:lineRule="auto"/>
    </w:pPr>
    <w:tblPr>
      <w:tblStyleRowBandSize w:val="1"/>
      <w:tblStyleColBandSize w:val="1"/>
      <w:tblCellMar>
        <w:left w:w="108" w:type="dxa"/>
        <w:right w:w="108" w:type="dxa"/>
      </w:tblCellMar>
    </w:tblPr>
  </w:style>
  <w:style w:type="table" w:customStyle="1" w:styleId="afff6">
    <w:basedOn w:val="TableNormal8"/>
    <w:pPr>
      <w:spacing w:after="0" w:line="240" w:lineRule="auto"/>
    </w:pPr>
    <w:tblPr>
      <w:tblStyleRowBandSize w:val="1"/>
      <w:tblStyleColBandSize w:val="1"/>
      <w:tblCellMar>
        <w:left w:w="108" w:type="dxa"/>
        <w:right w:w="108" w:type="dxa"/>
      </w:tblCellMar>
    </w:tblPr>
  </w:style>
  <w:style w:type="table" w:customStyle="1" w:styleId="afff7">
    <w:basedOn w:val="TableNormal8"/>
    <w:pPr>
      <w:spacing w:after="0" w:line="240" w:lineRule="auto"/>
    </w:pPr>
    <w:tblPr>
      <w:tblStyleRowBandSize w:val="1"/>
      <w:tblStyleColBandSize w:val="1"/>
      <w:tblCellMar>
        <w:left w:w="108" w:type="dxa"/>
        <w:right w:w="108" w:type="dxa"/>
      </w:tblCellMar>
    </w:tblPr>
  </w:style>
  <w:style w:type="table" w:customStyle="1" w:styleId="afff8">
    <w:basedOn w:val="TableNormal8"/>
    <w:pPr>
      <w:spacing w:after="0" w:line="240" w:lineRule="auto"/>
    </w:pPr>
    <w:tblPr>
      <w:tblStyleRowBandSize w:val="1"/>
      <w:tblStyleColBandSize w:val="1"/>
      <w:tblCellMar>
        <w:left w:w="108" w:type="dxa"/>
        <w:right w:w="108" w:type="dxa"/>
      </w:tblCellMar>
    </w:tblPr>
  </w:style>
  <w:style w:type="table" w:customStyle="1" w:styleId="afff9">
    <w:basedOn w:val="TableNormal8"/>
    <w:pPr>
      <w:spacing w:after="0" w:line="240" w:lineRule="auto"/>
    </w:pPr>
    <w:tblPr>
      <w:tblStyleRowBandSize w:val="1"/>
      <w:tblStyleColBandSize w:val="1"/>
      <w:tblCellMar>
        <w:left w:w="108" w:type="dxa"/>
        <w:right w:w="108" w:type="dxa"/>
      </w:tblCellMar>
    </w:tblPr>
  </w:style>
  <w:style w:type="table" w:customStyle="1" w:styleId="afffa">
    <w:basedOn w:val="TableNormal8"/>
    <w:pPr>
      <w:spacing w:after="0" w:line="240" w:lineRule="auto"/>
    </w:pPr>
    <w:tblPr>
      <w:tblStyleRowBandSize w:val="1"/>
      <w:tblStyleColBandSize w:val="1"/>
      <w:tblCellMar>
        <w:left w:w="108" w:type="dxa"/>
        <w:right w:w="108" w:type="dxa"/>
      </w:tblCellMar>
    </w:tblPr>
  </w:style>
  <w:style w:type="table" w:customStyle="1" w:styleId="afffb">
    <w:basedOn w:val="TableNormal8"/>
    <w:pPr>
      <w:spacing w:after="0" w:line="240" w:lineRule="auto"/>
    </w:pPr>
    <w:tblPr>
      <w:tblStyleRowBandSize w:val="1"/>
      <w:tblStyleColBandSize w:val="1"/>
      <w:tblCellMar>
        <w:left w:w="108" w:type="dxa"/>
        <w:right w:w="108" w:type="dxa"/>
      </w:tblCellMar>
    </w:tblPr>
  </w:style>
  <w:style w:type="table" w:customStyle="1" w:styleId="afffc">
    <w:basedOn w:val="TableNormal8"/>
    <w:pPr>
      <w:spacing w:after="0" w:line="240" w:lineRule="auto"/>
    </w:pPr>
    <w:tblPr>
      <w:tblStyleRowBandSize w:val="1"/>
      <w:tblStyleColBandSize w:val="1"/>
      <w:tblCellMar>
        <w:left w:w="108" w:type="dxa"/>
        <w:right w:w="108" w:type="dxa"/>
      </w:tblCellMar>
    </w:tblPr>
  </w:style>
  <w:style w:type="table" w:customStyle="1" w:styleId="afffd">
    <w:basedOn w:val="TableNormal7"/>
    <w:pPr>
      <w:spacing w:after="0" w:line="240" w:lineRule="auto"/>
    </w:pPr>
    <w:tblPr>
      <w:tblStyleRowBandSize w:val="1"/>
      <w:tblStyleColBandSize w:val="1"/>
      <w:tblCellMar>
        <w:left w:w="108" w:type="dxa"/>
        <w:right w:w="108" w:type="dxa"/>
      </w:tblCellMar>
    </w:tblPr>
  </w:style>
  <w:style w:type="table" w:customStyle="1" w:styleId="afffe">
    <w:basedOn w:val="TableNormal7"/>
    <w:pPr>
      <w:spacing w:after="0" w:line="240" w:lineRule="auto"/>
    </w:pPr>
    <w:tblPr>
      <w:tblStyleRowBandSize w:val="1"/>
      <w:tblStyleColBandSize w:val="1"/>
      <w:tblCellMar>
        <w:left w:w="108" w:type="dxa"/>
        <w:right w:w="108" w:type="dxa"/>
      </w:tblCellMar>
    </w:tblPr>
  </w:style>
  <w:style w:type="table" w:customStyle="1" w:styleId="affff">
    <w:basedOn w:val="TableNormal7"/>
    <w:pPr>
      <w:spacing w:after="0" w:line="240" w:lineRule="auto"/>
    </w:pPr>
    <w:tblPr>
      <w:tblStyleRowBandSize w:val="1"/>
      <w:tblStyleColBandSize w:val="1"/>
      <w:tblCellMar>
        <w:left w:w="108" w:type="dxa"/>
        <w:right w:w="108" w:type="dxa"/>
      </w:tblCellMar>
    </w:tblPr>
  </w:style>
  <w:style w:type="table" w:customStyle="1" w:styleId="affff0">
    <w:basedOn w:val="TableNormal7"/>
    <w:pPr>
      <w:spacing w:after="0" w:line="240" w:lineRule="auto"/>
    </w:pPr>
    <w:tblPr>
      <w:tblStyleRowBandSize w:val="1"/>
      <w:tblStyleColBandSize w:val="1"/>
      <w:tblCellMar>
        <w:left w:w="108" w:type="dxa"/>
        <w:right w:w="108" w:type="dxa"/>
      </w:tblCellMar>
    </w:tblPr>
  </w:style>
  <w:style w:type="table" w:customStyle="1" w:styleId="affff1">
    <w:basedOn w:val="TableNormal7"/>
    <w:pPr>
      <w:spacing w:after="0" w:line="240" w:lineRule="auto"/>
    </w:pPr>
    <w:tblPr>
      <w:tblStyleRowBandSize w:val="1"/>
      <w:tblStyleColBandSize w:val="1"/>
      <w:tblCellMar>
        <w:left w:w="108" w:type="dxa"/>
        <w:right w:w="108" w:type="dxa"/>
      </w:tblCellMar>
    </w:tblPr>
  </w:style>
  <w:style w:type="character" w:customStyle="1" w:styleId="Mencinsinresolver4">
    <w:name w:val="Mención sin resolver4"/>
    <w:basedOn w:val="Fuentedeprrafopredeter"/>
    <w:uiPriority w:val="99"/>
    <w:semiHidden/>
    <w:unhideWhenUsed/>
    <w:rsid w:val="001C2C58"/>
    <w:rPr>
      <w:color w:val="605E5C"/>
      <w:shd w:val="clear" w:color="auto" w:fill="E1DFDD"/>
    </w:rPr>
  </w:style>
  <w:style w:type="table" w:customStyle="1" w:styleId="affff2">
    <w:basedOn w:val="TableNormal6"/>
    <w:pPr>
      <w:spacing w:after="0" w:line="240" w:lineRule="auto"/>
    </w:pPr>
    <w:tblPr>
      <w:tblStyleRowBandSize w:val="1"/>
      <w:tblStyleColBandSize w:val="1"/>
      <w:tblCellMar>
        <w:left w:w="108" w:type="dxa"/>
        <w:right w:w="108" w:type="dxa"/>
      </w:tblCellMar>
    </w:tblPr>
  </w:style>
  <w:style w:type="table" w:customStyle="1" w:styleId="affff3">
    <w:basedOn w:val="TableNormal6"/>
    <w:pPr>
      <w:spacing w:after="0" w:line="240" w:lineRule="auto"/>
    </w:pPr>
    <w:tblPr>
      <w:tblStyleRowBandSize w:val="1"/>
      <w:tblStyleColBandSize w:val="1"/>
      <w:tblCellMar>
        <w:left w:w="108" w:type="dxa"/>
        <w:right w:w="108" w:type="dxa"/>
      </w:tblCellMar>
    </w:tblPr>
  </w:style>
  <w:style w:type="table" w:customStyle="1" w:styleId="affff4">
    <w:basedOn w:val="TableNormal6"/>
    <w:pPr>
      <w:spacing w:after="0" w:line="240" w:lineRule="auto"/>
    </w:pPr>
    <w:tblPr>
      <w:tblStyleRowBandSize w:val="1"/>
      <w:tblStyleColBandSize w:val="1"/>
      <w:tblCellMar>
        <w:left w:w="108" w:type="dxa"/>
        <w:right w:w="108" w:type="dxa"/>
      </w:tblCellMar>
    </w:tblPr>
  </w:style>
  <w:style w:type="table" w:customStyle="1" w:styleId="affff5">
    <w:basedOn w:val="TableNormal6"/>
    <w:pPr>
      <w:spacing w:after="0" w:line="240" w:lineRule="auto"/>
    </w:pPr>
    <w:tblPr>
      <w:tblStyleRowBandSize w:val="1"/>
      <w:tblStyleColBandSize w:val="1"/>
      <w:tblCellMar>
        <w:left w:w="108" w:type="dxa"/>
        <w:right w:w="108" w:type="dxa"/>
      </w:tblCellMar>
    </w:tblPr>
  </w:style>
  <w:style w:type="character" w:customStyle="1" w:styleId="Mencinsinresolver5">
    <w:name w:val="Mención sin resolver5"/>
    <w:basedOn w:val="Fuentedeprrafopredeter"/>
    <w:uiPriority w:val="99"/>
    <w:semiHidden/>
    <w:unhideWhenUsed/>
    <w:rsid w:val="0058145F"/>
    <w:rPr>
      <w:color w:val="605E5C"/>
      <w:shd w:val="clear" w:color="auto" w:fill="E1DFDD"/>
    </w:rPr>
  </w:style>
  <w:style w:type="table" w:customStyle="1" w:styleId="affff6">
    <w:basedOn w:val="TableNormal5"/>
    <w:pPr>
      <w:spacing w:after="0" w:line="240" w:lineRule="auto"/>
    </w:pPr>
    <w:tblPr>
      <w:tblStyleRowBandSize w:val="1"/>
      <w:tblStyleColBandSize w:val="1"/>
      <w:tblCellMar>
        <w:left w:w="108" w:type="dxa"/>
        <w:right w:w="108" w:type="dxa"/>
      </w:tblCellMar>
    </w:tblPr>
  </w:style>
  <w:style w:type="table" w:customStyle="1" w:styleId="affff7">
    <w:basedOn w:val="TableNormal5"/>
    <w:pPr>
      <w:spacing w:after="0" w:line="240" w:lineRule="auto"/>
    </w:pPr>
    <w:tblPr>
      <w:tblStyleRowBandSize w:val="1"/>
      <w:tblStyleColBandSize w:val="1"/>
      <w:tblCellMar>
        <w:left w:w="108" w:type="dxa"/>
        <w:right w:w="108" w:type="dxa"/>
      </w:tblCellMar>
    </w:tblPr>
  </w:style>
  <w:style w:type="table" w:customStyle="1" w:styleId="affff8">
    <w:basedOn w:val="TableNormal5"/>
    <w:pPr>
      <w:spacing w:after="0" w:line="240" w:lineRule="auto"/>
    </w:pPr>
    <w:tblPr>
      <w:tblStyleRowBandSize w:val="1"/>
      <w:tblStyleColBandSize w:val="1"/>
      <w:tblCellMar>
        <w:left w:w="108" w:type="dxa"/>
        <w:right w:w="108" w:type="dxa"/>
      </w:tblCellMar>
    </w:tblPr>
  </w:style>
  <w:style w:type="table" w:customStyle="1" w:styleId="affff9">
    <w:basedOn w:val="TableNormal5"/>
    <w:pPr>
      <w:spacing w:after="0" w:line="240" w:lineRule="auto"/>
    </w:pPr>
    <w:tblPr>
      <w:tblStyleRowBandSize w:val="1"/>
      <w:tblStyleColBandSize w:val="1"/>
      <w:tblCellMar>
        <w:left w:w="108" w:type="dxa"/>
        <w:right w:w="108" w:type="dxa"/>
      </w:tblCellMar>
    </w:tblPr>
  </w:style>
  <w:style w:type="table" w:customStyle="1" w:styleId="affffa">
    <w:basedOn w:val="TableNormal5"/>
    <w:pPr>
      <w:spacing w:after="0" w:line="240" w:lineRule="auto"/>
    </w:pPr>
    <w:tblPr>
      <w:tblStyleRowBandSize w:val="1"/>
      <w:tblStyleColBandSize w:val="1"/>
      <w:tblCellMar>
        <w:left w:w="108" w:type="dxa"/>
        <w:right w:w="108" w:type="dxa"/>
      </w:tblCellMar>
    </w:tblPr>
  </w:style>
  <w:style w:type="character" w:customStyle="1" w:styleId="Mencinsinresolver6">
    <w:name w:val="Mención sin resolver6"/>
    <w:basedOn w:val="Fuentedeprrafopredeter"/>
    <w:uiPriority w:val="99"/>
    <w:semiHidden/>
    <w:unhideWhenUsed/>
    <w:rsid w:val="00745900"/>
    <w:rPr>
      <w:color w:val="605E5C"/>
      <w:shd w:val="clear" w:color="auto" w:fill="E1DFDD"/>
    </w:rPr>
  </w:style>
  <w:style w:type="table" w:customStyle="1" w:styleId="affffb">
    <w:basedOn w:val="TableNormal4"/>
    <w:pPr>
      <w:spacing w:after="0" w:line="240" w:lineRule="auto"/>
    </w:pPr>
    <w:tblPr>
      <w:tblStyleRowBandSize w:val="1"/>
      <w:tblStyleColBandSize w:val="1"/>
      <w:tblCellMar>
        <w:left w:w="108" w:type="dxa"/>
        <w:right w:w="108" w:type="dxa"/>
      </w:tblCellMar>
    </w:tblPr>
  </w:style>
  <w:style w:type="table" w:customStyle="1" w:styleId="affffc">
    <w:basedOn w:val="TableNormal4"/>
    <w:pPr>
      <w:spacing w:after="0" w:line="240" w:lineRule="auto"/>
    </w:pPr>
    <w:tblPr>
      <w:tblStyleRowBandSize w:val="1"/>
      <w:tblStyleColBandSize w:val="1"/>
      <w:tblCellMar>
        <w:left w:w="108" w:type="dxa"/>
        <w:right w:w="108" w:type="dxa"/>
      </w:tblCellMar>
    </w:tblPr>
  </w:style>
  <w:style w:type="table" w:customStyle="1" w:styleId="affffd">
    <w:basedOn w:val="TableNormal4"/>
    <w:pPr>
      <w:spacing w:after="0" w:line="240" w:lineRule="auto"/>
    </w:pPr>
    <w:tblPr>
      <w:tblStyleRowBandSize w:val="1"/>
      <w:tblStyleColBandSize w:val="1"/>
      <w:tblCellMar>
        <w:left w:w="108" w:type="dxa"/>
        <w:right w:w="108" w:type="dxa"/>
      </w:tblCellMar>
    </w:tblPr>
  </w:style>
  <w:style w:type="table" w:customStyle="1" w:styleId="affffe">
    <w:basedOn w:val="TableNormal4"/>
    <w:pPr>
      <w:spacing w:after="0" w:line="240" w:lineRule="auto"/>
    </w:pPr>
    <w:tblPr>
      <w:tblStyleRowBandSize w:val="1"/>
      <w:tblStyleColBandSize w:val="1"/>
      <w:tblCellMar>
        <w:left w:w="108" w:type="dxa"/>
        <w:right w:w="108" w:type="dxa"/>
      </w:tblCellMar>
    </w:tblPr>
  </w:style>
  <w:style w:type="table" w:customStyle="1" w:styleId="afffff">
    <w:basedOn w:val="TableNormal3"/>
    <w:pPr>
      <w:spacing w:after="0" w:line="240" w:lineRule="auto"/>
    </w:pPr>
    <w:tblPr>
      <w:tblStyleRowBandSize w:val="1"/>
      <w:tblStyleColBandSize w:val="1"/>
      <w:tblCellMar>
        <w:left w:w="108" w:type="dxa"/>
        <w:right w:w="108" w:type="dxa"/>
      </w:tblCellMar>
    </w:tblPr>
  </w:style>
  <w:style w:type="table" w:customStyle="1" w:styleId="afffff0">
    <w:basedOn w:val="TableNormal3"/>
    <w:pPr>
      <w:spacing w:after="0" w:line="240" w:lineRule="auto"/>
    </w:pPr>
    <w:tblPr>
      <w:tblStyleRowBandSize w:val="1"/>
      <w:tblStyleColBandSize w:val="1"/>
      <w:tblCellMar>
        <w:left w:w="108" w:type="dxa"/>
        <w:right w:w="108" w:type="dxa"/>
      </w:tblCellMar>
    </w:tblPr>
  </w:style>
  <w:style w:type="table" w:customStyle="1" w:styleId="afffff1">
    <w:basedOn w:val="TableNormal3"/>
    <w:pPr>
      <w:spacing w:after="0" w:line="240" w:lineRule="auto"/>
    </w:pPr>
    <w:tblPr>
      <w:tblStyleRowBandSize w:val="1"/>
      <w:tblStyleColBandSize w:val="1"/>
      <w:tblCellMar>
        <w:left w:w="108" w:type="dxa"/>
        <w:right w:w="108" w:type="dxa"/>
      </w:tblCellMar>
    </w:tblPr>
  </w:style>
  <w:style w:type="table" w:customStyle="1" w:styleId="afffff2">
    <w:basedOn w:val="TableNormal3"/>
    <w:pPr>
      <w:spacing w:after="0" w:line="240" w:lineRule="auto"/>
    </w:pPr>
    <w:tblPr>
      <w:tblStyleRowBandSize w:val="1"/>
      <w:tblStyleColBandSize w:val="1"/>
      <w:tblCellMar>
        <w:left w:w="108" w:type="dxa"/>
        <w:right w:w="108" w:type="dxa"/>
      </w:tblCellMar>
    </w:tblPr>
  </w:style>
  <w:style w:type="table" w:customStyle="1" w:styleId="afffff3">
    <w:basedOn w:val="TableNormal3"/>
    <w:pPr>
      <w:spacing w:after="0" w:line="240" w:lineRule="auto"/>
    </w:pPr>
    <w:tblPr>
      <w:tblStyleRowBandSize w:val="1"/>
      <w:tblStyleColBandSize w:val="1"/>
      <w:tblCellMar>
        <w:left w:w="108" w:type="dxa"/>
        <w:right w:w="108" w:type="dxa"/>
      </w:tblCellMar>
    </w:tblPr>
  </w:style>
  <w:style w:type="table" w:customStyle="1" w:styleId="afffff4">
    <w:basedOn w:val="TableNormal2"/>
    <w:pPr>
      <w:spacing w:after="0" w:line="240" w:lineRule="auto"/>
    </w:pPr>
    <w:tblPr>
      <w:tblStyleRowBandSize w:val="1"/>
      <w:tblStyleColBandSize w:val="1"/>
      <w:tblCellMar>
        <w:left w:w="108" w:type="dxa"/>
        <w:right w:w="108" w:type="dxa"/>
      </w:tblCellMar>
    </w:tblPr>
  </w:style>
  <w:style w:type="table" w:customStyle="1" w:styleId="afffff5">
    <w:basedOn w:val="TableNormal2"/>
    <w:pPr>
      <w:spacing w:after="0" w:line="240" w:lineRule="auto"/>
    </w:pPr>
    <w:tblPr>
      <w:tblStyleRowBandSize w:val="1"/>
      <w:tblStyleColBandSize w:val="1"/>
      <w:tblCellMar>
        <w:left w:w="108" w:type="dxa"/>
        <w:right w:w="108" w:type="dxa"/>
      </w:tblCellMar>
    </w:tblPr>
  </w:style>
  <w:style w:type="table" w:customStyle="1" w:styleId="afffff6">
    <w:basedOn w:val="TableNormal2"/>
    <w:pPr>
      <w:spacing w:after="0" w:line="240" w:lineRule="auto"/>
    </w:pPr>
    <w:tblPr>
      <w:tblStyleRowBandSize w:val="1"/>
      <w:tblStyleColBandSize w:val="1"/>
      <w:tblCellMar>
        <w:left w:w="108" w:type="dxa"/>
        <w:right w:w="108" w:type="dxa"/>
      </w:tblCellMar>
    </w:tblPr>
  </w:style>
  <w:style w:type="table" w:customStyle="1" w:styleId="afffff7">
    <w:basedOn w:val="TableNormal2"/>
    <w:pPr>
      <w:spacing w:after="0" w:line="240" w:lineRule="auto"/>
    </w:pPr>
    <w:tblPr>
      <w:tblStyleRowBandSize w:val="1"/>
      <w:tblStyleColBandSize w:val="1"/>
      <w:tblCellMar>
        <w:left w:w="108" w:type="dxa"/>
        <w:right w:w="108" w:type="dxa"/>
      </w:tblCellMar>
    </w:tblPr>
  </w:style>
  <w:style w:type="character" w:customStyle="1" w:styleId="Mencinsinresolver7">
    <w:name w:val="Mención sin resolver7"/>
    <w:basedOn w:val="Fuentedeprrafopredeter"/>
    <w:uiPriority w:val="99"/>
    <w:semiHidden/>
    <w:unhideWhenUsed/>
    <w:rsid w:val="00D82F25"/>
    <w:rPr>
      <w:color w:val="605E5C"/>
      <w:shd w:val="clear" w:color="auto" w:fill="E1DFDD"/>
    </w:rPr>
  </w:style>
  <w:style w:type="paragraph" w:styleId="Listaconvietas2">
    <w:name w:val="List Bullet 2"/>
    <w:basedOn w:val="Normal"/>
    <w:uiPriority w:val="99"/>
    <w:unhideWhenUsed/>
    <w:rsid w:val="000F639C"/>
    <w:pPr>
      <w:numPr>
        <w:numId w:val="6"/>
      </w:numPr>
      <w:spacing w:after="0" w:line="240" w:lineRule="auto"/>
      <w:contextualSpacing/>
      <w:jc w:val="left"/>
    </w:pPr>
    <w:rPr>
      <w:rFonts w:ascii="Times New Roman" w:eastAsia="Times New Roman" w:hAnsi="Times New Roman" w:cs="Times New Roman"/>
      <w:sz w:val="20"/>
      <w:szCs w:val="20"/>
    </w:rPr>
  </w:style>
  <w:style w:type="table" w:customStyle="1" w:styleId="afffff8">
    <w:basedOn w:val="TableNormal1"/>
    <w:pPr>
      <w:spacing w:after="0" w:line="240" w:lineRule="auto"/>
    </w:pPr>
    <w:tblPr>
      <w:tblStyleRowBandSize w:val="1"/>
      <w:tblStyleColBandSize w:val="1"/>
      <w:tblCellMar>
        <w:left w:w="108" w:type="dxa"/>
        <w:right w:w="108" w:type="dxa"/>
      </w:tblCellMar>
    </w:tblPr>
  </w:style>
  <w:style w:type="table" w:customStyle="1" w:styleId="afffff9">
    <w:basedOn w:val="TableNormal1"/>
    <w:pPr>
      <w:spacing w:after="0" w:line="240" w:lineRule="auto"/>
    </w:pPr>
    <w:tblPr>
      <w:tblStyleRowBandSize w:val="1"/>
      <w:tblStyleColBandSize w:val="1"/>
      <w:tblCellMar>
        <w:left w:w="108" w:type="dxa"/>
        <w:right w:w="108" w:type="dxa"/>
      </w:tblCellMar>
    </w:tblPr>
  </w:style>
  <w:style w:type="table" w:customStyle="1" w:styleId="afffffa">
    <w:basedOn w:val="TableNormal1"/>
    <w:pPr>
      <w:spacing w:after="0" w:line="240" w:lineRule="auto"/>
    </w:pPr>
    <w:tblPr>
      <w:tblStyleRowBandSize w:val="1"/>
      <w:tblStyleColBandSize w:val="1"/>
      <w:tblCellMar>
        <w:left w:w="108" w:type="dxa"/>
        <w:right w:w="108" w:type="dxa"/>
      </w:tblCellMar>
    </w:tblPr>
  </w:style>
  <w:style w:type="table" w:customStyle="1" w:styleId="afffffb">
    <w:basedOn w:val="TableNormal1"/>
    <w:pPr>
      <w:spacing w:after="0" w:line="240" w:lineRule="auto"/>
    </w:pPr>
    <w:tblPr>
      <w:tblStyleRowBandSize w:val="1"/>
      <w:tblStyleColBandSize w:val="1"/>
      <w:tblCellMar>
        <w:left w:w="108" w:type="dxa"/>
        <w:right w:w="108" w:type="dxa"/>
      </w:tblCellMar>
    </w:tblPr>
  </w:style>
  <w:style w:type="table" w:customStyle="1" w:styleId="afffffc">
    <w:basedOn w:val="TableNormal1"/>
    <w:pPr>
      <w:spacing w:after="0" w:line="240" w:lineRule="auto"/>
    </w:pPr>
    <w:tblPr>
      <w:tblStyleRowBandSize w:val="1"/>
      <w:tblStyleColBandSize w:val="1"/>
      <w:tblCellMar>
        <w:left w:w="108" w:type="dxa"/>
        <w:right w:w="108"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fffd">
    <w:basedOn w:val="TableNormal0"/>
    <w:pPr>
      <w:spacing w:after="0" w:line="240" w:lineRule="auto"/>
    </w:pPr>
    <w:tblPr>
      <w:tblStyleRowBandSize w:val="1"/>
      <w:tblStyleColBandSize w:val="1"/>
      <w:tblCellMar>
        <w:left w:w="108" w:type="dxa"/>
        <w:right w:w="108" w:type="dxa"/>
      </w:tblCellMar>
    </w:tblPr>
  </w:style>
  <w:style w:type="table" w:customStyle="1" w:styleId="afffffe">
    <w:basedOn w:val="TableNormal0"/>
    <w:pPr>
      <w:spacing w:after="0" w:line="240" w:lineRule="auto"/>
    </w:pPr>
    <w:tblPr>
      <w:tblStyleRowBandSize w:val="1"/>
      <w:tblStyleColBandSize w:val="1"/>
      <w:tblCellMar>
        <w:left w:w="108" w:type="dxa"/>
        <w:right w:w="108" w:type="dxa"/>
      </w:tblCellMar>
    </w:tblPr>
  </w:style>
  <w:style w:type="table" w:customStyle="1" w:styleId="affffff">
    <w:basedOn w:val="TableNormal0"/>
    <w:pPr>
      <w:spacing w:after="0" w:line="240" w:lineRule="auto"/>
    </w:pPr>
    <w:tblPr>
      <w:tblStyleRowBandSize w:val="1"/>
      <w:tblStyleColBandSize w:val="1"/>
      <w:tblCellMar>
        <w:left w:w="108" w:type="dxa"/>
        <w:right w:w="108" w:type="dxa"/>
      </w:tblCellMar>
    </w:tblPr>
  </w:style>
  <w:style w:type="table" w:customStyle="1" w:styleId="affffff0">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DhirRRu3ggutHhrYO+507PYXw==">CgMxLjAyDmgucDMwbm44aDlhcHJzMghoLmdqZGd4czIOaC5oMWljY3M0d2FveGgyDmguOWkxcm5zNHgyM2VxMg5oLjR2cW9qMXByZzAzOTIOaC4xNjM5cmh4bHdza20yCWguMmV0OTJwMDIOaC5vZjdxamN6ZHIwY3cyDmguZjFmMW40eHlhMzNxMg5oLmpsenV5MGlvZDh0ZjIOaC44bWp5Y2RtNXNjOHcyDmguODU4bXZjNHRwcDF6Mg5oLmdrcTlsM3Z2bnZkYzIOaC45ZDJ4d3VvZGx2NGcyDmgudHRzOGZ1bTAxYjV6Mg5oLm52cGN0MG1oZG1zMDINaC45aDJ1OTE1bzc5bjIOaC5hcmd5MjFxbmttaHI4AHIhMW9KLXBpeXdGSldmM3czTkN0VHZETU1ZU2tXYVRBMXE1</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5C2E96B-BE19-436A-9BBD-94B8EB459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24</Pages>
  <Words>6083</Words>
  <Characters>33460</Characters>
  <Application>Microsoft Office Word</Application>
  <DocSecurity>0</DocSecurity>
  <Lines>278</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Infoem-401</cp:lastModifiedBy>
  <cp:revision>5</cp:revision>
  <cp:lastPrinted>2025-08-08T05:34:00Z</cp:lastPrinted>
  <dcterms:created xsi:type="dcterms:W3CDTF">2025-08-08T05:34:00Z</dcterms:created>
  <dcterms:modified xsi:type="dcterms:W3CDTF">2025-09-25T21:16:00Z</dcterms:modified>
</cp:coreProperties>
</file>