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6D" w:rsidRPr="0032424A" w:rsidRDefault="00DF0D09">
      <w:pPr>
        <w:spacing w:before="240" w:after="240" w:line="360" w:lineRule="auto"/>
        <w:jc w:val="both"/>
        <w:rPr>
          <w:rFonts w:ascii="Palatino Linotype" w:eastAsia="Palatino Linotype" w:hAnsi="Palatino Linotype" w:cs="Palatino Linotype"/>
        </w:rPr>
      </w:pPr>
      <w:bookmarkStart w:id="0" w:name="_GoBack"/>
      <w:bookmarkEnd w:id="0"/>
      <w:r w:rsidRPr="0032424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E5493" w:rsidRPr="0032424A">
        <w:rPr>
          <w:rFonts w:ascii="Palatino Linotype" w:eastAsia="Palatino Linotype" w:hAnsi="Palatino Linotype" w:cs="Palatino Linotype"/>
          <w:b/>
        </w:rPr>
        <w:t xml:space="preserve">quince </w:t>
      </w:r>
      <w:r w:rsidR="00D352C4" w:rsidRPr="0032424A">
        <w:rPr>
          <w:rFonts w:ascii="Palatino Linotype" w:eastAsia="Palatino Linotype" w:hAnsi="Palatino Linotype" w:cs="Palatino Linotype"/>
          <w:b/>
        </w:rPr>
        <w:t xml:space="preserve">de </w:t>
      </w:r>
      <w:r w:rsidR="009E5493" w:rsidRPr="0032424A">
        <w:rPr>
          <w:rFonts w:ascii="Palatino Linotype" w:eastAsia="Palatino Linotype" w:hAnsi="Palatino Linotype" w:cs="Palatino Linotype"/>
          <w:b/>
        </w:rPr>
        <w:t xml:space="preserve">abril </w:t>
      </w:r>
      <w:r w:rsidR="00D352C4" w:rsidRPr="0032424A">
        <w:rPr>
          <w:rFonts w:ascii="Palatino Linotype" w:eastAsia="Palatino Linotype" w:hAnsi="Palatino Linotype" w:cs="Palatino Linotype"/>
          <w:b/>
        </w:rPr>
        <w:t xml:space="preserve">de dos mil </w:t>
      </w:r>
      <w:r w:rsidR="009E5493" w:rsidRPr="0032424A">
        <w:rPr>
          <w:rFonts w:ascii="Palatino Linotype" w:eastAsia="Palatino Linotype" w:hAnsi="Palatino Linotype" w:cs="Palatino Linotype"/>
          <w:b/>
        </w:rPr>
        <w:t>veintiséis</w:t>
      </w:r>
      <w:r w:rsidRPr="0032424A">
        <w:rPr>
          <w:rFonts w:ascii="Palatino Linotype" w:eastAsia="Palatino Linotype" w:hAnsi="Palatino Linotype" w:cs="Palatino Linotype"/>
        </w:rPr>
        <w:t xml:space="preserve">. </w:t>
      </w:r>
    </w:p>
    <w:p w:rsidR="005B5F6D" w:rsidRDefault="00DF0D09">
      <w:pPr>
        <w:spacing w:line="360" w:lineRule="auto"/>
        <w:jc w:val="both"/>
        <w:rPr>
          <w:rFonts w:ascii="Palatino Linotype" w:eastAsia="Palatino Linotype" w:hAnsi="Palatino Linotype" w:cs="Palatino Linotype"/>
        </w:rPr>
      </w:pPr>
      <w:bookmarkStart w:id="1" w:name="_heading=h.1t3h5sf" w:colFirst="0" w:colLast="0"/>
      <w:bookmarkEnd w:id="1"/>
      <w:r w:rsidRPr="0032424A">
        <w:rPr>
          <w:rFonts w:ascii="Palatino Linotype" w:eastAsia="Palatino Linotype" w:hAnsi="Palatino Linotype" w:cs="Palatino Linotype"/>
          <w:b/>
        </w:rPr>
        <w:t>VISTO</w:t>
      </w:r>
      <w:r w:rsidRPr="0032424A">
        <w:rPr>
          <w:rFonts w:ascii="Palatino Linotype" w:eastAsia="Palatino Linotype" w:hAnsi="Palatino Linotype" w:cs="Palatino Linotype"/>
        </w:rPr>
        <w:t xml:space="preserve"> el expediente formado con motivo del recurso de revisión </w:t>
      </w:r>
      <w:r w:rsidR="009E5493" w:rsidRPr="0032424A">
        <w:rPr>
          <w:rFonts w:ascii="Palatino Linotype" w:eastAsia="Palatino Linotype" w:hAnsi="Palatino Linotype" w:cs="Palatino Linotype"/>
          <w:b/>
        </w:rPr>
        <w:t>10528</w:t>
      </w:r>
      <w:r w:rsidR="00303078" w:rsidRPr="0032424A">
        <w:rPr>
          <w:rFonts w:ascii="Palatino Linotype" w:eastAsia="Palatino Linotype" w:hAnsi="Palatino Linotype" w:cs="Palatino Linotype"/>
          <w:b/>
        </w:rPr>
        <w:t>/INFOEM/AD/RR/2025</w:t>
      </w:r>
      <w:r w:rsidRPr="0032424A">
        <w:rPr>
          <w:rFonts w:ascii="Palatino Linotype" w:eastAsia="Palatino Linotype" w:hAnsi="Palatino Linotype" w:cs="Palatino Linotype"/>
        </w:rPr>
        <w:t xml:space="preserve">, promovido por </w:t>
      </w:r>
      <w:r w:rsidR="00BA069F">
        <w:rPr>
          <w:rFonts w:ascii="Palatino Linotype" w:eastAsia="Palatino Linotype" w:hAnsi="Palatino Linotype" w:cs="Palatino Linotype"/>
          <w:b/>
        </w:rPr>
        <w:t>XXXX</w:t>
      </w:r>
      <w:r w:rsidRPr="0032424A">
        <w:rPr>
          <w:rFonts w:ascii="Palatino Linotype" w:eastAsia="Palatino Linotype" w:hAnsi="Palatino Linotype" w:cs="Palatino Linotype"/>
          <w:b/>
        </w:rPr>
        <w:t xml:space="preserve">, </w:t>
      </w:r>
      <w:r w:rsidRPr="0032424A">
        <w:rPr>
          <w:rFonts w:ascii="Palatino Linotype" w:eastAsia="Palatino Linotype" w:hAnsi="Palatino Linotype" w:cs="Palatino Linotype"/>
        </w:rPr>
        <w:t xml:space="preserve">en lo sucesivo </w:t>
      </w:r>
      <w:r w:rsidR="0081026D">
        <w:rPr>
          <w:rFonts w:ascii="Palatino Linotype" w:eastAsia="Palatino Linotype" w:hAnsi="Palatino Linotype" w:cs="Palatino Linotype"/>
        </w:rPr>
        <w:t xml:space="preserve">el </w:t>
      </w:r>
      <w:r w:rsidR="0081026D" w:rsidRPr="0032424A">
        <w:rPr>
          <w:rFonts w:ascii="Palatino Linotype" w:eastAsia="Palatino Linotype" w:hAnsi="Palatino Linotype" w:cs="Palatino Linotype"/>
          <w:b/>
        </w:rPr>
        <w:t>RECURRENTE</w:t>
      </w:r>
      <w:r w:rsidRPr="0032424A">
        <w:rPr>
          <w:rFonts w:ascii="Palatino Linotype" w:eastAsia="Palatino Linotype" w:hAnsi="Palatino Linotype" w:cs="Palatino Linotype"/>
        </w:rPr>
        <w:t xml:space="preserve"> en contra de la respuesta del </w:t>
      </w:r>
      <w:r w:rsidR="009E5493" w:rsidRPr="0032424A">
        <w:rPr>
          <w:rFonts w:ascii="Palatino Linotype" w:eastAsia="Palatino Linotype" w:hAnsi="Palatino Linotype" w:cs="Palatino Linotype"/>
          <w:b/>
          <w:bCs/>
        </w:rPr>
        <w:t>Instituto de Seguridad Social del Estado de México y Municipios</w:t>
      </w:r>
      <w:r w:rsidRPr="0032424A">
        <w:rPr>
          <w:rFonts w:ascii="Palatino Linotype" w:eastAsia="Palatino Linotype" w:hAnsi="Palatino Linotype" w:cs="Palatino Linotype"/>
          <w:b/>
        </w:rPr>
        <w:t xml:space="preserve">, </w:t>
      </w:r>
      <w:r w:rsidRPr="0032424A">
        <w:rPr>
          <w:rFonts w:ascii="Palatino Linotype" w:eastAsia="Palatino Linotype" w:hAnsi="Palatino Linotype" w:cs="Palatino Linotype"/>
        </w:rPr>
        <w:t xml:space="preserve">en </w:t>
      </w:r>
      <w:r w:rsidR="0081026D">
        <w:rPr>
          <w:rFonts w:ascii="Palatino Linotype" w:eastAsia="Palatino Linotype" w:hAnsi="Palatino Linotype" w:cs="Palatino Linotype"/>
        </w:rPr>
        <w:t>adelante</w:t>
      </w:r>
      <w:r w:rsidRPr="0032424A">
        <w:rPr>
          <w:rFonts w:ascii="Palatino Linotype" w:eastAsia="Palatino Linotype" w:hAnsi="Palatino Linotype" w:cs="Palatino Linotype"/>
        </w:rPr>
        <w:t xml:space="preserve"> el</w:t>
      </w:r>
      <w:r w:rsidRPr="0032424A">
        <w:rPr>
          <w:rFonts w:ascii="Palatino Linotype" w:eastAsia="Palatino Linotype" w:hAnsi="Palatino Linotype" w:cs="Palatino Linotype"/>
          <w:b/>
        </w:rPr>
        <w:t xml:space="preserve"> </w:t>
      </w:r>
      <w:r w:rsidR="0081026D" w:rsidRPr="0032424A">
        <w:rPr>
          <w:rFonts w:ascii="Palatino Linotype" w:eastAsia="Palatino Linotype" w:hAnsi="Palatino Linotype" w:cs="Palatino Linotype"/>
          <w:b/>
        </w:rPr>
        <w:t>SUJETO OBLIGADO</w:t>
      </w:r>
      <w:r w:rsidRPr="0032424A">
        <w:rPr>
          <w:rFonts w:ascii="Palatino Linotype" w:eastAsia="Palatino Linotype" w:hAnsi="Palatino Linotype" w:cs="Palatino Linotype"/>
        </w:rPr>
        <w:t xml:space="preserve">, se procede a dictar la presente Resolución con base en los siguientes: </w:t>
      </w:r>
    </w:p>
    <w:p w:rsidR="0081026D" w:rsidRPr="0032424A" w:rsidRDefault="0081026D">
      <w:pPr>
        <w:spacing w:line="360" w:lineRule="auto"/>
        <w:jc w:val="both"/>
        <w:rPr>
          <w:rFonts w:ascii="Palatino Linotype" w:eastAsia="Palatino Linotype" w:hAnsi="Palatino Linotype" w:cs="Palatino Linotype"/>
          <w:b/>
          <w:bCs/>
        </w:rPr>
      </w:pPr>
    </w:p>
    <w:p w:rsidR="005B5F6D" w:rsidRPr="0032424A" w:rsidRDefault="00DF0D09">
      <w:pPr>
        <w:spacing w:before="240" w:after="240" w:line="360" w:lineRule="auto"/>
        <w:jc w:val="center"/>
        <w:rPr>
          <w:rFonts w:ascii="Palatino Linotype" w:eastAsia="Palatino Linotype" w:hAnsi="Palatino Linotype" w:cs="Palatino Linotype"/>
          <w:b/>
        </w:rPr>
      </w:pPr>
      <w:r w:rsidRPr="0032424A">
        <w:rPr>
          <w:rFonts w:ascii="Palatino Linotype" w:eastAsia="Palatino Linotype" w:hAnsi="Palatino Linotype" w:cs="Palatino Linotype"/>
          <w:b/>
        </w:rPr>
        <w:t>A N T E C E D E N T E S</w:t>
      </w:r>
    </w:p>
    <w:p w:rsidR="007C3CF9" w:rsidRPr="0032424A" w:rsidRDefault="0039444D" w:rsidP="007C3CF9">
      <w:pPr>
        <w:numPr>
          <w:ilvl w:val="0"/>
          <w:numId w:val="1"/>
        </w:numPr>
        <w:spacing w:line="360" w:lineRule="auto"/>
        <w:ind w:left="0" w:firstLine="0"/>
        <w:jc w:val="both"/>
        <w:rPr>
          <w:rFonts w:ascii="Palatino Linotype" w:hAnsi="Palatino Linotype"/>
        </w:rPr>
      </w:pPr>
      <w:r w:rsidRPr="0032424A">
        <w:rPr>
          <w:rFonts w:ascii="Palatino Linotype" w:hAnsi="Palatino Linotype"/>
          <w:b/>
          <w:color w:val="000000"/>
        </w:rPr>
        <w:t>Solicitud</w:t>
      </w:r>
      <w:r w:rsidRPr="0032424A">
        <w:rPr>
          <w:rFonts w:ascii="Palatino Linotype" w:eastAsia="Palatino Linotype" w:hAnsi="Palatino Linotype" w:cs="Palatino Linotype"/>
          <w:b/>
          <w:color w:val="000000"/>
        </w:rPr>
        <w:t xml:space="preserve"> de acceso a datos personales</w:t>
      </w:r>
      <w:r w:rsidR="00DF0D09" w:rsidRPr="0032424A">
        <w:rPr>
          <w:rFonts w:ascii="Palatino Linotype" w:eastAsia="Palatino Linotype" w:hAnsi="Palatino Linotype" w:cs="Palatino Linotype"/>
          <w:b/>
          <w:color w:val="000000"/>
        </w:rPr>
        <w:t xml:space="preserve">. </w:t>
      </w:r>
      <w:r w:rsidR="007C3CF9" w:rsidRPr="0032424A">
        <w:rPr>
          <w:rFonts w:ascii="Palatino Linotype" w:hAnsi="Palatino Linotype"/>
        </w:rPr>
        <w:t xml:space="preserve">El </w:t>
      </w:r>
      <w:r w:rsidR="009E5493" w:rsidRPr="0032424A">
        <w:rPr>
          <w:rFonts w:ascii="Palatino Linotype" w:hAnsi="Palatino Linotype"/>
          <w:b/>
        </w:rPr>
        <w:t xml:space="preserve">catorce de julio </w:t>
      </w:r>
      <w:r w:rsidR="007C3CF9" w:rsidRPr="0032424A">
        <w:rPr>
          <w:rFonts w:ascii="Palatino Linotype" w:hAnsi="Palatino Linotype"/>
          <w:b/>
        </w:rPr>
        <w:t>de dos mil veinticinco</w:t>
      </w:r>
      <w:r w:rsidR="007C3CF9" w:rsidRPr="0032424A">
        <w:rPr>
          <w:rFonts w:ascii="Palatino Linotype" w:hAnsi="Palatino Linotype"/>
        </w:rPr>
        <w:t xml:space="preserve">, se tuvo por presentada ante el Instituto de Transparencia, Acceso a la información Pública y Protección de Datos Personales del Estado de México y Municipios, a través del Sistema de Acceso, Rectificación, Cancelación y Oposición de Datos Personales del Estado de México (SARCOEM), la solicitud de Acceso a Datos Personales número </w:t>
      </w:r>
      <w:r w:rsidR="009E5493" w:rsidRPr="0032424A">
        <w:rPr>
          <w:rFonts w:ascii="Palatino Linotype" w:hAnsi="Palatino Linotype"/>
          <w:b/>
          <w:bCs/>
        </w:rPr>
        <w:t>00910</w:t>
      </w:r>
      <w:r w:rsidR="007C3CF9" w:rsidRPr="0032424A">
        <w:rPr>
          <w:rFonts w:ascii="Palatino Linotype" w:hAnsi="Palatino Linotype"/>
          <w:b/>
          <w:bCs/>
        </w:rPr>
        <w:t>/</w:t>
      </w:r>
      <w:r w:rsidR="009E5493" w:rsidRPr="0032424A">
        <w:rPr>
          <w:rFonts w:ascii="Palatino Linotype" w:hAnsi="Palatino Linotype"/>
          <w:b/>
          <w:bCs/>
        </w:rPr>
        <w:t>ISSEMYM</w:t>
      </w:r>
      <w:r w:rsidR="007C3CF9" w:rsidRPr="0032424A">
        <w:rPr>
          <w:rFonts w:ascii="Palatino Linotype" w:hAnsi="Palatino Linotype"/>
          <w:b/>
          <w:bCs/>
        </w:rPr>
        <w:t>/AD/2025</w:t>
      </w:r>
      <w:r w:rsidR="007C3CF9" w:rsidRPr="0032424A">
        <w:rPr>
          <w:rFonts w:ascii="Palatino Linotype" w:hAnsi="Palatino Linotype"/>
        </w:rPr>
        <w:t xml:space="preserve">, dirigida al </w:t>
      </w:r>
      <w:r w:rsidR="009E5493" w:rsidRPr="0032424A">
        <w:rPr>
          <w:rFonts w:ascii="Palatino Linotype" w:hAnsi="Palatino Linotype"/>
          <w:b/>
          <w:bCs/>
        </w:rPr>
        <w:t>Instituto de Seguridad Social del Estado de México y Municipios</w:t>
      </w:r>
      <w:r w:rsidR="007C3CF9" w:rsidRPr="0032424A">
        <w:rPr>
          <w:rFonts w:ascii="Palatino Linotype" w:hAnsi="Palatino Linotype"/>
        </w:rPr>
        <w:t xml:space="preserve">, por </w:t>
      </w:r>
      <w:r w:rsidR="00BA069F">
        <w:rPr>
          <w:rFonts w:ascii="Palatino Linotype" w:hAnsi="Palatino Linotype"/>
          <w:b/>
          <w:bCs/>
        </w:rPr>
        <w:t>XXXX</w:t>
      </w:r>
      <w:r w:rsidR="007C3CF9" w:rsidRPr="0032424A">
        <w:rPr>
          <w:rFonts w:ascii="Palatino Linotype" w:hAnsi="Palatino Linotype"/>
          <w:b/>
          <w:bCs/>
        </w:rPr>
        <w:t xml:space="preserve">, </w:t>
      </w:r>
      <w:r w:rsidR="007C3CF9" w:rsidRPr="0032424A">
        <w:rPr>
          <w:rFonts w:ascii="Palatino Linotype" w:hAnsi="Palatino Linotype"/>
        </w:rPr>
        <w:t>quien solicitó tener acceso a los siguientes datos personales:</w:t>
      </w:r>
    </w:p>
    <w:p w:rsidR="007C3CF9" w:rsidRPr="0032424A" w:rsidRDefault="007C3CF9" w:rsidP="007C3CF9">
      <w:pPr>
        <w:jc w:val="both"/>
        <w:rPr>
          <w:rFonts w:ascii="Palatino Linotype" w:hAnsi="Palatino Linotype"/>
        </w:rPr>
      </w:pPr>
    </w:p>
    <w:p w:rsidR="007C3CF9" w:rsidRPr="0032424A" w:rsidRDefault="007C3CF9" w:rsidP="007C3CF9">
      <w:pPr>
        <w:ind w:left="851" w:right="616"/>
        <w:jc w:val="both"/>
        <w:rPr>
          <w:rFonts w:ascii="Palatino Linotype" w:hAnsi="Palatino Linotype"/>
          <w:i/>
          <w:color w:val="000000"/>
        </w:rPr>
      </w:pPr>
      <w:r w:rsidRPr="0032424A">
        <w:rPr>
          <w:rFonts w:ascii="Palatino Linotype" w:hAnsi="Palatino Linotype"/>
          <w:i/>
          <w:color w:val="000000"/>
        </w:rPr>
        <w:t>“</w:t>
      </w:r>
      <w:r w:rsidR="0024374F" w:rsidRPr="0032424A">
        <w:rPr>
          <w:rFonts w:ascii="Palatino Linotype" w:hAnsi="Palatino Linotype"/>
          <w:i/>
          <w:color w:val="000000"/>
        </w:rPr>
        <w:t>Dese obtener acceso y copia de todo mi historial clínico en el ISSEMyM desde mi nacimiento hasta mi mayoría de edad, ya que ahora en el IMSS me solicitan mucho datos específicos que solo estan plasmados en la historia clínica</w:t>
      </w:r>
      <w:r w:rsidRPr="0032424A">
        <w:rPr>
          <w:rFonts w:ascii="Palatino Linotype" w:hAnsi="Palatino Linotype"/>
          <w:i/>
          <w:color w:val="000000"/>
        </w:rPr>
        <w:t>.” (Sic)</w:t>
      </w:r>
    </w:p>
    <w:p w:rsidR="007C3CF9" w:rsidRPr="0032424A" w:rsidRDefault="007C3CF9" w:rsidP="007C3CF9">
      <w:pPr>
        <w:jc w:val="both"/>
        <w:rPr>
          <w:rFonts w:ascii="Palatino Linotype" w:hAnsi="Palatino Linotype"/>
        </w:rPr>
      </w:pPr>
    </w:p>
    <w:p w:rsidR="007C3CF9" w:rsidRPr="0032424A" w:rsidRDefault="007C3CF9" w:rsidP="007C3CF9">
      <w:pPr>
        <w:spacing w:line="360" w:lineRule="auto"/>
        <w:jc w:val="both"/>
        <w:rPr>
          <w:rFonts w:ascii="Palatino Linotype" w:hAnsi="Palatino Linotype"/>
          <w:color w:val="000000"/>
        </w:rPr>
      </w:pPr>
      <w:r w:rsidRPr="0032424A">
        <w:rPr>
          <w:rFonts w:ascii="Palatino Linotype" w:hAnsi="Palatino Linotype"/>
          <w:color w:val="000000"/>
        </w:rPr>
        <w:t xml:space="preserve">Señalando como </w:t>
      </w:r>
      <w:r w:rsidRPr="0032424A">
        <w:rPr>
          <w:rFonts w:ascii="Palatino Linotype" w:hAnsi="Palatino Linotype"/>
          <w:b/>
          <w:color w:val="000000"/>
        </w:rPr>
        <w:t>modalidad</w:t>
      </w:r>
      <w:r w:rsidRPr="0032424A">
        <w:rPr>
          <w:rFonts w:ascii="Palatino Linotype" w:hAnsi="Palatino Linotype"/>
          <w:color w:val="000000"/>
        </w:rPr>
        <w:t xml:space="preserve"> de acceso a través de </w:t>
      </w:r>
      <w:r w:rsidR="0024374F" w:rsidRPr="0032424A">
        <w:rPr>
          <w:rFonts w:ascii="Palatino Linotype" w:hAnsi="Palatino Linotype"/>
          <w:b/>
          <w:color w:val="000000"/>
        </w:rPr>
        <w:t>SARCOEM</w:t>
      </w:r>
      <w:r w:rsidRPr="0032424A">
        <w:rPr>
          <w:rFonts w:ascii="Palatino Linotype" w:hAnsi="Palatino Linotype"/>
          <w:b/>
          <w:color w:val="000000"/>
        </w:rPr>
        <w:t xml:space="preserve">. </w:t>
      </w:r>
    </w:p>
    <w:p w:rsidR="007C3CF9" w:rsidRPr="0032424A" w:rsidRDefault="007C3CF9" w:rsidP="007C3CF9">
      <w:pPr>
        <w:jc w:val="both"/>
        <w:rPr>
          <w:rFonts w:ascii="Palatino Linotype" w:hAnsi="Palatino Linotype"/>
          <w:color w:val="000000"/>
        </w:rPr>
      </w:pPr>
    </w:p>
    <w:p w:rsidR="007C3CF9" w:rsidRPr="0032424A" w:rsidRDefault="0024374F" w:rsidP="007C3CF9">
      <w:pPr>
        <w:spacing w:line="360" w:lineRule="auto"/>
        <w:ind w:left="567" w:right="616"/>
        <w:jc w:val="both"/>
        <w:rPr>
          <w:rFonts w:ascii="Palatino Linotype" w:hAnsi="Palatino Linotype"/>
          <w:color w:val="000000"/>
        </w:rPr>
      </w:pPr>
      <w:r w:rsidRPr="0032424A">
        <w:rPr>
          <w:rFonts w:ascii="Palatino Linotype" w:hAnsi="Palatino Linotype"/>
          <w:color w:val="000000"/>
        </w:rPr>
        <w:lastRenderedPageBreak/>
        <w:t>El</w:t>
      </w:r>
      <w:r w:rsidR="007C3CF9" w:rsidRPr="0032424A">
        <w:rPr>
          <w:rFonts w:ascii="Palatino Linotype" w:hAnsi="Palatino Linotype"/>
          <w:color w:val="000000"/>
        </w:rPr>
        <w:t xml:space="preserve"> solicitante adjuntó el archivo de nombre </w:t>
      </w:r>
      <w:r w:rsidRPr="0032424A">
        <w:rPr>
          <w:rFonts w:ascii="Palatino Linotype" w:hAnsi="Palatino Linotype"/>
          <w:b/>
          <w:i/>
          <w:color w:val="000000"/>
        </w:rPr>
        <w:t>Cartila de Servicio Militar</w:t>
      </w:r>
      <w:r w:rsidR="007C3CF9" w:rsidRPr="0032424A">
        <w:rPr>
          <w:rFonts w:ascii="Palatino Linotype" w:hAnsi="Palatino Linotype"/>
          <w:b/>
          <w:i/>
          <w:color w:val="000000"/>
        </w:rPr>
        <w:t>.pdf</w:t>
      </w:r>
      <w:r w:rsidRPr="0032424A">
        <w:rPr>
          <w:rFonts w:ascii="Palatino Linotype" w:hAnsi="Palatino Linotype"/>
          <w:color w:val="000000"/>
        </w:rPr>
        <w:t xml:space="preserve">, </w:t>
      </w:r>
      <w:r w:rsidR="007C3CF9" w:rsidRPr="0032424A">
        <w:rPr>
          <w:rFonts w:ascii="Palatino Linotype" w:hAnsi="Palatino Linotype"/>
          <w:color w:val="000000"/>
        </w:rPr>
        <w:t>consistente en:</w:t>
      </w:r>
    </w:p>
    <w:p w:rsidR="0024374F" w:rsidRPr="0032424A" w:rsidRDefault="0024374F" w:rsidP="007C3CF9">
      <w:pPr>
        <w:pStyle w:val="Prrafodelista"/>
        <w:numPr>
          <w:ilvl w:val="0"/>
          <w:numId w:val="8"/>
        </w:numPr>
        <w:spacing w:line="360" w:lineRule="auto"/>
        <w:ind w:right="616"/>
        <w:jc w:val="both"/>
        <w:rPr>
          <w:rFonts w:ascii="Palatino Linotype" w:hAnsi="Palatino Linotype"/>
          <w:color w:val="000000"/>
        </w:rPr>
      </w:pPr>
      <w:r w:rsidRPr="0032424A">
        <w:rPr>
          <w:rFonts w:ascii="Palatino Linotype" w:hAnsi="Palatino Linotype"/>
          <w:color w:val="000000"/>
        </w:rPr>
        <w:t xml:space="preserve">Cartilla de Servicio Militar a nombre de </w:t>
      </w:r>
      <w:r w:rsidR="00BA069F">
        <w:rPr>
          <w:rFonts w:ascii="Palatino Linotype" w:hAnsi="Palatino Linotype"/>
          <w:color w:val="000000"/>
        </w:rPr>
        <w:t>XXXX</w:t>
      </w:r>
      <w:r w:rsidRPr="0032424A">
        <w:rPr>
          <w:rFonts w:ascii="Palatino Linotype" w:hAnsi="Palatino Linotype"/>
          <w:color w:val="000000"/>
        </w:rPr>
        <w:t xml:space="preserve">; </w:t>
      </w:r>
    </w:p>
    <w:p w:rsidR="007C3CF9" w:rsidRPr="0032424A" w:rsidRDefault="0024374F" w:rsidP="007C3CF9">
      <w:pPr>
        <w:pStyle w:val="Prrafodelista"/>
        <w:numPr>
          <w:ilvl w:val="0"/>
          <w:numId w:val="8"/>
        </w:numPr>
        <w:spacing w:line="360" w:lineRule="auto"/>
        <w:ind w:right="616"/>
        <w:jc w:val="both"/>
        <w:rPr>
          <w:rFonts w:ascii="Palatino Linotype" w:hAnsi="Palatino Linotype"/>
          <w:color w:val="000000"/>
        </w:rPr>
      </w:pPr>
      <w:r w:rsidRPr="0032424A">
        <w:rPr>
          <w:rFonts w:ascii="Palatino Linotype" w:hAnsi="Palatino Linotype"/>
          <w:color w:val="000000"/>
        </w:rPr>
        <w:t>Certificado Médico de Incapacidad Física</w:t>
      </w:r>
      <w:r w:rsidR="007C3CF9" w:rsidRPr="0032424A">
        <w:rPr>
          <w:rFonts w:ascii="Palatino Linotype" w:hAnsi="Palatino Linotype"/>
          <w:color w:val="000000"/>
        </w:rPr>
        <w:t>.</w:t>
      </w:r>
    </w:p>
    <w:p w:rsidR="0024374F" w:rsidRPr="0032424A" w:rsidRDefault="0024374F" w:rsidP="0024374F">
      <w:pPr>
        <w:jc w:val="both"/>
        <w:rPr>
          <w:rFonts w:ascii="Palatino Linotype" w:hAnsi="Palatino Linotype"/>
          <w:color w:val="000000"/>
        </w:rPr>
      </w:pPr>
    </w:p>
    <w:p w:rsidR="00382CF6" w:rsidRPr="0032424A" w:rsidRDefault="00382CF6" w:rsidP="00382CF6">
      <w:pPr>
        <w:pStyle w:val="Prrafodelista"/>
        <w:numPr>
          <w:ilvl w:val="0"/>
          <w:numId w:val="1"/>
        </w:numPr>
        <w:tabs>
          <w:tab w:val="left" w:pos="0"/>
        </w:tabs>
        <w:spacing w:line="360" w:lineRule="auto"/>
        <w:ind w:left="0" w:right="34" w:firstLine="0"/>
        <w:jc w:val="both"/>
        <w:rPr>
          <w:rFonts w:ascii="Palatino Linotype" w:eastAsia="Palatino Linotype" w:hAnsi="Palatino Linotype" w:cs="Palatino Linotype"/>
        </w:rPr>
      </w:pPr>
      <w:r w:rsidRPr="0032424A">
        <w:rPr>
          <w:rFonts w:ascii="Palatino Linotype" w:eastAsia="Palatino Linotype" w:hAnsi="Palatino Linotype" w:cs="Palatino Linotype"/>
        </w:rPr>
        <w:t xml:space="preserve">El </w:t>
      </w:r>
      <w:r w:rsidRPr="0032424A">
        <w:rPr>
          <w:rFonts w:ascii="Palatino Linotype" w:eastAsia="Palatino Linotype" w:hAnsi="Palatino Linotype" w:cs="Palatino Linotype"/>
          <w:b/>
        </w:rPr>
        <w:t xml:space="preserve">diecisiete de julio de dos mil veinticinco, </w:t>
      </w:r>
      <w:r w:rsidRPr="0032424A">
        <w:rPr>
          <w:rFonts w:ascii="Palatino Linotype" w:eastAsia="Palatino Linotype" w:hAnsi="Palatino Linotype" w:cs="Palatino Linotype"/>
        </w:rPr>
        <w:t xml:space="preserve">el </w:t>
      </w:r>
      <w:r w:rsidRPr="0032424A">
        <w:rPr>
          <w:rFonts w:ascii="Palatino Linotype" w:eastAsia="Palatino Linotype" w:hAnsi="Palatino Linotype" w:cs="Palatino Linotype"/>
          <w:b/>
        </w:rPr>
        <w:t xml:space="preserve">SUJETO OBLIGADO </w:t>
      </w:r>
      <w:r w:rsidRPr="0032424A">
        <w:rPr>
          <w:rFonts w:ascii="Palatino Linotype" w:eastAsia="Palatino Linotype" w:hAnsi="Palatino Linotype" w:cs="Palatino Linotype"/>
        </w:rPr>
        <w:t>requirió a la persona solicitante aclarar su solicitud de acceso a la información, en los siguientes términos:</w:t>
      </w:r>
    </w:p>
    <w:p w:rsidR="00382CF6" w:rsidRPr="0032424A" w:rsidRDefault="00382CF6" w:rsidP="00382CF6">
      <w:pPr>
        <w:pStyle w:val="Prrafodelista"/>
        <w:ind w:left="567" w:right="539"/>
        <w:jc w:val="both"/>
        <w:rPr>
          <w:rFonts w:ascii="Palatino Linotype" w:eastAsia="Palatino Linotype" w:hAnsi="Palatino Linotype" w:cs="Palatino Linotype"/>
          <w:i/>
        </w:rPr>
      </w:pPr>
      <w:r w:rsidRPr="0032424A">
        <w:rPr>
          <w:rFonts w:ascii="Palatino Linotype" w:eastAsia="Palatino Linotype" w:hAnsi="Palatino Linotype" w:cs="Palatino Linotype"/>
          <w:i/>
        </w:rPr>
        <w:t>Con fundamento en el artículo 159 de la Ley de Transparencia y Acceso a la Información Pública del Estado de México y Municipios, se le requiere para que dentro del plazo de diez días hábiles realice lo siguiente:</w:t>
      </w:r>
    </w:p>
    <w:p w:rsidR="00382CF6" w:rsidRPr="0032424A" w:rsidRDefault="00382CF6" w:rsidP="00382CF6">
      <w:pPr>
        <w:pStyle w:val="Prrafodelista"/>
        <w:ind w:left="567" w:right="539"/>
        <w:jc w:val="both"/>
        <w:rPr>
          <w:rFonts w:ascii="Palatino Linotype" w:eastAsia="Palatino Linotype" w:hAnsi="Palatino Linotype" w:cs="Palatino Linotype"/>
          <w:i/>
        </w:rPr>
      </w:pPr>
    </w:p>
    <w:p w:rsidR="00382CF6" w:rsidRPr="0032424A" w:rsidRDefault="00382CF6" w:rsidP="00382CF6">
      <w:pPr>
        <w:pStyle w:val="Prrafodelista"/>
        <w:ind w:left="567" w:right="539"/>
        <w:jc w:val="both"/>
        <w:rPr>
          <w:rFonts w:ascii="Palatino Linotype" w:eastAsia="Palatino Linotype" w:hAnsi="Palatino Linotype" w:cs="Palatino Linotype"/>
          <w:i/>
        </w:rPr>
      </w:pPr>
      <w:r w:rsidRPr="0032424A">
        <w:rPr>
          <w:rFonts w:ascii="Palatino Linotype" w:eastAsia="Palatino Linotype" w:hAnsi="Palatino Linotype" w:cs="Palatino Linotype"/>
          <w:i/>
        </w:rPr>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el horario para trámites en el Módulo de Transparencia es de 9: 00 a 15:00 horas.</w:t>
      </w:r>
    </w:p>
    <w:p w:rsidR="00382CF6" w:rsidRPr="0032424A" w:rsidRDefault="00382CF6" w:rsidP="00382CF6">
      <w:pPr>
        <w:pStyle w:val="Prrafodelista"/>
        <w:ind w:left="567" w:right="539"/>
        <w:jc w:val="both"/>
        <w:rPr>
          <w:rFonts w:ascii="Palatino Linotype" w:eastAsia="Palatino Linotype" w:hAnsi="Palatino Linotype" w:cs="Palatino Linotype"/>
          <w:i/>
        </w:rPr>
      </w:pPr>
    </w:p>
    <w:p w:rsidR="00382CF6" w:rsidRPr="0032424A" w:rsidRDefault="00382CF6" w:rsidP="00382CF6">
      <w:pPr>
        <w:pStyle w:val="Prrafodelista"/>
        <w:ind w:left="567" w:right="539"/>
        <w:jc w:val="both"/>
        <w:rPr>
          <w:rFonts w:ascii="Palatino Linotype" w:eastAsia="Palatino Linotype" w:hAnsi="Palatino Linotype" w:cs="Palatino Linotype"/>
          <w:i/>
        </w:rPr>
      </w:pPr>
      <w:r w:rsidRPr="0032424A">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w:t>
      </w:r>
    </w:p>
    <w:p w:rsidR="00382CF6" w:rsidRPr="0032424A" w:rsidRDefault="00382CF6" w:rsidP="00382CF6">
      <w:pPr>
        <w:pStyle w:val="Prrafodelista"/>
        <w:ind w:left="567" w:right="539"/>
        <w:jc w:val="both"/>
        <w:rPr>
          <w:rFonts w:ascii="Palatino Linotype" w:eastAsia="Palatino Linotype" w:hAnsi="Palatino Linotype" w:cs="Palatino Linotype"/>
          <w:i/>
        </w:rPr>
      </w:pPr>
    </w:p>
    <w:p w:rsidR="00382CF6" w:rsidRPr="0032424A" w:rsidRDefault="00382CF6" w:rsidP="00382CF6">
      <w:pPr>
        <w:pStyle w:val="Prrafodelista"/>
        <w:ind w:left="567" w:right="539"/>
        <w:jc w:val="both"/>
        <w:rPr>
          <w:rFonts w:ascii="Palatino Linotype" w:eastAsia="Palatino Linotype" w:hAnsi="Palatino Linotype" w:cs="Palatino Linotype"/>
        </w:rPr>
      </w:pPr>
      <w:r w:rsidRPr="0032424A">
        <w:rPr>
          <w:rFonts w:ascii="Palatino Linotype" w:eastAsia="Palatino Linotype" w:hAnsi="Palatino Linotype" w:cs="Palatino Linotype"/>
        </w:rPr>
        <w:t xml:space="preserve">Así mismo, adjuntó el documento denominado </w:t>
      </w:r>
      <w:r w:rsidRPr="0032424A">
        <w:rPr>
          <w:rFonts w:ascii="Palatino Linotype" w:eastAsia="Palatino Linotype" w:hAnsi="Palatino Linotype" w:cs="Palatino Linotype"/>
          <w:b/>
        </w:rPr>
        <w:t xml:space="preserve">ACLARACIÓN 910.AD-2025.pdf, </w:t>
      </w:r>
      <w:r w:rsidR="00AC4D02" w:rsidRPr="0032424A">
        <w:rPr>
          <w:rFonts w:ascii="Palatino Linotype" w:eastAsia="Palatino Linotype" w:hAnsi="Palatino Linotype" w:cs="Palatino Linotype"/>
        </w:rPr>
        <w:t xml:space="preserve">documento de fecha dieciséis de julio de dos mil veinticinco, suscrito por la Jefa del Departamento de Acceso a la Información Institucional, </w:t>
      </w:r>
      <w:r w:rsidRPr="0032424A">
        <w:rPr>
          <w:rFonts w:ascii="Palatino Linotype" w:eastAsia="Palatino Linotype" w:hAnsi="Palatino Linotype" w:cs="Palatino Linotype"/>
        </w:rPr>
        <w:t>a través del cual</w:t>
      </w:r>
      <w:r w:rsidRPr="0032424A">
        <w:rPr>
          <w:rFonts w:ascii="Palatino Linotype" w:eastAsia="Palatino Linotype" w:hAnsi="Palatino Linotype" w:cs="Palatino Linotype"/>
          <w:b/>
        </w:rPr>
        <w:t xml:space="preserve">, </w:t>
      </w:r>
      <w:r w:rsidR="00317FFA" w:rsidRPr="0032424A">
        <w:rPr>
          <w:rFonts w:ascii="Palatino Linotype" w:eastAsia="Palatino Linotype" w:hAnsi="Palatino Linotype" w:cs="Palatino Linotype"/>
        </w:rPr>
        <w:t>entre otras cosas</w:t>
      </w:r>
      <w:r w:rsidR="00317FFA" w:rsidRPr="0032424A">
        <w:rPr>
          <w:rFonts w:ascii="Palatino Linotype" w:eastAsia="Palatino Linotype" w:hAnsi="Palatino Linotype" w:cs="Palatino Linotype"/>
          <w:b/>
        </w:rPr>
        <w:t xml:space="preserve"> </w:t>
      </w:r>
      <w:r w:rsidRPr="0032424A">
        <w:rPr>
          <w:rFonts w:ascii="Palatino Linotype" w:eastAsia="Palatino Linotype" w:hAnsi="Palatino Linotype" w:cs="Palatino Linotype"/>
        </w:rPr>
        <w:t>refiere lo siguiente:</w:t>
      </w:r>
    </w:p>
    <w:p w:rsidR="00317FFA" w:rsidRPr="0032424A" w:rsidRDefault="00317FFA" w:rsidP="00382CF6">
      <w:pPr>
        <w:pStyle w:val="Prrafodelista"/>
        <w:ind w:left="567" w:right="539"/>
        <w:jc w:val="both"/>
        <w:rPr>
          <w:rFonts w:ascii="Palatino Linotype" w:eastAsia="Palatino Linotype" w:hAnsi="Palatino Linotype" w:cs="Palatino Linotype"/>
        </w:rPr>
      </w:pPr>
    </w:p>
    <w:p w:rsidR="00317FFA" w:rsidRPr="0032424A" w:rsidRDefault="00317FFA" w:rsidP="00382CF6">
      <w:pPr>
        <w:pStyle w:val="Prrafodelista"/>
        <w:ind w:left="567" w:right="539"/>
        <w:jc w:val="both"/>
        <w:rPr>
          <w:rFonts w:ascii="Palatino Linotype" w:hAnsi="Palatino Linotype"/>
          <w:i/>
        </w:rPr>
      </w:pPr>
      <w:r w:rsidRPr="0032424A">
        <w:rPr>
          <w:rFonts w:ascii="Palatino Linotype" w:hAnsi="Palatino Linotype"/>
          <w:i/>
        </w:rPr>
        <w:t>“…Requerimiento para que el solicitante presente documento, mediante el cual acredite su personalidad como titular de los datos personales o su representante legal, o en su caso, los datos no claros de la solicitud, respecto de la cual requiere su acceso, rectificación o cancelación…</w:t>
      </w:r>
    </w:p>
    <w:p w:rsidR="00317FFA" w:rsidRPr="0032424A" w:rsidRDefault="00317FFA" w:rsidP="00382CF6">
      <w:pPr>
        <w:pStyle w:val="Prrafodelista"/>
        <w:ind w:left="567" w:right="539"/>
        <w:jc w:val="both"/>
        <w:rPr>
          <w:rFonts w:ascii="Palatino Linotype" w:hAnsi="Palatino Linotype"/>
          <w:i/>
        </w:rPr>
      </w:pPr>
    </w:p>
    <w:p w:rsidR="00317FFA" w:rsidRPr="0032424A" w:rsidRDefault="00317FFA" w:rsidP="00382CF6">
      <w:pPr>
        <w:pStyle w:val="Prrafodelista"/>
        <w:ind w:left="567" w:right="539"/>
        <w:jc w:val="both"/>
        <w:rPr>
          <w:rFonts w:ascii="Palatino Linotype" w:hAnsi="Palatino Linotype"/>
          <w:i/>
        </w:rPr>
      </w:pPr>
      <w:r w:rsidRPr="0032424A">
        <w:rPr>
          <w:rFonts w:ascii="Palatino Linotype" w:hAnsi="Palatino Linotype"/>
          <w:i/>
        </w:rPr>
        <w:lastRenderedPageBreak/>
        <w:t xml:space="preserve">… </w:t>
      </w:r>
      <w:r w:rsidRPr="0032424A">
        <w:rPr>
          <w:rFonts w:ascii="Palatino Linotype" w:hAnsi="Palatino Linotype"/>
          <w:b/>
          <w:i/>
        </w:rPr>
        <w:t>Se solicita al particular presentar a través del Sistema de Acceso, Rectificación Cancelación y Oposición de Datos Personales del Estado de México denominado SARCOEM, precise su clave ISSEMYM, siendo éste el número con el que se identifica cada derechohabiente del Instituto de Seguridad Social del Estado de México, y la unidad médica donde se localiza el expediente clínico, ya que este Instituto cuenta con 109 Unidades Médicas</w:t>
      </w:r>
      <w:r w:rsidRPr="0032424A">
        <w:rPr>
          <w:rFonts w:ascii="Palatino Linotype" w:hAnsi="Palatino Linotype"/>
          <w:i/>
        </w:rPr>
        <w:t>, con la finalidad de iniciar la búsqueda en los archivos del Instituto de Seguridad Social del Estado de México y Municipios…</w:t>
      </w:r>
    </w:p>
    <w:p w:rsidR="00382CF6" w:rsidRPr="0032424A" w:rsidRDefault="00382CF6" w:rsidP="00382CF6">
      <w:pPr>
        <w:spacing w:line="360" w:lineRule="auto"/>
        <w:jc w:val="both"/>
        <w:rPr>
          <w:rFonts w:ascii="Palatino Linotype" w:eastAsia="Palatino Linotype" w:hAnsi="Palatino Linotype" w:cs="Palatino Linotype"/>
        </w:rPr>
      </w:pPr>
    </w:p>
    <w:p w:rsidR="00AC4D02" w:rsidRPr="0032424A" w:rsidRDefault="00AC4D02" w:rsidP="00AC4D02">
      <w:pPr>
        <w:pStyle w:val="Prrafodelista"/>
        <w:numPr>
          <w:ilvl w:val="0"/>
          <w:numId w:val="1"/>
        </w:numPr>
        <w:tabs>
          <w:tab w:val="left" w:pos="0"/>
        </w:tabs>
        <w:spacing w:line="360" w:lineRule="auto"/>
        <w:ind w:left="0" w:right="34" w:firstLine="0"/>
        <w:jc w:val="both"/>
        <w:rPr>
          <w:rFonts w:ascii="Palatino Linotype" w:eastAsia="Palatino Linotype" w:hAnsi="Palatino Linotype" w:cs="Palatino Linotype"/>
        </w:rPr>
      </w:pPr>
      <w:r w:rsidRPr="0032424A">
        <w:rPr>
          <w:rFonts w:ascii="Palatino Linotype" w:eastAsia="Palatino Linotype" w:hAnsi="Palatino Linotype" w:cs="Palatino Linotype"/>
        </w:rPr>
        <w:t xml:space="preserve">El </w:t>
      </w:r>
      <w:r w:rsidRPr="0032424A">
        <w:rPr>
          <w:rFonts w:ascii="Palatino Linotype" w:eastAsia="Palatino Linotype" w:hAnsi="Palatino Linotype" w:cs="Palatino Linotype"/>
          <w:b/>
        </w:rPr>
        <w:t xml:space="preserve">dieciocho de julio de dos mil veinticinco, </w:t>
      </w:r>
      <w:r w:rsidRPr="0032424A">
        <w:rPr>
          <w:rFonts w:ascii="Palatino Linotype" w:eastAsia="Palatino Linotype" w:hAnsi="Palatino Linotype" w:cs="Palatino Linotype"/>
        </w:rPr>
        <w:t>el particular desahogó la aclaración, al tenor de lo siguiente:</w:t>
      </w:r>
    </w:p>
    <w:p w:rsidR="00AC4D02" w:rsidRPr="0032424A" w:rsidRDefault="00AC4D02" w:rsidP="00AC4D02">
      <w:pPr>
        <w:ind w:left="567" w:right="539"/>
        <w:jc w:val="both"/>
        <w:rPr>
          <w:rFonts w:ascii="Palatino Linotype" w:hAnsi="Palatino Linotype"/>
          <w:i/>
        </w:rPr>
      </w:pPr>
      <w:r w:rsidRPr="0032424A">
        <w:rPr>
          <w:rFonts w:ascii="Palatino Linotype" w:hAnsi="Palatino Linotype"/>
          <w:i/>
        </w:rPr>
        <w:t>“A continuación proporciono los datos solicitados: Clave ISSEM</w:t>
      </w:r>
      <w:r w:rsidR="009432AF" w:rsidRPr="0032424A">
        <w:rPr>
          <w:rFonts w:ascii="Palatino Linotype" w:hAnsi="Palatino Linotype"/>
          <w:i/>
        </w:rPr>
        <w:t>Y</w:t>
      </w:r>
      <w:r w:rsidRPr="0032424A">
        <w:rPr>
          <w:rFonts w:ascii="Palatino Linotype" w:hAnsi="Palatino Linotype"/>
          <w:i/>
        </w:rPr>
        <w:t xml:space="preserve">M: </w:t>
      </w:r>
      <w:r w:rsidR="00BA069F">
        <w:rPr>
          <w:rFonts w:ascii="Palatino Linotype" w:hAnsi="Palatino Linotype"/>
          <w:i/>
        </w:rPr>
        <w:t>XXXX</w:t>
      </w:r>
      <w:r w:rsidRPr="0032424A">
        <w:rPr>
          <w:rFonts w:ascii="Palatino Linotype" w:hAnsi="Palatino Linotype"/>
          <w:i/>
        </w:rPr>
        <w:t xml:space="preserve"> Unidad de salud: 2408 "Lázaro Cárdenas" Adjunto credencial de derechohabiente.” (Sic.)</w:t>
      </w:r>
    </w:p>
    <w:p w:rsidR="00AC4D02" w:rsidRPr="0032424A" w:rsidRDefault="00AC4D02" w:rsidP="00AC4D02">
      <w:pPr>
        <w:ind w:left="567" w:right="539"/>
        <w:jc w:val="both"/>
        <w:rPr>
          <w:rFonts w:ascii="Palatino Linotype" w:hAnsi="Palatino Linotype"/>
          <w:i/>
        </w:rPr>
      </w:pPr>
    </w:p>
    <w:p w:rsidR="009432AF" w:rsidRPr="0032424A" w:rsidRDefault="00AC4D02" w:rsidP="00AC4D02">
      <w:pPr>
        <w:ind w:left="567" w:right="539"/>
        <w:jc w:val="both"/>
        <w:rPr>
          <w:rFonts w:ascii="Palatino Linotype" w:hAnsi="Palatino Linotype"/>
        </w:rPr>
      </w:pPr>
      <w:r w:rsidRPr="0032424A">
        <w:rPr>
          <w:rFonts w:ascii="Palatino Linotype" w:hAnsi="Palatino Linotype"/>
        </w:rPr>
        <w:t xml:space="preserve">Como documento </w:t>
      </w:r>
      <w:r w:rsidR="009432AF" w:rsidRPr="0032424A">
        <w:rPr>
          <w:rFonts w:ascii="Palatino Linotype" w:hAnsi="Palatino Linotype"/>
        </w:rPr>
        <w:t xml:space="preserve">agrega </w:t>
      </w:r>
      <w:r w:rsidRPr="0032424A">
        <w:rPr>
          <w:rFonts w:ascii="Palatino Linotype" w:hAnsi="Palatino Linotype"/>
        </w:rPr>
        <w:t xml:space="preserve">credencial de ISSEMYM a </w:t>
      </w:r>
      <w:r w:rsidR="009432AF" w:rsidRPr="0032424A">
        <w:rPr>
          <w:rFonts w:ascii="Palatino Linotype" w:hAnsi="Palatino Linotype"/>
        </w:rPr>
        <w:t xml:space="preserve">su </w:t>
      </w:r>
      <w:r w:rsidRPr="0032424A">
        <w:rPr>
          <w:rFonts w:ascii="Palatino Linotype" w:hAnsi="Palatino Linotype"/>
        </w:rPr>
        <w:t>nombre</w:t>
      </w:r>
      <w:r w:rsidR="009432AF" w:rsidRPr="0032424A">
        <w:rPr>
          <w:rFonts w:ascii="Palatino Linotype" w:hAnsi="Palatino Linotype"/>
        </w:rPr>
        <w:t>, del que se advierte como fecha de emisión el quince de julio de dos mil nueve y fecha de vencimiento el siete de octubre de dos mil once.</w:t>
      </w:r>
    </w:p>
    <w:p w:rsidR="00382CF6" w:rsidRPr="0032424A" w:rsidRDefault="00382CF6" w:rsidP="009432AF">
      <w:pPr>
        <w:spacing w:line="360" w:lineRule="auto"/>
        <w:jc w:val="both"/>
        <w:rPr>
          <w:rFonts w:ascii="Palatino Linotype" w:hAnsi="Palatino Linotype"/>
          <w:color w:val="000000"/>
        </w:rPr>
      </w:pPr>
    </w:p>
    <w:p w:rsidR="007C3CF9" w:rsidRPr="0032424A" w:rsidRDefault="007C3CF9" w:rsidP="007C3CF9">
      <w:pPr>
        <w:numPr>
          <w:ilvl w:val="0"/>
          <w:numId w:val="1"/>
        </w:numPr>
        <w:spacing w:line="360" w:lineRule="auto"/>
        <w:ind w:left="0" w:firstLine="0"/>
        <w:jc w:val="both"/>
        <w:rPr>
          <w:rFonts w:ascii="Palatino Linotype" w:hAnsi="Palatino Linotype"/>
          <w:color w:val="000000"/>
        </w:rPr>
      </w:pPr>
      <w:r w:rsidRPr="0032424A">
        <w:rPr>
          <w:rFonts w:ascii="Palatino Linotype" w:hAnsi="Palatino Linotype"/>
          <w:color w:val="000000"/>
        </w:rPr>
        <w:t xml:space="preserve">El </w:t>
      </w:r>
      <w:r w:rsidR="009432AF" w:rsidRPr="0032424A">
        <w:rPr>
          <w:rFonts w:ascii="Palatino Linotype" w:hAnsi="Palatino Linotype"/>
          <w:b/>
          <w:color w:val="000000"/>
        </w:rPr>
        <w:t xml:space="preserve">veintidós de agosto </w:t>
      </w:r>
      <w:r w:rsidRPr="0032424A">
        <w:rPr>
          <w:rFonts w:ascii="Palatino Linotype" w:hAnsi="Palatino Linotype"/>
          <w:b/>
          <w:color w:val="000000"/>
        </w:rPr>
        <w:t>de dos mil veinticinco</w:t>
      </w:r>
      <w:r w:rsidRPr="0032424A">
        <w:rPr>
          <w:rFonts w:ascii="Palatino Linotype" w:hAnsi="Palatino Linotype"/>
          <w:color w:val="000000"/>
        </w:rPr>
        <w:t xml:space="preserve">, en el tablero de detalle del seguimiento de solicitudes del Sistema SARCOEM, se visualiza una respuesta a la solicitud </w:t>
      </w:r>
      <w:r w:rsidR="009432AF" w:rsidRPr="0032424A">
        <w:rPr>
          <w:rFonts w:ascii="Palatino Linotype" w:hAnsi="Palatino Linotype"/>
          <w:color w:val="000000"/>
        </w:rPr>
        <w:t>en los siguientes términos</w:t>
      </w:r>
      <w:r w:rsidRPr="0032424A">
        <w:rPr>
          <w:rFonts w:ascii="Palatino Linotype" w:hAnsi="Palatino Linotype"/>
          <w:color w:val="000000"/>
        </w:rPr>
        <w:t>:</w:t>
      </w:r>
    </w:p>
    <w:p w:rsidR="007C3CF9" w:rsidRPr="0032424A" w:rsidRDefault="007C3CF9" w:rsidP="007C3CF9">
      <w:pPr>
        <w:spacing w:line="360" w:lineRule="auto"/>
        <w:jc w:val="both"/>
        <w:rPr>
          <w:rFonts w:ascii="Palatino Linotype" w:hAnsi="Palatino Linotype"/>
          <w:color w:val="000000"/>
        </w:rPr>
      </w:pPr>
    </w:p>
    <w:p w:rsidR="009432AF" w:rsidRPr="0032424A" w:rsidRDefault="009432AF" w:rsidP="009432AF">
      <w:pPr>
        <w:ind w:left="567" w:right="474"/>
        <w:jc w:val="both"/>
        <w:rPr>
          <w:rFonts w:ascii="Palatino Linotype" w:hAnsi="Palatino Linotype"/>
          <w:i/>
          <w:color w:val="000000"/>
        </w:rPr>
      </w:pPr>
      <w:r w:rsidRPr="0032424A">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432AF" w:rsidRPr="0032424A" w:rsidRDefault="009432AF" w:rsidP="007C3CF9">
      <w:pPr>
        <w:spacing w:line="360" w:lineRule="auto"/>
        <w:jc w:val="both"/>
        <w:rPr>
          <w:rFonts w:ascii="Palatino Linotype" w:hAnsi="Palatino Linotype"/>
          <w:color w:val="000000"/>
        </w:rPr>
      </w:pPr>
    </w:p>
    <w:p w:rsidR="009432AF" w:rsidRPr="0032424A" w:rsidRDefault="009432AF" w:rsidP="009432AF">
      <w:pPr>
        <w:ind w:left="567" w:right="474"/>
        <w:jc w:val="both"/>
        <w:rPr>
          <w:rFonts w:ascii="Palatino Linotype" w:hAnsi="Palatino Linotype"/>
          <w:i/>
          <w:color w:val="000000"/>
        </w:rPr>
      </w:pPr>
      <w:r w:rsidRPr="0032424A">
        <w:rPr>
          <w:rFonts w:ascii="Palatino Linotype" w:hAnsi="Palatino Linotype"/>
          <w:i/>
          <w:color w:val="000000"/>
        </w:rPr>
        <w:t xml:space="preserve">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w:t>
      </w:r>
      <w:r w:rsidRPr="0032424A">
        <w:rPr>
          <w:rFonts w:ascii="Palatino Linotype" w:hAnsi="Palatino Linotype"/>
          <w:i/>
          <w:color w:val="000000"/>
        </w:rPr>
        <w:lastRenderedPageBreak/>
        <w:t>MUY IMPORTANTE: Se hace de su conocimiento que, el horario para trámites en el Módulo de Transparencia es de 9: 00 a 15:00 horas.</w:t>
      </w:r>
    </w:p>
    <w:p w:rsidR="009432AF" w:rsidRPr="0032424A" w:rsidRDefault="009432AF" w:rsidP="009432AF">
      <w:pPr>
        <w:ind w:left="567" w:right="474"/>
        <w:jc w:val="both"/>
        <w:rPr>
          <w:rFonts w:ascii="Palatino Linotype" w:hAnsi="Palatino Linotype"/>
          <w:i/>
          <w:color w:val="000000"/>
        </w:rPr>
      </w:pPr>
    </w:p>
    <w:p w:rsidR="009432AF" w:rsidRPr="0032424A" w:rsidRDefault="0069554D" w:rsidP="00663A9D">
      <w:pPr>
        <w:spacing w:line="360" w:lineRule="auto"/>
        <w:ind w:left="567" w:right="474"/>
        <w:jc w:val="both"/>
        <w:rPr>
          <w:rFonts w:ascii="Palatino Linotype" w:hAnsi="Palatino Linotype"/>
          <w:color w:val="000000"/>
        </w:rPr>
      </w:pPr>
      <w:r w:rsidRPr="0032424A">
        <w:rPr>
          <w:rFonts w:ascii="Palatino Linotype" w:hAnsi="Palatino Linotype"/>
          <w:color w:val="000000"/>
        </w:rPr>
        <w:t xml:space="preserve">A la respuesta adjunto el documento denominado </w:t>
      </w:r>
      <w:hyperlink r:id="rId8" w:tgtFrame="_blank" w:history="1">
        <w:r w:rsidRPr="0032424A">
          <w:rPr>
            <w:rFonts w:ascii="Palatino Linotype" w:hAnsi="Palatino Linotype"/>
            <w:b/>
            <w:color w:val="000000"/>
          </w:rPr>
          <w:t>RESPUESTA 910.AD.pdf</w:t>
        </w:r>
      </w:hyperlink>
      <w:r w:rsidRPr="0032424A">
        <w:rPr>
          <w:rFonts w:ascii="Palatino Linotype" w:hAnsi="Palatino Linotype"/>
          <w:b/>
          <w:color w:val="000000"/>
        </w:rPr>
        <w:t xml:space="preserve">, </w:t>
      </w:r>
      <w:r w:rsidRPr="0032424A">
        <w:rPr>
          <w:rFonts w:ascii="Palatino Linotype" w:hAnsi="Palatino Linotype"/>
          <w:color w:val="000000"/>
        </w:rPr>
        <w:t>del que se advierte</w:t>
      </w:r>
      <w:r w:rsidRPr="0032424A">
        <w:rPr>
          <w:rFonts w:ascii="Palatino Linotype" w:hAnsi="Palatino Linotype"/>
          <w:b/>
          <w:color w:val="000000"/>
        </w:rPr>
        <w:t xml:space="preserve"> </w:t>
      </w:r>
      <w:r w:rsidRPr="0032424A">
        <w:rPr>
          <w:rFonts w:ascii="Palatino Linotype" w:hAnsi="Palatino Linotype"/>
          <w:color w:val="000000"/>
        </w:rPr>
        <w:t>el oficio 207C0401210001S-UT-2026-2025 de fecha veintidós de agosto de dos mil veinticinco, signado por el Responsable y Titular de la Unidad de Transparencia, mediante el cual informa al particular que después de realizar una búsqueda exhaustiva en los archivos de la Coordinación de Servicios de Salud, conforme a las facultades, funciones y competencias que le otorga el Manual General de Organización del ISSEMYM; mismo que solicitó al Director de la Clínica Externa “Lázaro Cárdenas”, no obstante indicó que no se tiene expediente físico ni electrónico en esa Unidad, agregando una captara de pantalla en el que se visualiza la leyenda “</w:t>
      </w:r>
      <w:r w:rsidRPr="0032424A">
        <w:rPr>
          <w:rFonts w:ascii="Palatino Linotype" w:hAnsi="Palatino Linotype"/>
          <w:i/>
          <w:color w:val="000000"/>
        </w:rPr>
        <w:t xml:space="preserve">No se encontró un paciente con los datos </w:t>
      </w:r>
      <w:r w:rsidR="00BC3321" w:rsidRPr="0032424A">
        <w:rPr>
          <w:rFonts w:ascii="Palatino Linotype" w:hAnsi="Palatino Linotype"/>
          <w:i/>
          <w:color w:val="000000"/>
        </w:rPr>
        <w:t>suministrados</w:t>
      </w:r>
      <w:r w:rsidRPr="0032424A">
        <w:rPr>
          <w:rFonts w:ascii="Palatino Linotype" w:hAnsi="Palatino Linotype"/>
          <w:color w:val="000000"/>
        </w:rPr>
        <w:t>”</w:t>
      </w:r>
      <w:r w:rsidR="00BC3321" w:rsidRPr="0032424A">
        <w:rPr>
          <w:rFonts w:ascii="Palatino Linotype" w:hAnsi="Palatino Linotype"/>
          <w:color w:val="000000"/>
        </w:rPr>
        <w:t>, tal como se advierte con la siguiente imagen:</w:t>
      </w:r>
    </w:p>
    <w:p w:rsidR="00BC3321" w:rsidRPr="0032424A" w:rsidRDefault="00BC3321" w:rsidP="009432AF">
      <w:pPr>
        <w:ind w:left="567" w:right="474"/>
        <w:jc w:val="both"/>
        <w:rPr>
          <w:rFonts w:ascii="Palatino Linotype" w:hAnsi="Palatino Linotype"/>
          <w:color w:val="000000"/>
        </w:rPr>
      </w:pPr>
    </w:p>
    <w:p w:rsidR="00BC3321" w:rsidRPr="0032424A" w:rsidRDefault="00BC3321" w:rsidP="00BC3321">
      <w:pPr>
        <w:ind w:left="567" w:right="474"/>
        <w:jc w:val="center"/>
        <w:rPr>
          <w:rFonts w:ascii="Palatino Linotype" w:hAnsi="Palatino Linotype"/>
          <w:color w:val="000000"/>
        </w:rPr>
      </w:pPr>
      <w:r w:rsidRPr="0032424A">
        <w:rPr>
          <w:rFonts w:ascii="Palatino Linotype" w:hAnsi="Palatino Linotype"/>
          <w:noProof/>
          <w:color w:val="000000"/>
        </w:rPr>
        <w:drawing>
          <wp:inline distT="0" distB="0" distL="0" distR="0" wp14:anchorId="73413769" wp14:editId="661099C4">
            <wp:extent cx="3028950" cy="1504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37" t="5702" r="3175" b="4219"/>
                    <a:stretch/>
                  </pic:blipFill>
                  <pic:spPr bwMode="auto">
                    <a:xfrm>
                      <a:off x="0" y="0"/>
                      <a:ext cx="3028950" cy="1504950"/>
                    </a:xfrm>
                    <a:prstGeom prst="rect">
                      <a:avLst/>
                    </a:prstGeom>
                    <a:ln>
                      <a:noFill/>
                    </a:ln>
                    <a:extLst>
                      <a:ext uri="{53640926-AAD7-44D8-BBD7-CCE9431645EC}">
                        <a14:shadowObscured xmlns:a14="http://schemas.microsoft.com/office/drawing/2010/main"/>
                      </a:ext>
                    </a:extLst>
                  </pic:spPr>
                </pic:pic>
              </a:graphicData>
            </a:graphic>
          </wp:inline>
        </w:drawing>
      </w:r>
    </w:p>
    <w:p w:rsidR="00BC3321" w:rsidRPr="0032424A" w:rsidRDefault="00BC3321" w:rsidP="009432AF">
      <w:pPr>
        <w:ind w:left="567" w:right="474"/>
        <w:jc w:val="both"/>
        <w:rPr>
          <w:rFonts w:ascii="Palatino Linotype" w:hAnsi="Palatino Linotype"/>
          <w:color w:val="000000"/>
        </w:rPr>
      </w:pPr>
    </w:p>
    <w:p w:rsidR="007C3CF9" w:rsidRPr="0032424A" w:rsidRDefault="007C3CF9" w:rsidP="007C3CF9">
      <w:pPr>
        <w:numPr>
          <w:ilvl w:val="0"/>
          <w:numId w:val="1"/>
        </w:numPr>
        <w:spacing w:line="360" w:lineRule="auto"/>
        <w:ind w:left="0" w:firstLine="0"/>
        <w:jc w:val="both"/>
        <w:rPr>
          <w:rFonts w:ascii="Palatino Linotype" w:hAnsi="Palatino Linotype"/>
        </w:rPr>
      </w:pPr>
      <w:r w:rsidRPr="0032424A">
        <w:rPr>
          <w:rFonts w:ascii="Palatino Linotype" w:hAnsi="Palatino Linotype"/>
          <w:color w:val="000000"/>
        </w:rPr>
        <w:t xml:space="preserve">El </w:t>
      </w:r>
      <w:r w:rsidR="007E6336" w:rsidRPr="0032424A">
        <w:rPr>
          <w:rFonts w:ascii="Palatino Linotype" w:hAnsi="Palatino Linotype"/>
          <w:b/>
          <w:color w:val="000000"/>
        </w:rPr>
        <w:t xml:space="preserve">siete de septiembre </w:t>
      </w:r>
      <w:r w:rsidRPr="0032424A">
        <w:rPr>
          <w:rFonts w:ascii="Palatino Linotype" w:hAnsi="Palatino Linotype"/>
          <w:b/>
          <w:color w:val="000000"/>
        </w:rPr>
        <w:t>de dos mil veinticinco,</w:t>
      </w:r>
      <w:r w:rsidR="007E6336" w:rsidRPr="0032424A">
        <w:rPr>
          <w:rFonts w:ascii="Palatino Linotype" w:hAnsi="Palatino Linotype"/>
          <w:color w:val="000000"/>
        </w:rPr>
        <w:t xml:space="preserve"> el</w:t>
      </w:r>
      <w:r w:rsidRPr="0032424A">
        <w:rPr>
          <w:rFonts w:ascii="Palatino Linotype" w:hAnsi="Palatino Linotype"/>
          <w:color w:val="000000"/>
        </w:rPr>
        <w:t xml:space="preserve"> particular</w:t>
      </w:r>
      <w:r w:rsidRPr="0032424A">
        <w:rPr>
          <w:rFonts w:ascii="Palatino Linotype" w:hAnsi="Palatino Linotype"/>
        </w:rPr>
        <w:t xml:space="preserve"> interpuso el recurso de revisión respectivo, refiriendo sus razones o motivos de inconformidad que se describen a continuación en su sentido toral:</w:t>
      </w:r>
    </w:p>
    <w:p w:rsidR="007C3CF9" w:rsidRPr="0032424A" w:rsidRDefault="007C3CF9" w:rsidP="007C3CF9">
      <w:pPr>
        <w:jc w:val="both"/>
        <w:rPr>
          <w:rFonts w:ascii="Palatino Linotype" w:hAnsi="Palatino Linotype"/>
        </w:rPr>
      </w:pPr>
    </w:p>
    <w:p w:rsidR="007C3CF9" w:rsidRPr="0032424A" w:rsidRDefault="007C3CF9" w:rsidP="007C3CF9">
      <w:pPr>
        <w:ind w:left="851" w:right="474"/>
        <w:jc w:val="both"/>
        <w:rPr>
          <w:rFonts w:ascii="Palatino Linotype" w:hAnsi="Palatino Linotype"/>
          <w:b/>
          <w:bCs/>
        </w:rPr>
      </w:pPr>
      <w:r w:rsidRPr="0032424A">
        <w:rPr>
          <w:rFonts w:ascii="Palatino Linotype" w:hAnsi="Palatino Linotype"/>
          <w:b/>
          <w:bCs/>
        </w:rPr>
        <w:t>Acto impugnado:</w:t>
      </w:r>
    </w:p>
    <w:p w:rsidR="007C3CF9" w:rsidRPr="0032424A" w:rsidRDefault="007C3CF9" w:rsidP="007C3CF9">
      <w:pPr>
        <w:ind w:left="851" w:right="474"/>
        <w:jc w:val="both"/>
        <w:rPr>
          <w:rFonts w:ascii="Palatino Linotype" w:hAnsi="Palatino Linotype"/>
          <w:i/>
        </w:rPr>
      </w:pPr>
      <w:r w:rsidRPr="0032424A">
        <w:rPr>
          <w:rFonts w:ascii="Palatino Linotype" w:hAnsi="Palatino Linotype"/>
          <w:i/>
        </w:rPr>
        <w:t>“</w:t>
      </w:r>
      <w:r w:rsidR="007E6336" w:rsidRPr="0032424A">
        <w:rPr>
          <w:rFonts w:ascii="Palatino Linotype" w:hAnsi="Palatino Linotype"/>
          <w:i/>
        </w:rPr>
        <w:t>RESPUESTA EMITIDA A LA SOLICXITUD DE DATOS PERSONLES</w:t>
      </w:r>
      <w:r w:rsidRPr="0032424A">
        <w:rPr>
          <w:rFonts w:ascii="Palatino Linotype" w:hAnsi="Palatino Linotype"/>
          <w:i/>
        </w:rPr>
        <w:t>” (Sic)</w:t>
      </w:r>
    </w:p>
    <w:p w:rsidR="007C3CF9" w:rsidRPr="0032424A" w:rsidRDefault="007C3CF9" w:rsidP="007C3CF9">
      <w:pPr>
        <w:ind w:left="1134" w:right="2034"/>
        <w:jc w:val="both"/>
        <w:rPr>
          <w:rFonts w:ascii="Palatino Linotype" w:hAnsi="Palatino Linotype"/>
          <w:bCs/>
        </w:rPr>
      </w:pPr>
    </w:p>
    <w:p w:rsidR="007C3CF9" w:rsidRPr="0032424A" w:rsidRDefault="007C3CF9" w:rsidP="007C3CF9">
      <w:pPr>
        <w:ind w:left="851" w:right="333"/>
        <w:jc w:val="both"/>
        <w:rPr>
          <w:rFonts w:ascii="Palatino Linotype" w:hAnsi="Palatino Linotype"/>
          <w:b/>
          <w:bCs/>
        </w:rPr>
      </w:pPr>
      <w:r w:rsidRPr="0032424A">
        <w:rPr>
          <w:rFonts w:ascii="Palatino Linotype" w:hAnsi="Palatino Linotype"/>
          <w:b/>
          <w:bCs/>
        </w:rPr>
        <w:lastRenderedPageBreak/>
        <w:t>Razones o motivos de la inconformidad:</w:t>
      </w:r>
    </w:p>
    <w:p w:rsidR="007C3CF9" w:rsidRPr="0032424A" w:rsidRDefault="007C3CF9" w:rsidP="007C3CF9">
      <w:pPr>
        <w:ind w:left="851" w:right="333"/>
        <w:rPr>
          <w:rFonts w:ascii="Palatino Linotype" w:hAnsi="Palatino Linotype"/>
        </w:rPr>
      </w:pPr>
    </w:p>
    <w:p w:rsidR="007C3CF9" w:rsidRPr="0032424A" w:rsidRDefault="007C3CF9" w:rsidP="007E6336">
      <w:pPr>
        <w:ind w:left="851" w:right="474"/>
        <w:jc w:val="both"/>
        <w:rPr>
          <w:rFonts w:ascii="Palatino Linotype" w:hAnsi="Palatino Linotype"/>
          <w:i/>
        </w:rPr>
      </w:pPr>
      <w:r w:rsidRPr="0032424A">
        <w:rPr>
          <w:rFonts w:ascii="Palatino Linotype" w:hAnsi="Palatino Linotype"/>
          <w:i/>
        </w:rPr>
        <w:t>“</w:t>
      </w:r>
      <w:r w:rsidR="007E6336" w:rsidRPr="0032424A">
        <w:rPr>
          <w:rFonts w:ascii="Palatino Linotype" w:hAnsi="Palatino Linotype"/>
          <w:i/>
        </w:rPr>
        <w:t xml:space="preserve">No es posible que no exista ningún documento NI FÍSICO NI DIGITAL de mi historia clínica, LITERALMENTE fui derechohabiente del ISSEMyM desde mi nacimiento hasta mi mayoría de edad y, más aún, hasta los 24 años que terminé la Universidad. Antes de la digitalización de la información, TODOS los resúmenes de las consultas se hacían a máquina y se anexaban a un folder por el médico familiar (que en mi caso era en el consultorio 03 de la Clínica de Consulta Externa "Lázaro Cárdenas"; y me atendía la Dra, Tania E. Mariquez Salas y en ocasiones la Dra. Beatriz, esto antes de la renovación y ampliación de la clínica). Adjunto algunas recetas, certificados de buena salud y mi hoja de alta del Hospital Materno Infantil después de una crisis de asma. Solicito amablemente exigir a la institución realizar una búsqueda exhaustiva de dichos documentos o, en su defecto, si no lo quieren hacer, PERMITIRME el acceso AL ARCHIVO DEL ISSEMyM QUE SE ENCUENTRA EN Cor. Bernardo G. de Lara 144, Morelos Primera Secc, 50120 Toluca de Lerdo, Méx; para hacerlo personalmente. SON 24 AÑOS DE HISTORIA CLÍNICA QUE NO PIENSO DEJAR PERDER </w:t>
      </w:r>
      <w:r w:rsidRPr="0032424A">
        <w:rPr>
          <w:rFonts w:ascii="Palatino Linotype" w:hAnsi="Palatino Linotype"/>
          <w:i/>
        </w:rPr>
        <w:t>(Sic)</w:t>
      </w:r>
    </w:p>
    <w:p w:rsidR="007C3CF9" w:rsidRPr="0032424A" w:rsidRDefault="007C3CF9" w:rsidP="007C3CF9">
      <w:pPr>
        <w:ind w:left="1134" w:right="2034"/>
        <w:jc w:val="both"/>
        <w:rPr>
          <w:rFonts w:ascii="Palatino Linotype" w:hAnsi="Palatino Linotype"/>
          <w:i/>
          <w:color w:val="000000"/>
        </w:rPr>
      </w:pPr>
    </w:p>
    <w:p w:rsidR="007C3CF9" w:rsidRPr="0032424A" w:rsidRDefault="007C3CF9" w:rsidP="007C3CF9">
      <w:pPr>
        <w:spacing w:line="360" w:lineRule="auto"/>
        <w:jc w:val="both"/>
        <w:rPr>
          <w:rFonts w:ascii="Palatino Linotype" w:hAnsi="Palatino Linotype"/>
        </w:rPr>
      </w:pPr>
      <w:r w:rsidRPr="0032424A">
        <w:rPr>
          <w:rFonts w:ascii="Palatino Linotype" w:hAnsi="Palatino Linotype"/>
        </w:rPr>
        <w:t xml:space="preserve">El recurrente adjuntó </w:t>
      </w:r>
      <w:r w:rsidR="007E6336" w:rsidRPr="0032424A">
        <w:rPr>
          <w:rFonts w:ascii="Palatino Linotype" w:hAnsi="Palatino Linotype"/>
        </w:rPr>
        <w:t xml:space="preserve">los </w:t>
      </w:r>
      <w:r w:rsidRPr="0032424A">
        <w:rPr>
          <w:rFonts w:ascii="Palatino Linotype" w:hAnsi="Palatino Linotype"/>
        </w:rPr>
        <w:t>documento</w:t>
      </w:r>
      <w:r w:rsidR="007E6336" w:rsidRPr="0032424A">
        <w:rPr>
          <w:rFonts w:ascii="Palatino Linotype" w:hAnsi="Palatino Linotype"/>
        </w:rPr>
        <w:t>s</w:t>
      </w:r>
      <w:r w:rsidRPr="0032424A">
        <w:rPr>
          <w:rFonts w:ascii="Palatino Linotype" w:hAnsi="Palatino Linotype"/>
        </w:rPr>
        <w:t xml:space="preserve"> que se describe</w:t>
      </w:r>
      <w:r w:rsidR="007E6336" w:rsidRPr="0032424A">
        <w:rPr>
          <w:rFonts w:ascii="Palatino Linotype" w:hAnsi="Palatino Linotype"/>
        </w:rPr>
        <w:t>n</w:t>
      </w:r>
      <w:r w:rsidRPr="0032424A">
        <w:rPr>
          <w:rFonts w:ascii="Palatino Linotype" w:hAnsi="Palatino Linotype"/>
        </w:rPr>
        <w:t xml:space="preserve"> a continuación:</w:t>
      </w:r>
    </w:p>
    <w:p w:rsidR="007E6336" w:rsidRPr="0032424A" w:rsidRDefault="00D721B1" w:rsidP="00663A9D">
      <w:pPr>
        <w:numPr>
          <w:ilvl w:val="0"/>
          <w:numId w:val="21"/>
        </w:numPr>
        <w:spacing w:before="100" w:beforeAutospacing="1" w:after="100" w:afterAutospacing="1" w:line="360" w:lineRule="auto"/>
        <w:ind w:right="616"/>
        <w:jc w:val="both"/>
        <w:rPr>
          <w:rFonts w:ascii="Palatino Linotype" w:hAnsi="Palatino Linotype"/>
          <w:b/>
        </w:rPr>
      </w:pPr>
      <w:hyperlink r:id="rId10" w:tgtFrame="_blank" w:history="1">
        <w:r w:rsidR="007E6336" w:rsidRPr="0032424A">
          <w:rPr>
            <w:rFonts w:ascii="Palatino Linotype" w:hAnsi="Palatino Linotype"/>
            <w:b/>
          </w:rPr>
          <w:t>Hojas de ingreso y alta por crisis asmática ISSEMyM.pdf</w:t>
        </w:r>
      </w:hyperlink>
      <w:r w:rsidR="007E6336" w:rsidRPr="0032424A">
        <w:rPr>
          <w:rFonts w:ascii="Palatino Linotype" w:hAnsi="Palatino Linotype"/>
          <w:b/>
        </w:rPr>
        <w:t xml:space="preserve">: </w:t>
      </w:r>
      <w:r w:rsidR="007E6336" w:rsidRPr="0032424A">
        <w:rPr>
          <w:rFonts w:ascii="Palatino Linotype" w:hAnsi="Palatino Linotype"/>
        </w:rPr>
        <w:t>Documento constante de tres fojas del que se advierten los siguientes oficios:</w:t>
      </w:r>
    </w:p>
    <w:p w:rsidR="00CD648D" w:rsidRPr="0032424A" w:rsidRDefault="007E6336" w:rsidP="00663A9D">
      <w:pPr>
        <w:numPr>
          <w:ilvl w:val="1"/>
          <w:numId w:val="21"/>
        </w:numPr>
        <w:spacing w:before="100" w:beforeAutospacing="1" w:after="100" w:afterAutospacing="1" w:line="360" w:lineRule="auto"/>
        <w:ind w:right="616"/>
        <w:jc w:val="both"/>
        <w:rPr>
          <w:rFonts w:ascii="Palatino Linotype" w:hAnsi="Palatino Linotype"/>
          <w:b/>
        </w:rPr>
      </w:pPr>
      <w:r w:rsidRPr="0032424A">
        <w:rPr>
          <w:rFonts w:ascii="Palatino Linotype" w:hAnsi="Palatino Linotype"/>
        </w:rPr>
        <w:t xml:space="preserve">Constancia medica de fecha </w:t>
      </w:r>
      <w:r w:rsidR="00F21EB2" w:rsidRPr="0032424A">
        <w:rPr>
          <w:rFonts w:ascii="Palatino Linotype" w:hAnsi="Palatino Linotype"/>
        </w:rPr>
        <w:t>dieciséis</w:t>
      </w:r>
      <w:r w:rsidRPr="0032424A">
        <w:rPr>
          <w:rFonts w:ascii="Palatino Linotype" w:hAnsi="Palatino Linotype"/>
        </w:rPr>
        <w:t xml:space="preserve"> de enero de dos mil doce, </w:t>
      </w:r>
      <w:r w:rsidR="00CD648D" w:rsidRPr="0032424A">
        <w:rPr>
          <w:rFonts w:ascii="Palatino Linotype" w:hAnsi="Palatino Linotype"/>
        </w:rPr>
        <w:t>emitido por la Clínica de Consulta Externa “Lázaro Cárdenas”</w:t>
      </w:r>
    </w:p>
    <w:p w:rsidR="007E6336" w:rsidRPr="0032424A" w:rsidRDefault="00CD648D" w:rsidP="00663A9D">
      <w:pPr>
        <w:numPr>
          <w:ilvl w:val="1"/>
          <w:numId w:val="21"/>
        </w:numPr>
        <w:spacing w:before="100" w:beforeAutospacing="1" w:after="100" w:afterAutospacing="1" w:line="360" w:lineRule="auto"/>
        <w:ind w:right="616"/>
        <w:jc w:val="both"/>
        <w:rPr>
          <w:rFonts w:ascii="Palatino Linotype" w:hAnsi="Palatino Linotype"/>
          <w:b/>
        </w:rPr>
      </w:pPr>
      <w:r w:rsidRPr="0032424A">
        <w:rPr>
          <w:rFonts w:ascii="Palatino Linotype" w:hAnsi="Palatino Linotype"/>
        </w:rPr>
        <w:t xml:space="preserve">Hoja de egreso a nombre del recurrente de fecha catorce de septiembre </w:t>
      </w:r>
      <w:r w:rsidR="007E6336" w:rsidRPr="0032424A">
        <w:rPr>
          <w:rFonts w:ascii="Palatino Linotype" w:hAnsi="Palatino Linotype"/>
          <w:b/>
        </w:rPr>
        <w:t xml:space="preserve"> </w:t>
      </w:r>
      <w:r w:rsidRPr="0032424A">
        <w:rPr>
          <w:rFonts w:ascii="Palatino Linotype" w:hAnsi="Palatino Linotype"/>
        </w:rPr>
        <w:t>de dos mil once</w:t>
      </w:r>
    </w:p>
    <w:p w:rsidR="00CD648D" w:rsidRPr="0032424A" w:rsidRDefault="00CD648D" w:rsidP="00663A9D">
      <w:pPr>
        <w:numPr>
          <w:ilvl w:val="1"/>
          <w:numId w:val="21"/>
        </w:numPr>
        <w:spacing w:before="100" w:beforeAutospacing="1" w:after="100" w:afterAutospacing="1" w:line="360" w:lineRule="auto"/>
        <w:ind w:right="616"/>
        <w:jc w:val="both"/>
        <w:rPr>
          <w:rFonts w:ascii="Palatino Linotype" w:hAnsi="Palatino Linotype"/>
        </w:rPr>
      </w:pPr>
      <w:r w:rsidRPr="0032424A">
        <w:rPr>
          <w:rFonts w:ascii="Palatino Linotype" w:hAnsi="Palatino Linotype"/>
        </w:rPr>
        <w:t>Nota de Egreso del Servicio, por el padecimiento de crisis asmática.</w:t>
      </w:r>
    </w:p>
    <w:p w:rsidR="005B5F6D" w:rsidRPr="0032424A" w:rsidRDefault="005B5F6D">
      <w:pPr>
        <w:jc w:val="both"/>
        <w:rPr>
          <w:rFonts w:ascii="Palatino Linotype" w:eastAsia="Palatino Linotype" w:hAnsi="Palatino Linotype" w:cs="Palatino Linotype"/>
        </w:rPr>
      </w:pPr>
    </w:p>
    <w:p w:rsidR="002200C9" w:rsidRPr="0032424A" w:rsidRDefault="002200C9" w:rsidP="002200C9">
      <w:pPr>
        <w:numPr>
          <w:ilvl w:val="0"/>
          <w:numId w:val="1"/>
        </w:numP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b/>
          <w:color w:val="000000"/>
        </w:rPr>
        <w:t>C</w:t>
      </w:r>
      <w:r w:rsidRPr="0032424A">
        <w:rPr>
          <w:rFonts w:ascii="Palatino Linotype" w:eastAsia="Palatino Linotype" w:hAnsi="Palatino Linotype" w:cs="Palatino Linotype"/>
          <w:color w:val="000000"/>
        </w:rPr>
        <w:t xml:space="preserve">on fundamento en los artículos 11, 127 y 131, de la </w:t>
      </w:r>
      <w:r w:rsidRPr="0032424A">
        <w:rPr>
          <w:rFonts w:ascii="Palatino Linotype" w:eastAsia="Palatino Linotype" w:hAnsi="Palatino Linotype" w:cs="Palatino Linotype"/>
          <w:b/>
          <w:color w:val="000000"/>
        </w:rPr>
        <w:t xml:space="preserve">Ley de Protección de Datos Personales en </w:t>
      </w:r>
      <w:r w:rsidRPr="0032424A">
        <w:rPr>
          <w:rFonts w:ascii="Palatino Linotype" w:eastAsia="Palatino Linotype" w:hAnsi="Palatino Linotype" w:cs="Palatino Linotype"/>
        </w:rPr>
        <w:t>Posesión</w:t>
      </w:r>
      <w:r w:rsidRPr="0032424A">
        <w:rPr>
          <w:rFonts w:ascii="Palatino Linotype" w:eastAsia="Palatino Linotype" w:hAnsi="Palatino Linotype" w:cs="Palatino Linotype"/>
          <w:b/>
          <w:color w:val="000000"/>
        </w:rPr>
        <w:t xml:space="preserve"> de Sujetos Obligados del Estado de México y Municipios</w:t>
      </w:r>
      <w:r w:rsidRPr="0032424A">
        <w:rPr>
          <w:rFonts w:ascii="Palatino Linotype" w:eastAsia="Palatino Linotype" w:hAnsi="Palatino Linotype" w:cs="Palatino Linotype"/>
          <w:color w:val="000000"/>
        </w:rPr>
        <w:t xml:space="preserve"> y 185, fracciones I, II y IV, de la Ley de Transparencia y Acceso a la Información Pública del Estado </w:t>
      </w:r>
      <w:r w:rsidRPr="0032424A">
        <w:rPr>
          <w:rFonts w:ascii="Palatino Linotype" w:eastAsia="Palatino Linotype" w:hAnsi="Palatino Linotype" w:cs="Palatino Linotype"/>
          <w:color w:val="000000"/>
        </w:rPr>
        <w:lastRenderedPageBreak/>
        <w:t xml:space="preserve">de México y Municipios de aplicación supletoria,  a través del </w:t>
      </w:r>
      <w:r w:rsidRPr="0032424A">
        <w:rPr>
          <w:rFonts w:ascii="Palatino Linotype" w:eastAsia="Palatino Linotype" w:hAnsi="Palatino Linotype" w:cs="Palatino Linotype"/>
          <w:b/>
          <w:color w:val="000000"/>
        </w:rPr>
        <w:t xml:space="preserve">acuerdo de </w:t>
      </w:r>
      <w:r w:rsidRPr="0032424A">
        <w:rPr>
          <w:rFonts w:ascii="Palatino Linotype" w:eastAsia="Palatino Linotype" w:hAnsi="Palatino Linotype" w:cs="Palatino Linotype"/>
          <w:color w:val="000000"/>
        </w:rPr>
        <w:t xml:space="preserve">fecha </w:t>
      </w:r>
      <w:r w:rsidR="004443BB" w:rsidRPr="0032424A">
        <w:rPr>
          <w:rFonts w:ascii="Palatino Linotype" w:eastAsia="Palatino Linotype" w:hAnsi="Palatino Linotype" w:cs="Palatino Linotype"/>
          <w:b/>
          <w:color w:val="000000"/>
        </w:rPr>
        <w:t xml:space="preserve">once de septiembre </w:t>
      </w:r>
      <w:r w:rsidRPr="0032424A">
        <w:rPr>
          <w:rFonts w:ascii="Palatino Linotype" w:eastAsia="Palatino Linotype" w:hAnsi="Palatino Linotype" w:cs="Palatino Linotype"/>
          <w:b/>
          <w:color w:val="000000"/>
        </w:rPr>
        <w:t>de dos mil veinticinco</w:t>
      </w:r>
      <w:r w:rsidRPr="0032424A">
        <w:rPr>
          <w:rFonts w:ascii="Palatino Linotype" w:eastAsia="Palatino Linotype" w:hAnsi="Palatino Linotype" w:cs="Palatino Linotype"/>
          <w:color w:val="000000"/>
        </w:rPr>
        <w:t xml:space="preserve">, se </w:t>
      </w:r>
      <w:r w:rsidRPr="0032424A">
        <w:rPr>
          <w:rFonts w:ascii="Palatino Linotype" w:eastAsia="Palatino Linotype" w:hAnsi="Palatino Linotype" w:cs="Palatino Linotype"/>
          <w:b/>
          <w:color w:val="000000"/>
        </w:rPr>
        <w:t>admitió</w:t>
      </w:r>
      <w:r w:rsidRPr="0032424A">
        <w:rPr>
          <w:rFonts w:ascii="Palatino Linotype" w:eastAsia="Palatino Linotype" w:hAnsi="Palatino Linotype" w:cs="Palatino Linotype"/>
          <w:color w:val="000000"/>
        </w:rPr>
        <w:t xml:space="preserve"> a trámite el Recurso de Revisión.</w:t>
      </w:r>
    </w:p>
    <w:p w:rsidR="005B5F6D" w:rsidRPr="0032424A" w:rsidRDefault="005B5F6D">
      <w:pPr>
        <w:jc w:val="both"/>
        <w:rPr>
          <w:rFonts w:ascii="Palatino Linotype" w:eastAsia="Palatino Linotype" w:hAnsi="Palatino Linotype" w:cs="Palatino Linotype"/>
        </w:rPr>
      </w:pPr>
    </w:p>
    <w:p w:rsidR="005B5F6D" w:rsidRPr="0032424A" w:rsidRDefault="00C1057C">
      <w:pPr>
        <w:numPr>
          <w:ilvl w:val="0"/>
          <w:numId w:val="1"/>
        </w:numP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t>En la misma fecha</w:t>
      </w:r>
      <w:r w:rsidR="00DF0D09" w:rsidRPr="0032424A">
        <w:rPr>
          <w:rFonts w:ascii="Palatino Linotype" w:eastAsia="Palatino Linotype" w:hAnsi="Palatino Linotype" w:cs="Palatino Linotype"/>
          <w:b/>
          <w:color w:val="000000"/>
        </w:rPr>
        <w:t xml:space="preserve"> </w:t>
      </w:r>
      <w:r w:rsidR="00DF0D09" w:rsidRPr="0032424A">
        <w:rPr>
          <w:rFonts w:ascii="Palatino Linotype" w:eastAsia="Palatino Linotype" w:hAnsi="Palatino Linotype" w:cs="Palatino Linotype"/>
          <w:color w:val="000000"/>
        </w:rPr>
        <w:t xml:space="preserve">se aperturó  la </w:t>
      </w:r>
      <w:r w:rsidR="00DF0D09" w:rsidRPr="0032424A">
        <w:rPr>
          <w:rFonts w:ascii="Palatino Linotype" w:eastAsia="Palatino Linotype" w:hAnsi="Palatino Linotype" w:cs="Palatino Linotype"/>
          <w:b/>
          <w:color w:val="000000"/>
        </w:rPr>
        <w:t>etapa de conciliación</w:t>
      </w:r>
      <w:r w:rsidR="00DF0D09" w:rsidRPr="0032424A">
        <w:rPr>
          <w:rFonts w:ascii="Palatino Linotype" w:eastAsia="Palatino Linotype" w:hAnsi="Palatino Linotype" w:cs="Palatino Linotype"/>
          <w:color w:val="000000"/>
        </w:rPr>
        <w:t xml:space="preserve"> a fin de que las </w:t>
      </w:r>
      <w:r w:rsidR="00DF0D09" w:rsidRPr="0032424A">
        <w:rPr>
          <w:rFonts w:ascii="Palatino Linotype" w:eastAsia="Palatino Linotype" w:hAnsi="Palatino Linotype" w:cs="Palatino Linotype"/>
        </w:rPr>
        <w:t>partes</w:t>
      </w:r>
      <w:r w:rsidR="00DF0D09" w:rsidRPr="0032424A">
        <w:rPr>
          <w:rFonts w:ascii="Palatino Linotype" w:eastAsia="Palatino Linotype" w:hAnsi="Palatino Linotype" w:cs="Palatino Linotype"/>
          <w:color w:val="000000"/>
        </w:rPr>
        <w:t xml:space="preserve"> pudieran conciliar los motivos que dieron inicio al recurso de revisión. </w:t>
      </w:r>
    </w:p>
    <w:p w:rsidR="005B5F6D" w:rsidRPr="0032424A" w:rsidRDefault="005B5F6D">
      <w:pPr>
        <w:jc w:val="both"/>
        <w:rPr>
          <w:rFonts w:ascii="Palatino Linotype" w:eastAsia="Palatino Linotype" w:hAnsi="Palatino Linotype" w:cs="Palatino Linotype"/>
          <w:color w:val="000000"/>
        </w:rPr>
      </w:pPr>
    </w:p>
    <w:p w:rsidR="002D6A28" w:rsidRPr="0032424A" w:rsidRDefault="00DF0D09" w:rsidP="007C3CF9">
      <w:pPr>
        <w:numPr>
          <w:ilvl w:val="0"/>
          <w:numId w:val="1"/>
        </w:numP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t xml:space="preserve">De lo anterior, </w:t>
      </w:r>
      <w:r w:rsidR="004443BB" w:rsidRPr="0032424A">
        <w:rPr>
          <w:rFonts w:ascii="Palatino Linotype" w:eastAsia="Palatino Linotype" w:hAnsi="Palatino Linotype" w:cs="Palatino Linotype"/>
          <w:color w:val="000000"/>
        </w:rPr>
        <w:t xml:space="preserve">el </w:t>
      </w:r>
      <w:r w:rsidR="004443BB" w:rsidRPr="0032424A">
        <w:rPr>
          <w:rFonts w:ascii="Palatino Linotype" w:eastAsia="Palatino Linotype" w:hAnsi="Palatino Linotype" w:cs="Palatino Linotype"/>
          <w:b/>
          <w:color w:val="000000"/>
        </w:rPr>
        <w:t xml:space="preserve">diecinueve de septiembre de dos mil veinticinco, </w:t>
      </w:r>
      <w:r w:rsidR="004443BB" w:rsidRPr="0032424A">
        <w:rPr>
          <w:rFonts w:ascii="Palatino Linotype" w:eastAsia="Palatino Linotype" w:hAnsi="Palatino Linotype" w:cs="Palatino Linotype"/>
          <w:color w:val="000000"/>
        </w:rPr>
        <w:t xml:space="preserve">el </w:t>
      </w:r>
      <w:r w:rsidR="004443BB" w:rsidRPr="0032424A">
        <w:rPr>
          <w:rFonts w:ascii="Palatino Linotype" w:eastAsia="Palatino Linotype" w:hAnsi="Palatino Linotype" w:cs="Palatino Linotype"/>
          <w:b/>
          <w:color w:val="000000"/>
        </w:rPr>
        <w:t xml:space="preserve">SUJETO OBLIGADO, </w:t>
      </w:r>
      <w:r w:rsidR="002D6A28" w:rsidRPr="0032424A">
        <w:rPr>
          <w:rFonts w:ascii="Palatino Linotype" w:eastAsia="Palatino Linotype" w:hAnsi="Palatino Linotype" w:cs="Palatino Linotype"/>
          <w:color w:val="000000"/>
        </w:rPr>
        <w:t xml:space="preserve">a través del documento denominado </w:t>
      </w:r>
      <w:r w:rsidR="002D6A28" w:rsidRPr="0032424A">
        <w:rPr>
          <w:rFonts w:ascii="Palatino Linotype" w:eastAsia="Palatino Linotype" w:hAnsi="Palatino Linotype" w:cs="Palatino Linotype"/>
          <w:b/>
          <w:color w:val="000000"/>
        </w:rPr>
        <w:t xml:space="preserve">10528.INFOEM.AD.RR.2025.pdf, </w:t>
      </w:r>
      <w:r w:rsidR="002D6A28" w:rsidRPr="0032424A">
        <w:rPr>
          <w:rFonts w:ascii="Palatino Linotype" w:eastAsia="Palatino Linotype" w:hAnsi="Palatino Linotype" w:cs="Palatino Linotype"/>
          <w:color w:val="000000"/>
        </w:rPr>
        <w:t>del que se advierte el oficio 207C04012100001S-UT-2298/2025 de fecha dieciocho de septiembre de dos mil veinticinco, suscrito por el Responsable y titular de la Unidad de Transparencia, mediante el cual solicita conciliar el presente asunto, a través de este Instituto, con la finalidad de que mediante este mecanismo alterno de solución de conflictos, se beneficie al solicitante.</w:t>
      </w:r>
    </w:p>
    <w:p w:rsidR="002D6A28" w:rsidRPr="0032424A" w:rsidRDefault="002D6A28" w:rsidP="002D6A28">
      <w:pPr>
        <w:pStyle w:val="Prrafodelista"/>
        <w:rPr>
          <w:rFonts w:ascii="Palatino Linotype" w:eastAsia="Palatino Linotype" w:hAnsi="Palatino Linotype" w:cs="Palatino Linotype"/>
          <w:color w:val="000000"/>
        </w:rPr>
      </w:pPr>
    </w:p>
    <w:p w:rsidR="002D6A28" w:rsidRPr="0032424A" w:rsidRDefault="002D6A28" w:rsidP="007C3CF9">
      <w:pPr>
        <w:numPr>
          <w:ilvl w:val="0"/>
          <w:numId w:val="1"/>
        </w:numP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t xml:space="preserve">Por su parte el </w:t>
      </w:r>
      <w:r w:rsidRPr="0032424A">
        <w:rPr>
          <w:rFonts w:ascii="Palatino Linotype" w:eastAsia="Palatino Linotype" w:hAnsi="Palatino Linotype" w:cs="Palatino Linotype"/>
          <w:b/>
          <w:color w:val="000000"/>
        </w:rPr>
        <w:t xml:space="preserve">RECURRENTE, </w:t>
      </w:r>
      <w:r w:rsidRPr="0032424A">
        <w:rPr>
          <w:rFonts w:ascii="Palatino Linotype" w:eastAsia="Palatino Linotype" w:hAnsi="Palatino Linotype" w:cs="Palatino Linotype"/>
          <w:color w:val="000000"/>
        </w:rPr>
        <w:t xml:space="preserve">en fecha </w:t>
      </w:r>
      <w:r w:rsidRPr="0032424A">
        <w:rPr>
          <w:rFonts w:ascii="Palatino Linotype" w:eastAsia="Palatino Linotype" w:hAnsi="Palatino Linotype" w:cs="Palatino Linotype"/>
          <w:b/>
          <w:color w:val="000000"/>
        </w:rPr>
        <w:t xml:space="preserve">veintiséis de septiembre de dos mil veinticinco, </w:t>
      </w:r>
      <w:r w:rsidRPr="0032424A">
        <w:rPr>
          <w:rFonts w:ascii="Palatino Linotype" w:eastAsia="Palatino Linotype" w:hAnsi="Palatino Linotype" w:cs="Palatino Linotype"/>
          <w:color w:val="000000"/>
        </w:rPr>
        <w:t>como evidencia remite los siguientes documentos:</w:t>
      </w:r>
    </w:p>
    <w:p w:rsidR="002D6A28" w:rsidRPr="0032424A" w:rsidRDefault="002D6A28" w:rsidP="00663A9D">
      <w:pPr>
        <w:pStyle w:val="Prrafodelista"/>
        <w:numPr>
          <w:ilvl w:val="0"/>
          <w:numId w:val="21"/>
        </w:numPr>
        <w:spacing w:line="360" w:lineRule="auto"/>
        <w:rPr>
          <w:rFonts w:ascii="Palatino Linotype" w:eastAsia="Palatino Linotype" w:hAnsi="Palatino Linotype" w:cs="Palatino Linotype"/>
          <w:color w:val="000000"/>
        </w:rPr>
      </w:pPr>
      <w:r w:rsidRPr="0032424A">
        <w:rPr>
          <w:rFonts w:ascii="Palatino Linotype" w:eastAsia="Palatino Linotype" w:hAnsi="Palatino Linotype" w:cs="Palatino Linotype"/>
          <w:b/>
          <w:color w:val="000000"/>
        </w:rPr>
        <w:t xml:space="preserve">Certificado de buena salud.pdf: </w:t>
      </w:r>
      <w:r w:rsidRPr="0032424A">
        <w:rPr>
          <w:rFonts w:ascii="Palatino Linotype" w:eastAsia="Palatino Linotype" w:hAnsi="Palatino Linotype" w:cs="Palatino Linotype"/>
          <w:color w:val="000000"/>
        </w:rPr>
        <w:t xml:space="preserve">Constante </w:t>
      </w:r>
      <w:r w:rsidR="00F21EB2" w:rsidRPr="0032424A">
        <w:rPr>
          <w:rFonts w:ascii="Palatino Linotype" w:eastAsia="Palatino Linotype" w:hAnsi="Palatino Linotype" w:cs="Palatino Linotype"/>
          <w:color w:val="000000"/>
        </w:rPr>
        <w:t>tres certificados de buena salud, emitidos en los años 2009 y 2012.</w:t>
      </w:r>
    </w:p>
    <w:p w:rsidR="002D6A28" w:rsidRPr="0032424A" w:rsidRDefault="002D6A28" w:rsidP="00663A9D">
      <w:pPr>
        <w:pStyle w:val="Prrafodelista"/>
        <w:numPr>
          <w:ilvl w:val="0"/>
          <w:numId w:val="21"/>
        </w:numPr>
        <w:spacing w:line="360" w:lineRule="auto"/>
        <w:rPr>
          <w:rFonts w:ascii="Palatino Linotype" w:eastAsia="Palatino Linotype" w:hAnsi="Palatino Linotype" w:cs="Palatino Linotype"/>
          <w:color w:val="000000"/>
        </w:rPr>
      </w:pPr>
      <w:r w:rsidRPr="0032424A">
        <w:rPr>
          <w:rFonts w:ascii="Palatino Linotype" w:eastAsia="Palatino Linotype" w:hAnsi="Palatino Linotype" w:cs="Palatino Linotype"/>
          <w:b/>
          <w:color w:val="000000"/>
        </w:rPr>
        <w:t>Credencial de ISSEMYM.pdf:</w:t>
      </w:r>
      <w:r w:rsidR="00F21EB2" w:rsidRPr="0032424A">
        <w:rPr>
          <w:rFonts w:ascii="Palatino Linotype" w:eastAsia="Palatino Linotype" w:hAnsi="Palatino Linotype" w:cs="Palatino Linotype"/>
          <w:b/>
          <w:color w:val="000000"/>
        </w:rPr>
        <w:t xml:space="preserve"> </w:t>
      </w:r>
      <w:r w:rsidR="00F21EB2" w:rsidRPr="0032424A">
        <w:rPr>
          <w:rFonts w:ascii="Palatino Linotype" w:eastAsia="Palatino Linotype" w:hAnsi="Palatino Linotype" w:cs="Palatino Linotype"/>
          <w:color w:val="000000"/>
        </w:rPr>
        <w:t>Credencial que lo acredita como derechohabiente de ISSEMYM.</w:t>
      </w:r>
      <w:r w:rsidR="00F21EB2" w:rsidRPr="0032424A">
        <w:rPr>
          <w:rFonts w:ascii="Palatino Linotype" w:eastAsia="Palatino Linotype" w:hAnsi="Palatino Linotype" w:cs="Palatino Linotype"/>
          <w:b/>
          <w:color w:val="000000"/>
        </w:rPr>
        <w:t xml:space="preserve"> </w:t>
      </w:r>
    </w:p>
    <w:p w:rsidR="00F21EB2" w:rsidRPr="0032424A" w:rsidRDefault="002D6A28" w:rsidP="00663A9D">
      <w:pPr>
        <w:numPr>
          <w:ilvl w:val="0"/>
          <w:numId w:val="21"/>
        </w:numPr>
        <w:spacing w:before="100" w:beforeAutospacing="1" w:after="100" w:afterAutospacing="1" w:line="360" w:lineRule="auto"/>
        <w:ind w:right="616"/>
        <w:jc w:val="both"/>
        <w:rPr>
          <w:rFonts w:ascii="Palatino Linotype" w:hAnsi="Palatino Linotype"/>
          <w:b/>
        </w:rPr>
      </w:pPr>
      <w:r w:rsidRPr="0032424A">
        <w:rPr>
          <w:rFonts w:ascii="Palatino Linotype" w:eastAsia="Palatino Linotype" w:hAnsi="Palatino Linotype" w:cs="Palatino Linotype"/>
          <w:b/>
          <w:color w:val="000000"/>
        </w:rPr>
        <w:t>Hojas de ingreso y alta por crisis asmática</w:t>
      </w:r>
      <w:r w:rsidR="00F21EB2" w:rsidRPr="0032424A">
        <w:rPr>
          <w:rFonts w:ascii="Palatino Linotype" w:eastAsia="Palatino Linotype" w:hAnsi="Palatino Linotype" w:cs="Palatino Linotype"/>
          <w:b/>
          <w:color w:val="000000"/>
        </w:rPr>
        <w:t xml:space="preserve">.pdf: </w:t>
      </w:r>
      <w:r w:rsidR="00F21EB2" w:rsidRPr="0032424A">
        <w:rPr>
          <w:rFonts w:ascii="Palatino Linotype" w:hAnsi="Palatino Linotype"/>
        </w:rPr>
        <w:t>Documento constante de tres fojas del que se advierten los siguientes oficios:</w:t>
      </w:r>
    </w:p>
    <w:p w:rsidR="00F21EB2" w:rsidRPr="0032424A" w:rsidRDefault="00F21EB2" w:rsidP="00663A9D">
      <w:pPr>
        <w:numPr>
          <w:ilvl w:val="1"/>
          <w:numId w:val="21"/>
        </w:numPr>
        <w:spacing w:before="100" w:beforeAutospacing="1" w:after="100" w:afterAutospacing="1" w:line="360" w:lineRule="auto"/>
        <w:ind w:right="616"/>
        <w:jc w:val="both"/>
        <w:rPr>
          <w:rFonts w:ascii="Palatino Linotype" w:hAnsi="Palatino Linotype"/>
          <w:b/>
        </w:rPr>
      </w:pPr>
      <w:r w:rsidRPr="0032424A">
        <w:rPr>
          <w:rFonts w:ascii="Palatino Linotype" w:hAnsi="Palatino Linotype"/>
        </w:rPr>
        <w:t>Constancia medica de fecha dieciséis de enero de dos mil doce, emitido por la Clínica de Consulta Externa “Lázaro Cárdenas”</w:t>
      </w:r>
    </w:p>
    <w:p w:rsidR="00F21EB2" w:rsidRPr="0032424A" w:rsidRDefault="00F21EB2" w:rsidP="00663A9D">
      <w:pPr>
        <w:numPr>
          <w:ilvl w:val="1"/>
          <w:numId w:val="21"/>
        </w:numPr>
        <w:spacing w:before="100" w:beforeAutospacing="1" w:after="100" w:afterAutospacing="1" w:line="360" w:lineRule="auto"/>
        <w:ind w:right="616"/>
        <w:jc w:val="both"/>
        <w:rPr>
          <w:rFonts w:ascii="Palatino Linotype" w:hAnsi="Palatino Linotype"/>
          <w:b/>
        </w:rPr>
      </w:pPr>
      <w:r w:rsidRPr="0032424A">
        <w:rPr>
          <w:rFonts w:ascii="Palatino Linotype" w:hAnsi="Palatino Linotype"/>
        </w:rPr>
        <w:t xml:space="preserve">Hoja de egreso a nombre del recurrente de fecha catorce de septiembre </w:t>
      </w:r>
      <w:r w:rsidRPr="0032424A">
        <w:rPr>
          <w:rFonts w:ascii="Palatino Linotype" w:hAnsi="Palatino Linotype"/>
          <w:b/>
        </w:rPr>
        <w:t xml:space="preserve"> </w:t>
      </w:r>
      <w:r w:rsidRPr="0032424A">
        <w:rPr>
          <w:rFonts w:ascii="Palatino Linotype" w:hAnsi="Palatino Linotype"/>
        </w:rPr>
        <w:t>de dos mil once</w:t>
      </w:r>
    </w:p>
    <w:p w:rsidR="00F21EB2" w:rsidRPr="0032424A" w:rsidRDefault="00F21EB2" w:rsidP="00663A9D">
      <w:pPr>
        <w:numPr>
          <w:ilvl w:val="1"/>
          <w:numId w:val="21"/>
        </w:numPr>
        <w:spacing w:before="100" w:beforeAutospacing="1" w:after="100" w:afterAutospacing="1" w:line="360" w:lineRule="auto"/>
        <w:ind w:right="616"/>
        <w:jc w:val="both"/>
        <w:rPr>
          <w:rFonts w:ascii="Palatino Linotype" w:hAnsi="Palatino Linotype"/>
        </w:rPr>
      </w:pPr>
      <w:r w:rsidRPr="0032424A">
        <w:rPr>
          <w:rFonts w:ascii="Palatino Linotype" w:hAnsi="Palatino Linotype"/>
        </w:rPr>
        <w:t>Nota de Egreso del Servicio, por el padecimiento de crisis asmática.</w:t>
      </w:r>
    </w:p>
    <w:p w:rsidR="005B5F6D" w:rsidRPr="0032424A" w:rsidRDefault="00F21EB2" w:rsidP="008112B7">
      <w:pPr>
        <w:spacing w:before="100" w:beforeAutospacing="1" w:after="100" w:afterAutospacing="1" w:line="360" w:lineRule="auto"/>
        <w:ind w:right="49"/>
        <w:jc w:val="both"/>
        <w:rPr>
          <w:rFonts w:ascii="Palatino Linotype" w:hAnsi="Palatino Linotype"/>
          <w:b/>
        </w:rPr>
      </w:pPr>
      <w:r w:rsidRPr="0032424A">
        <w:rPr>
          <w:rFonts w:ascii="Palatino Linotype" w:hAnsi="Palatino Linotype"/>
        </w:rPr>
        <w:lastRenderedPageBreak/>
        <w:t xml:space="preserve">Cabe precisar que de las manifestaciones vertidas por el particular, </w:t>
      </w:r>
      <w:r w:rsidRPr="0032424A">
        <w:rPr>
          <w:rFonts w:ascii="Palatino Linotype" w:hAnsi="Palatino Linotype"/>
          <w:b/>
        </w:rPr>
        <w:t>no se advierte el consentimiento expreso para celebrar una audiencia de conciliación, por ende</w:t>
      </w:r>
      <w:r w:rsidR="007C3CF9" w:rsidRPr="0032424A">
        <w:rPr>
          <w:rFonts w:ascii="Palatino Linotype" w:eastAsia="Palatino Linotype" w:hAnsi="Palatino Linotype" w:cs="Palatino Linotype"/>
          <w:color w:val="000000"/>
        </w:rPr>
        <w:t>, se procede a decretar el cierre de la etapa de conciliación y se da inicio a la etapa de manifestaciones</w:t>
      </w:r>
    </w:p>
    <w:p w:rsidR="005B5F6D" w:rsidRPr="0032424A" w:rsidRDefault="005B5F6D">
      <w:pPr>
        <w:spacing w:line="360" w:lineRule="auto"/>
        <w:jc w:val="both"/>
        <w:rPr>
          <w:rFonts w:ascii="Palatino Linotype" w:eastAsia="Palatino Linotype" w:hAnsi="Palatino Linotype" w:cs="Palatino Linotype"/>
          <w:color w:val="000000"/>
        </w:rPr>
      </w:pPr>
    </w:p>
    <w:p w:rsidR="005B5F6D" w:rsidRPr="0032424A" w:rsidRDefault="002B41DB">
      <w:pPr>
        <w:numPr>
          <w:ilvl w:val="0"/>
          <w:numId w:val="1"/>
        </w:numP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t xml:space="preserve">La </w:t>
      </w:r>
      <w:r w:rsidR="00DF0D09" w:rsidRPr="0032424A">
        <w:rPr>
          <w:rFonts w:ascii="Palatino Linotype" w:eastAsia="Palatino Linotype" w:hAnsi="Palatino Linotype" w:cs="Palatino Linotype"/>
          <w:color w:val="000000"/>
        </w:rPr>
        <w:t xml:space="preserve">parte Recurrente no realizó manifestaciones, alegatos ni presentó pruebas que a su derecho convinieran. Por su parte, el Sujeto Obligado </w:t>
      </w:r>
      <w:r w:rsidR="00DF0D09" w:rsidRPr="0032424A">
        <w:rPr>
          <w:rFonts w:ascii="Palatino Linotype" w:eastAsia="Palatino Linotype" w:hAnsi="Palatino Linotype" w:cs="Palatino Linotype"/>
          <w:b/>
          <w:color w:val="000000"/>
        </w:rPr>
        <w:t>rindió</w:t>
      </w:r>
      <w:r w:rsidR="008112B7" w:rsidRPr="0032424A">
        <w:rPr>
          <w:rFonts w:ascii="Palatino Linotype" w:eastAsia="Palatino Linotype" w:hAnsi="Palatino Linotype" w:cs="Palatino Linotype"/>
          <w:b/>
          <w:color w:val="000000"/>
        </w:rPr>
        <w:t xml:space="preserve"> el </w:t>
      </w:r>
      <w:r w:rsidR="00DF0D09" w:rsidRPr="0032424A">
        <w:rPr>
          <w:rFonts w:ascii="Palatino Linotype" w:eastAsia="Palatino Linotype" w:hAnsi="Palatino Linotype" w:cs="Palatino Linotype"/>
          <w:b/>
          <w:color w:val="000000"/>
        </w:rPr>
        <w:t>Informe Justificado</w:t>
      </w:r>
      <w:r w:rsidR="00DF0D09" w:rsidRPr="0032424A">
        <w:rPr>
          <w:rFonts w:ascii="Palatino Linotype" w:eastAsia="Palatino Linotype" w:hAnsi="Palatino Linotype" w:cs="Palatino Linotype"/>
          <w:color w:val="000000"/>
        </w:rPr>
        <w:t xml:space="preserve">, </w:t>
      </w:r>
      <w:r w:rsidR="008112B7" w:rsidRPr="0032424A">
        <w:rPr>
          <w:rFonts w:ascii="Palatino Linotype" w:eastAsia="Palatino Linotype" w:hAnsi="Palatino Linotype" w:cs="Palatino Linotype"/>
          <w:color w:val="000000"/>
        </w:rPr>
        <w:t>del que se advierten los siguientes documentos:</w:t>
      </w:r>
    </w:p>
    <w:p w:rsidR="008112B7" w:rsidRPr="0032424A" w:rsidRDefault="008112B7" w:rsidP="008112B7">
      <w:pPr>
        <w:spacing w:line="360" w:lineRule="auto"/>
        <w:jc w:val="both"/>
        <w:rPr>
          <w:rFonts w:ascii="Palatino Linotype" w:eastAsia="Palatino Linotype" w:hAnsi="Palatino Linotype" w:cs="Palatino Linotype"/>
          <w:color w:val="000000"/>
        </w:rPr>
      </w:pPr>
    </w:p>
    <w:p w:rsidR="008D7960" w:rsidRPr="0032424A" w:rsidRDefault="00D721B1" w:rsidP="008112B7">
      <w:pPr>
        <w:pStyle w:val="Prrafodelista"/>
        <w:numPr>
          <w:ilvl w:val="0"/>
          <w:numId w:val="26"/>
        </w:numPr>
        <w:spacing w:line="360" w:lineRule="auto"/>
        <w:jc w:val="both"/>
        <w:rPr>
          <w:rFonts w:ascii="Palatino Linotype" w:eastAsia="Palatino Linotype" w:hAnsi="Palatino Linotype" w:cs="Palatino Linotype"/>
          <w:color w:val="000000"/>
        </w:rPr>
      </w:pPr>
      <w:hyperlink r:id="rId11" w:tgtFrame="_blank" w:history="1">
        <w:r w:rsidR="008112B7" w:rsidRPr="0032424A">
          <w:rPr>
            <w:rFonts w:ascii="Palatino Linotype" w:eastAsia="Palatino Linotype" w:hAnsi="Palatino Linotype" w:cs="Palatino Linotype"/>
            <w:b/>
            <w:color w:val="000000"/>
          </w:rPr>
          <w:t>NFORME JUSTIFICADO 910.AD.pdf</w:t>
        </w:r>
      </w:hyperlink>
      <w:r w:rsidR="008112B7" w:rsidRPr="0032424A">
        <w:rPr>
          <w:rFonts w:ascii="Palatino Linotype" w:eastAsia="Palatino Linotype" w:hAnsi="Palatino Linotype" w:cs="Palatino Linotype"/>
          <w:b/>
          <w:color w:val="000000"/>
        </w:rPr>
        <w:t xml:space="preserve">: </w:t>
      </w:r>
      <w:r w:rsidR="008112B7" w:rsidRPr="0032424A">
        <w:rPr>
          <w:rFonts w:ascii="Palatino Linotype" w:eastAsia="Palatino Linotype" w:hAnsi="Palatino Linotype" w:cs="Palatino Linotype"/>
          <w:color w:val="000000"/>
        </w:rPr>
        <w:t>Oficio 207C0401210001S-UT-613/2026 de fecha veinticuatro de marzo de dos mil veintiséis, suscrito por el Responsable y Titular de la Unidad de Transparencia, mediante el cual informa que derivado del presente Recurso de Revisión</w:t>
      </w:r>
      <w:r w:rsidR="008D7960" w:rsidRPr="0032424A">
        <w:rPr>
          <w:rFonts w:ascii="Palatino Linotype" w:eastAsia="Palatino Linotype" w:hAnsi="Palatino Linotype" w:cs="Palatino Linotype"/>
          <w:color w:val="000000"/>
        </w:rPr>
        <w:t xml:space="preserve">, mediante oficio 207C0401410028H/267/2025 de fecha once de septiembre de dos mil veinticinco, el Director de Consulta Externa “Lázaro Cárdenas”, de la Coordinación de Servicios de Salud, le informó que </w:t>
      </w:r>
      <w:r w:rsidR="008D7960" w:rsidRPr="0032424A">
        <w:rPr>
          <w:rFonts w:ascii="Palatino Linotype" w:eastAsia="Palatino Linotype" w:hAnsi="Palatino Linotype" w:cs="Palatino Linotype"/>
          <w:b/>
          <w:color w:val="000000"/>
        </w:rPr>
        <w:t xml:space="preserve">después de un búsqueda exhaustiva, se logró localizar el Expediente Clínico del RECURRENTE, </w:t>
      </w:r>
      <w:r w:rsidR="00D6122E">
        <w:rPr>
          <w:rFonts w:ascii="Palatino Linotype" w:eastAsia="Palatino Linotype" w:hAnsi="Palatino Linotype" w:cs="Palatino Linotype"/>
          <w:color w:val="000000"/>
        </w:rPr>
        <w:t>por lo que un</w:t>
      </w:r>
      <w:r w:rsidR="008D7960" w:rsidRPr="0032424A">
        <w:rPr>
          <w:rFonts w:ascii="Palatino Linotype" w:eastAsia="Palatino Linotype" w:hAnsi="Palatino Linotype" w:cs="Palatino Linotype"/>
          <w:color w:val="000000"/>
        </w:rPr>
        <w:t>a</w:t>
      </w:r>
      <w:r w:rsidR="00D6122E">
        <w:rPr>
          <w:rFonts w:ascii="Palatino Linotype" w:eastAsia="Palatino Linotype" w:hAnsi="Palatino Linotype" w:cs="Palatino Linotype"/>
          <w:color w:val="000000"/>
        </w:rPr>
        <w:t xml:space="preserve"> </w:t>
      </w:r>
      <w:r w:rsidR="008D7960" w:rsidRPr="0032424A">
        <w:rPr>
          <w:rFonts w:ascii="Palatino Linotype" w:eastAsia="Palatino Linotype" w:hAnsi="Palatino Linotype" w:cs="Palatino Linotype"/>
          <w:color w:val="000000"/>
        </w:rPr>
        <w:t xml:space="preserve">vez conocida la respuesta del Director de la </w:t>
      </w:r>
      <w:r w:rsidR="00D6122E" w:rsidRPr="0032424A">
        <w:rPr>
          <w:rFonts w:ascii="Palatino Linotype" w:eastAsia="Palatino Linotype" w:hAnsi="Palatino Linotype" w:cs="Palatino Linotype"/>
          <w:color w:val="000000"/>
        </w:rPr>
        <w:t>Clínica</w:t>
      </w:r>
      <w:r w:rsidR="008D7960" w:rsidRPr="0032424A">
        <w:rPr>
          <w:rFonts w:ascii="Palatino Linotype" w:eastAsia="Palatino Linotype" w:hAnsi="Palatino Linotype" w:cs="Palatino Linotype"/>
          <w:color w:val="000000"/>
        </w:rPr>
        <w:t xml:space="preserve"> de Consulta Externa “Lázaro Cárdenas”,  informa al particular que, se pone a su disposición el expediente clínico, que consta de 24 hojas, el cual </w:t>
      </w:r>
      <w:r w:rsidR="008D7960" w:rsidRPr="0032424A">
        <w:rPr>
          <w:rFonts w:ascii="Palatino Linotype" w:eastAsia="Palatino Linotype" w:hAnsi="Palatino Linotype" w:cs="Palatino Linotype"/>
          <w:b/>
          <w:color w:val="000000"/>
        </w:rPr>
        <w:t>se enviará en dicha modalidad a través de "SARCOEM", previa acreditación de su identidad y personalidad</w:t>
      </w:r>
      <w:r w:rsidR="008D7960" w:rsidRPr="0032424A">
        <w:rPr>
          <w:rFonts w:ascii="Palatino Linotype" w:eastAsia="Palatino Linotype" w:hAnsi="Palatino Linotype" w:cs="Palatino Linotype"/>
          <w:color w:val="000000"/>
        </w:rPr>
        <w:t xml:space="preserve">, </w:t>
      </w:r>
      <w:r w:rsidR="008D7960" w:rsidRPr="0032424A">
        <w:rPr>
          <w:rFonts w:ascii="Palatino Linotype" w:eastAsia="Palatino Linotype" w:hAnsi="Palatino Linotype" w:cs="Palatino Linotype"/>
          <w:b/>
          <w:color w:val="000000"/>
        </w:rPr>
        <w:t>siendo necesario que se presente con una identificación oficial</w:t>
      </w:r>
      <w:r w:rsidR="008D7960" w:rsidRPr="0032424A">
        <w:rPr>
          <w:rFonts w:ascii="Palatino Linotype" w:eastAsia="Palatino Linotype" w:hAnsi="Palatino Linotype" w:cs="Palatino Linotype"/>
          <w:color w:val="000000"/>
        </w:rPr>
        <w:t>, ante el Módulo de Transparencia de ese Instituto, proporcionando el horario, domicilio y número telefónico de contacto.</w:t>
      </w:r>
    </w:p>
    <w:p w:rsidR="008112B7" w:rsidRPr="0032424A" w:rsidRDefault="00D721B1" w:rsidP="008112B7">
      <w:pPr>
        <w:pStyle w:val="Prrafodelista"/>
        <w:numPr>
          <w:ilvl w:val="0"/>
          <w:numId w:val="26"/>
        </w:numPr>
        <w:spacing w:line="360" w:lineRule="auto"/>
        <w:jc w:val="both"/>
        <w:rPr>
          <w:rFonts w:ascii="Palatino Linotype" w:eastAsia="Palatino Linotype" w:hAnsi="Palatino Linotype" w:cs="Palatino Linotype"/>
          <w:color w:val="000000"/>
        </w:rPr>
      </w:pPr>
      <w:hyperlink r:id="rId12" w:tgtFrame="_blank" w:history="1">
        <w:r w:rsidR="008112B7" w:rsidRPr="0032424A">
          <w:rPr>
            <w:rFonts w:ascii="Palatino Linotype" w:eastAsia="Palatino Linotype" w:hAnsi="Palatino Linotype" w:cs="Palatino Linotype"/>
            <w:b/>
            <w:color w:val="000000"/>
          </w:rPr>
          <w:t>3. ACLARACIÓN PRESENTADA POR EL PARTICULAR.pdf</w:t>
        </w:r>
      </w:hyperlink>
      <w:r w:rsidR="008D7960" w:rsidRPr="0032424A">
        <w:rPr>
          <w:rFonts w:ascii="Palatino Linotype" w:eastAsia="Palatino Linotype" w:hAnsi="Palatino Linotype" w:cs="Palatino Linotype"/>
          <w:b/>
          <w:color w:val="000000"/>
        </w:rPr>
        <w:t xml:space="preserve">: </w:t>
      </w:r>
      <w:r w:rsidR="008D7960" w:rsidRPr="0032424A">
        <w:rPr>
          <w:rFonts w:ascii="Palatino Linotype" w:eastAsia="Palatino Linotype" w:hAnsi="Palatino Linotype" w:cs="Palatino Linotype"/>
          <w:color w:val="000000"/>
        </w:rPr>
        <w:t>Aclaración presentada por el particular, de fecha 18 de julio del 2025.</w:t>
      </w:r>
    </w:p>
    <w:p w:rsidR="008112B7" w:rsidRPr="0032424A" w:rsidRDefault="00D721B1" w:rsidP="008112B7">
      <w:pPr>
        <w:pStyle w:val="Prrafodelista"/>
        <w:numPr>
          <w:ilvl w:val="0"/>
          <w:numId w:val="26"/>
        </w:numPr>
        <w:spacing w:line="360" w:lineRule="auto"/>
        <w:jc w:val="both"/>
        <w:rPr>
          <w:rFonts w:ascii="Palatino Linotype" w:eastAsia="Palatino Linotype" w:hAnsi="Palatino Linotype" w:cs="Palatino Linotype"/>
          <w:b/>
          <w:color w:val="000000"/>
        </w:rPr>
      </w:pPr>
      <w:hyperlink r:id="rId13" w:tgtFrame="_blank" w:history="1">
        <w:r w:rsidR="008112B7" w:rsidRPr="0032424A">
          <w:rPr>
            <w:rFonts w:ascii="Palatino Linotype" w:eastAsia="Palatino Linotype" w:hAnsi="Palatino Linotype" w:cs="Palatino Linotype"/>
            <w:b/>
            <w:color w:val="000000"/>
          </w:rPr>
          <w:t>7. OFICIO 207C0401210001S-UT-2219-2025.pdf</w:t>
        </w:r>
      </w:hyperlink>
      <w:r w:rsidR="008D7960" w:rsidRPr="0032424A">
        <w:rPr>
          <w:rFonts w:ascii="Palatino Linotype" w:eastAsia="Palatino Linotype" w:hAnsi="Palatino Linotype" w:cs="Palatino Linotype"/>
          <w:b/>
          <w:color w:val="000000"/>
        </w:rPr>
        <w:t xml:space="preserve">: </w:t>
      </w:r>
      <w:r w:rsidR="008D7960" w:rsidRPr="0032424A">
        <w:rPr>
          <w:rFonts w:ascii="Palatino Linotype" w:eastAsia="Palatino Linotype" w:hAnsi="Palatino Linotype" w:cs="Palatino Linotype"/>
          <w:color w:val="000000"/>
        </w:rPr>
        <w:t>Oficio 207C0401210001S-UT-2219/2025, de fecha 8 de septiembre del 2025, signado por el Responsable y Titular de la Unidad de Transparencia, mediante el cual se realiza el requerimiento al Servidor Público Habilitado de la Coordinación de Servicios de Salud</w:t>
      </w:r>
    </w:p>
    <w:p w:rsidR="008112B7" w:rsidRPr="0032424A" w:rsidRDefault="00D721B1" w:rsidP="008112B7">
      <w:pPr>
        <w:pStyle w:val="Prrafodelista"/>
        <w:numPr>
          <w:ilvl w:val="0"/>
          <w:numId w:val="26"/>
        </w:numPr>
        <w:spacing w:line="360" w:lineRule="auto"/>
        <w:jc w:val="both"/>
        <w:rPr>
          <w:rFonts w:ascii="Palatino Linotype" w:eastAsia="Palatino Linotype" w:hAnsi="Palatino Linotype" w:cs="Palatino Linotype"/>
          <w:color w:val="000000"/>
        </w:rPr>
      </w:pPr>
      <w:hyperlink r:id="rId14" w:tgtFrame="_blank" w:history="1">
        <w:r w:rsidR="008112B7" w:rsidRPr="0032424A">
          <w:rPr>
            <w:rFonts w:ascii="Palatino Linotype" w:eastAsia="Palatino Linotype" w:hAnsi="Palatino Linotype" w:cs="Palatino Linotype"/>
            <w:b/>
            <w:color w:val="000000"/>
          </w:rPr>
          <w:t>9. OFICIO 207C0401210001S-UT-2299-2025.pdf</w:t>
        </w:r>
      </w:hyperlink>
      <w:r w:rsidR="008D7960" w:rsidRPr="0032424A">
        <w:rPr>
          <w:rFonts w:ascii="Palatino Linotype" w:eastAsia="Palatino Linotype" w:hAnsi="Palatino Linotype" w:cs="Palatino Linotype"/>
          <w:b/>
          <w:color w:val="000000"/>
        </w:rPr>
        <w:t xml:space="preserve">: </w:t>
      </w:r>
      <w:r w:rsidR="008D7960" w:rsidRPr="0032424A">
        <w:rPr>
          <w:rFonts w:ascii="Palatino Linotype" w:eastAsia="Palatino Linotype" w:hAnsi="Palatino Linotype" w:cs="Palatino Linotype"/>
          <w:color w:val="000000"/>
        </w:rPr>
        <w:t>Oficio 207C0401210001S-UT-2298/2025, de fecha 18 de septiembre del 2025, signado por el Responsable y Titular de la Unidad de Transparencia, mediante el cual se solicita la conciliación.</w:t>
      </w:r>
    </w:p>
    <w:p w:rsidR="008112B7" w:rsidRPr="0032424A" w:rsidRDefault="008112B7" w:rsidP="008112B7">
      <w:pPr>
        <w:pStyle w:val="Prrafodelista"/>
        <w:numPr>
          <w:ilvl w:val="0"/>
          <w:numId w:val="26"/>
        </w:numPr>
        <w:spacing w:line="360" w:lineRule="auto"/>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b/>
          <w:color w:val="000000"/>
        </w:rPr>
        <w:t>1</w:t>
      </w:r>
      <w:hyperlink r:id="rId15" w:tgtFrame="_blank" w:history="1">
        <w:r w:rsidRPr="0032424A">
          <w:rPr>
            <w:rFonts w:ascii="Palatino Linotype" w:eastAsia="Palatino Linotype" w:hAnsi="Palatino Linotype" w:cs="Palatino Linotype"/>
            <w:b/>
            <w:color w:val="000000"/>
          </w:rPr>
          <w:t>. ACUSE DE SOLICITUD 910 AD 2026.pdf</w:t>
        </w:r>
      </w:hyperlink>
      <w:r w:rsidR="008D7960" w:rsidRPr="0032424A">
        <w:rPr>
          <w:rFonts w:ascii="Palatino Linotype" w:eastAsia="Palatino Linotype" w:hAnsi="Palatino Linotype" w:cs="Palatino Linotype"/>
          <w:b/>
          <w:color w:val="000000"/>
        </w:rPr>
        <w:t xml:space="preserve">: </w:t>
      </w:r>
      <w:r w:rsidR="008D7960" w:rsidRPr="0032424A">
        <w:rPr>
          <w:rFonts w:ascii="Palatino Linotype" w:eastAsia="Palatino Linotype" w:hAnsi="Palatino Linotype" w:cs="Palatino Linotype"/>
          <w:color w:val="000000"/>
        </w:rPr>
        <w:t>Acuse de la solicitud 00910/ISSEMYM/AD/2025, de fecha 14 de julio del 2025.</w:t>
      </w:r>
    </w:p>
    <w:p w:rsidR="008112B7" w:rsidRPr="0032424A" w:rsidRDefault="00D721B1" w:rsidP="008112B7">
      <w:pPr>
        <w:pStyle w:val="Prrafodelista"/>
        <w:numPr>
          <w:ilvl w:val="0"/>
          <w:numId w:val="26"/>
        </w:numPr>
        <w:spacing w:line="360" w:lineRule="auto"/>
        <w:jc w:val="both"/>
        <w:rPr>
          <w:rFonts w:ascii="Palatino Linotype" w:eastAsia="Palatino Linotype" w:hAnsi="Palatino Linotype" w:cs="Palatino Linotype"/>
          <w:color w:val="000000"/>
        </w:rPr>
      </w:pPr>
      <w:hyperlink r:id="rId16" w:tgtFrame="_blank" w:history="1">
        <w:r w:rsidR="008112B7" w:rsidRPr="0032424A">
          <w:rPr>
            <w:rFonts w:ascii="Palatino Linotype" w:eastAsia="Palatino Linotype" w:hAnsi="Palatino Linotype" w:cs="Palatino Linotype"/>
            <w:b/>
            <w:color w:val="000000"/>
          </w:rPr>
          <w:t>4. OFICIO 207C0401410028H-221-2025.pdf</w:t>
        </w:r>
      </w:hyperlink>
      <w:r w:rsidR="008D7960" w:rsidRPr="0032424A">
        <w:rPr>
          <w:rFonts w:ascii="Palatino Linotype" w:eastAsia="Palatino Linotype" w:hAnsi="Palatino Linotype" w:cs="Palatino Linotype"/>
          <w:b/>
          <w:color w:val="000000"/>
        </w:rPr>
        <w:t xml:space="preserve">: </w:t>
      </w:r>
      <w:r w:rsidR="008D7960" w:rsidRPr="0032424A">
        <w:rPr>
          <w:rFonts w:ascii="Palatino Linotype" w:eastAsia="Palatino Linotype" w:hAnsi="Palatino Linotype" w:cs="Palatino Linotype"/>
          <w:color w:val="000000"/>
        </w:rPr>
        <w:t>Oficio 207C0401410028H/221/2025, de fecha 6 de agosto del 2025, signado por el Director de la Clínica de Consulta Externa Lázaro Cárdenas.</w:t>
      </w:r>
    </w:p>
    <w:p w:rsidR="008112B7" w:rsidRPr="0032424A" w:rsidRDefault="00D721B1" w:rsidP="008112B7">
      <w:pPr>
        <w:pStyle w:val="Prrafodelista"/>
        <w:numPr>
          <w:ilvl w:val="0"/>
          <w:numId w:val="26"/>
        </w:numPr>
        <w:spacing w:line="360" w:lineRule="auto"/>
        <w:jc w:val="both"/>
        <w:rPr>
          <w:rFonts w:ascii="Palatino Linotype" w:eastAsia="Palatino Linotype" w:hAnsi="Palatino Linotype" w:cs="Palatino Linotype"/>
          <w:color w:val="000000"/>
        </w:rPr>
      </w:pPr>
      <w:hyperlink r:id="rId17" w:tgtFrame="_blank" w:history="1">
        <w:r w:rsidR="008112B7" w:rsidRPr="0032424A">
          <w:rPr>
            <w:rFonts w:ascii="Palatino Linotype" w:eastAsia="Palatino Linotype" w:hAnsi="Palatino Linotype" w:cs="Palatino Linotype"/>
            <w:b/>
            <w:color w:val="000000"/>
          </w:rPr>
          <w:t>5. OFICIO 207C0401210001S-UT-2026-2025.pdf</w:t>
        </w:r>
      </w:hyperlink>
      <w:r w:rsidR="00D91034" w:rsidRPr="0032424A">
        <w:rPr>
          <w:rFonts w:ascii="Palatino Linotype" w:eastAsia="Palatino Linotype" w:hAnsi="Palatino Linotype" w:cs="Palatino Linotype"/>
          <w:b/>
          <w:color w:val="000000"/>
        </w:rPr>
        <w:t xml:space="preserve">: </w:t>
      </w:r>
      <w:r w:rsidR="00D91034" w:rsidRPr="0032424A">
        <w:rPr>
          <w:rFonts w:ascii="Palatino Linotype" w:eastAsia="Palatino Linotype" w:hAnsi="Palatino Linotype" w:cs="Palatino Linotype"/>
          <w:color w:val="000000"/>
        </w:rPr>
        <w:t>Oficio 207C0401210001S-UT-2026/2025, de fecha 22 de agosto del 2025, signado</w:t>
      </w:r>
    </w:p>
    <w:p w:rsidR="008112B7" w:rsidRPr="0032424A" w:rsidRDefault="00D721B1" w:rsidP="008112B7">
      <w:pPr>
        <w:pStyle w:val="Prrafodelista"/>
        <w:numPr>
          <w:ilvl w:val="0"/>
          <w:numId w:val="26"/>
        </w:numPr>
        <w:spacing w:line="360" w:lineRule="auto"/>
        <w:jc w:val="both"/>
        <w:rPr>
          <w:rFonts w:ascii="Palatino Linotype" w:eastAsia="Palatino Linotype" w:hAnsi="Palatino Linotype" w:cs="Palatino Linotype"/>
          <w:color w:val="000000"/>
        </w:rPr>
      </w:pPr>
      <w:hyperlink r:id="rId18" w:tgtFrame="_blank" w:history="1">
        <w:r w:rsidR="008112B7" w:rsidRPr="0032424A">
          <w:rPr>
            <w:rFonts w:ascii="Palatino Linotype" w:eastAsia="Palatino Linotype" w:hAnsi="Palatino Linotype" w:cs="Palatino Linotype"/>
            <w:b/>
            <w:color w:val="000000"/>
          </w:rPr>
          <w:t>8. OFICIO 207C0401410028H-267-2025.pdf</w:t>
        </w:r>
      </w:hyperlink>
      <w:r w:rsidR="00D91034" w:rsidRPr="0032424A">
        <w:rPr>
          <w:rFonts w:ascii="Palatino Linotype" w:eastAsia="Palatino Linotype" w:hAnsi="Palatino Linotype" w:cs="Palatino Linotype"/>
          <w:b/>
          <w:color w:val="000000"/>
        </w:rPr>
        <w:t xml:space="preserve">: </w:t>
      </w:r>
      <w:r w:rsidR="00D91034" w:rsidRPr="0032424A">
        <w:rPr>
          <w:rFonts w:ascii="Palatino Linotype" w:eastAsia="Palatino Linotype" w:hAnsi="Palatino Linotype" w:cs="Palatino Linotype"/>
          <w:color w:val="000000"/>
        </w:rPr>
        <w:t>Oficio 207C0401410028H/267/2025, de fecha 11 de septiembre del 2025, signado por el Director de la Clínica de Consulta Externa Lázaro Cárdenas, adscrito al Servidor Público Habilitado de la Coordinación de Servicios de Salud.</w:t>
      </w:r>
    </w:p>
    <w:p w:rsidR="008112B7" w:rsidRPr="0032424A" w:rsidRDefault="00D721B1" w:rsidP="008112B7">
      <w:pPr>
        <w:pStyle w:val="Prrafodelista"/>
        <w:numPr>
          <w:ilvl w:val="0"/>
          <w:numId w:val="26"/>
        </w:numPr>
        <w:spacing w:line="360" w:lineRule="auto"/>
        <w:jc w:val="both"/>
        <w:rPr>
          <w:rFonts w:ascii="Palatino Linotype" w:eastAsia="Palatino Linotype" w:hAnsi="Palatino Linotype" w:cs="Palatino Linotype"/>
          <w:color w:val="000000"/>
        </w:rPr>
      </w:pPr>
      <w:hyperlink r:id="rId19" w:tgtFrame="_blank" w:history="1">
        <w:r w:rsidR="008112B7" w:rsidRPr="0032424A">
          <w:rPr>
            <w:rFonts w:ascii="Palatino Linotype" w:eastAsia="Palatino Linotype" w:hAnsi="Palatino Linotype" w:cs="Palatino Linotype"/>
            <w:b/>
            <w:color w:val="000000"/>
          </w:rPr>
          <w:t>6. ACUSE DE RECURSO DE REVISIÓN 10528 INFOEM-AD-RR-2025.pdf</w:t>
        </w:r>
      </w:hyperlink>
      <w:r w:rsidR="00D91034" w:rsidRPr="0032424A">
        <w:rPr>
          <w:rFonts w:ascii="Palatino Linotype" w:eastAsia="Palatino Linotype" w:hAnsi="Palatino Linotype" w:cs="Palatino Linotype"/>
          <w:b/>
          <w:color w:val="000000"/>
        </w:rPr>
        <w:t xml:space="preserve">: </w:t>
      </w:r>
      <w:r w:rsidR="00D91034" w:rsidRPr="0032424A">
        <w:rPr>
          <w:rFonts w:ascii="Palatino Linotype" w:eastAsia="Palatino Linotype" w:hAnsi="Palatino Linotype" w:cs="Palatino Linotype"/>
          <w:color w:val="000000"/>
        </w:rPr>
        <w:t>Acuse del recurso de revisión 10528/INFOEM/AD/RR/2025, de fecha 8 de septiembre del 2025.</w:t>
      </w:r>
    </w:p>
    <w:p w:rsidR="008112B7" w:rsidRPr="0032424A" w:rsidRDefault="0081026D" w:rsidP="008112B7">
      <w:pPr>
        <w:pStyle w:val="Prrafodelista"/>
        <w:numPr>
          <w:ilvl w:val="0"/>
          <w:numId w:val="26"/>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w:t>
      </w:r>
      <w:hyperlink r:id="rId20" w:tgtFrame="_blank" w:history="1">
        <w:r w:rsidR="008112B7" w:rsidRPr="0032424A">
          <w:rPr>
            <w:rFonts w:ascii="Palatino Linotype" w:eastAsia="Palatino Linotype" w:hAnsi="Palatino Linotype" w:cs="Palatino Linotype"/>
            <w:b/>
            <w:color w:val="000000"/>
          </w:rPr>
          <w:t>. ACUERDO DE ACLARACIÓN.pdf</w:t>
        </w:r>
      </w:hyperlink>
      <w:r w:rsidR="00D91034" w:rsidRPr="0032424A">
        <w:rPr>
          <w:rFonts w:ascii="Palatino Linotype" w:eastAsia="Palatino Linotype" w:hAnsi="Palatino Linotype" w:cs="Palatino Linotype"/>
          <w:b/>
          <w:color w:val="000000"/>
        </w:rPr>
        <w:t xml:space="preserve">: </w:t>
      </w:r>
      <w:r w:rsidR="00D91034" w:rsidRPr="0032424A">
        <w:rPr>
          <w:rFonts w:ascii="Palatino Linotype" w:eastAsia="Palatino Linotype" w:hAnsi="Palatino Linotype" w:cs="Palatino Linotype"/>
          <w:color w:val="000000"/>
        </w:rPr>
        <w:t xml:space="preserve">Acuerdo mediante el cual se solicita al solicitante que acredite su personalidad como titular de los datos personales, precisando la clave ISSEMYM, siendo éste el número con el que se identifica cada derechohabiente del Instituto de Seguridad Social del Estado de México y Municipios </w:t>
      </w:r>
      <w:r w:rsidR="00D91034" w:rsidRPr="0032424A">
        <w:rPr>
          <w:rFonts w:ascii="Palatino Linotype" w:eastAsia="Palatino Linotype" w:hAnsi="Palatino Linotype" w:cs="Palatino Linotype"/>
          <w:color w:val="000000"/>
        </w:rPr>
        <w:lastRenderedPageBreak/>
        <w:t>y la unidad médica donde se encuentra el expediente clínico, ya que este Instituto cuenta con 109 unidades médicas, de fecha 16 de julio del 2025.</w:t>
      </w:r>
    </w:p>
    <w:p w:rsidR="00D91034" w:rsidRPr="0032424A" w:rsidRDefault="00D91034" w:rsidP="00D91034">
      <w:pPr>
        <w:pStyle w:val="Prrafodelista"/>
        <w:spacing w:line="360" w:lineRule="auto"/>
        <w:jc w:val="both"/>
        <w:rPr>
          <w:rFonts w:ascii="Palatino Linotype" w:eastAsia="Palatino Linotype" w:hAnsi="Palatino Linotype" w:cs="Palatino Linotype"/>
          <w:b/>
          <w:color w:val="000000"/>
        </w:rPr>
      </w:pPr>
      <w:r w:rsidRPr="0032424A">
        <w:rPr>
          <w:rFonts w:ascii="Palatino Linotype" w:eastAsia="Palatino Linotype" w:hAnsi="Palatino Linotype" w:cs="Palatino Linotype"/>
          <w:color w:val="000000"/>
        </w:rPr>
        <w:t xml:space="preserve">Se precisa que dichas documentales se ponen a la vista del particular el </w:t>
      </w:r>
      <w:r w:rsidRPr="0032424A">
        <w:rPr>
          <w:rFonts w:ascii="Palatino Linotype" w:eastAsia="Palatino Linotype" w:hAnsi="Palatino Linotype" w:cs="Palatino Linotype"/>
          <w:b/>
          <w:color w:val="000000"/>
        </w:rPr>
        <w:t>nueve de abril de dos mil veintiséis.</w:t>
      </w:r>
    </w:p>
    <w:p w:rsidR="00D91034" w:rsidRPr="0032424A" w:rsidRDefault="00D91034" w:rsidP="00D91034">
      <w:pPr>
        <w:spacing w:line="360" w:lineRule="auto"/>
        <w:jc w:val="both"/>
        <w:rPr>
          <w:rFonts w:ascii="Palatino Linotype" w:eastAsia="Palatino Linotype" w:hAnsi="Palatino Linotype" w:cs="Palatino Linotype"/>
          <w:color w:val="000000"/>
        </w:rPr>
      </w:pPr>
    </w:p>
    <w:p w:rsidR="005B5F6D" w:rsidRPr="0032424A" w:rsidRDefault="00DF0D09">
      <w:pPr>
        <w:numPr>
          <w:ilvl w:val="0"/>
          <w:numId w:val="1"/>
        </w:numP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t xml:space="preserve">En fecha </w:t>
      </w:r>
      <w:r w:rsidR="00D91034" w:rsidRPr="0032424A">
        <w:rPr>
          <w:rFonts w:ascii="Palatino Linotype" w:eastAsia="Palatino Linotype" w:hAnsi="Palatino Linotype" w:cs="Palatino Linotype"/>
          <w:b/>
          <w:color w:val="000000"/>
        </w:rPr>
        <w:t>quince de abril</w:t>
      </w:r>
      <w:r w:rsidR="00263C2E" w:rsidRPr="0032424A">
        <w:rPr>
          <w:rFonts w:ascii="Palatino Linotype" w:eastAsia="Palatino Linotype" w:hAnsi="Palatino Linotype" w:cs="Palatino Linotype"/>
          <w:b/>
          <w:color w:val="000000"/>
        </w:rPr>
        <w:t xml:space="preserve"> de dos mil </w:t>
      </w:r>
      <w:r w:rsidR="00D91034" w:rsidRPr="0032424A">
        <w:rPr>
          <w:rFonts w:ascii="Palatino Linotype" w:eastAsia="Palatino Linotype" w:hAnsi="Palatino Linotype" w:cs="Palatino Linotype"/>
          <w:b/>
          <w:color w:val="000000"/>
        </w:rPr>
        <w:t>veintiséis,</w:t>
      </w:r>
      <w:r w:rsidRPr="0032424A">
        <w:rPr>
          <w:rFonts w:ascii="Palatino Linotype" w:eastAsia="Palatino Linotype" w:hAnsi="Palatino Linotype" w:cs="Palatino Linotype"/>
          <w:color w:val="000000"/>
        </w:rPr>
        <w:t xml:space="preserve"> se decretó el </w:t>
      </w:r>
      <w:r w:rsidRPr="0032424A">
        <w:rPr>
          <w:rFonts w:ascii="Palatino Linotype" w:eastAsia="Palatino Linotype" w:hAnsi="Palatino Linotype" w:cs="Palatino Linotype"/>
          <w:b/>
          <w:color w:val="000000"/>
        </w:rPr>
        <w:t>cierre de instrucción</w:t>
      </w:r>
      <w:r w:rsidRPr="0032424A">
        <w:rPr>
          <w:rFonts w:ascii="Palatino Linotype" w:eastAsia="Palatino Linotype" w:hAnsi="Palatino Linotype" w:cs="Palatino Linotype"/>
          <w:color w:val="000000"/>
        </w:rPr>
        <w:t xml:space="preserve"> del recurso de revisión referido al rubro. </w:t>
      </w:r>
    </w:p>
    <w:p w:rsidR="005B5F6D" w:rsidRPr="0032424A" w:rsidRDefault="005B5F6D">
      <w:pPr>
        <w:spacing w:line="360" w:lineRule="auto"/>
        <w:jc w:val="both"/>
        <w:rPr>
          <w:rFonts w:ascii="Palatino Linotype" w:eastAsia="Palatino Linotype" w:hAnsi="Palatino Linotype" w:cs="Palatino Linotype"/>
          <w:color w:val="000000"/>
        </w:rPr>
      </w:pPr>
    </w:p>
    <w:p w:rsidR="005B5F6D" w:rsidRPr="0032424A" w:rsidRDefault="00DF0D09">
      <w:pPr>
        <w:numPr>
          <w:ilvl w:val="0"/>
          <w:numId w:val="1"/>
        </w:numP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de acuerdo con las siguientes:</w:t>
      </w:r>
    </w:p>
    <w:p w:rsidR="005B5F6D" w:rsidRPr="0032424A" w:rsidRDefault="005B5F6D">
      <w:pPr>
        <w:ind w:left="720"/>
        <w:rPr>
          <w:rFonts w:ascii="Palatino Linotype" w:eastAsia="Palatino Linotype" w:hAnsi="Palatino Linotype" w:cs="Palatino Linotype"/>
          <w:color w:val="000000"/>
        </w:rPr>
      </w:pPr>
    </w:p>
    <w:p w:rsidR="005B5F6D" w:rsidRPr="0032424A" w:rsidRDefault="005B5F6D">
      <w:pPr>
        <w:ind w:left="720"/>
        <w:rPr>
          <w:rFonts w:ascii="Palatino Linotype" w:eastAsia="Palatino Linotype" w:hAnsi="Palatino Linotype" w:cs="Palatino Linotype"/>
          <w:color w:val="000000"/>
        </w:rPr>
      </w:pPr>
    </w:p>
    <w:p w:rsidR="005B5F6D" w:rsidRPr="0032424A" w:rsidRDefault="00DF0D09">
      <w:pPr>
        <w:spacing w:line="360" w:lineRule="auto"/>
        <w:ind w:right="-929"/>
        <w:jc w:val="center"/>
        <w:rPr>
          <w:rFonts w:ascii="Palatino Linotype" w:eastAsia="Palatino Linotype" w:hAnsi="Palatino Linotype" w:cs="Palatino Linotype"/>
          <w:b/>
          <w:color w:val="000000"/>
        </w:rPr>
      </w:pPr>
      <w:r w:rsidRPr="0032424A">
        <w:rPr>
          <w:rFonts w:ascii="Palatino Linotype" w:eastAsia="Palatino Linotype" w:hAnsi="Palatino Linotype" w:cs="Palatino Linotype"/>
          <w:b/>
          <w:color w:val="000000"/>
        </w:rPr>
        <w:t>C O N S I D E R A C I O N E S</w:t>
      </w:r>
    </w:p>
    <w:p w:rsidR="005B5F6D" w:rsidRPr="0032424A" w:rsidRDefault="00DF0D09">
      <w:pPr>
        <w:pStyle w:val="Ttulo2"/>
        <w:spacing w:before="0" w:line="360" w:lineRule="auto"/>
        <w:ind w:right="-929"/>
        <w:rPr>
          <w:rFonts w:ascii="Palatino Linotype" w:eastAsia="Palatino Linotype" w:hAnsi="Palatino Linotype" w:cs="Palatino Linotype"/>
          <w:b/>
          <w:color w:val="000000"/>
          <w:sz w:val="24"/>
          <w:szCs w:val="24"/>
        </w:rPr>
      </w:pPr>
      <w:r w:rsidRPr="0032424A">
        <w:rPr>
          <w:rFonts w:ascii="Palatino Linotype" w:eastAsia="Palatino Linotype" w:hAnsi="Palatino Linotype" w:cs="Palatino Linotype"/>
          <w:b/>
          <w:color w:val="000000"/>
          <w:sz w:val="24"/>
          <w:szCs w:val="24"/>
        </w:rPr>
        <w:t>PRIMERA. Competencia</w:t>
      </w:r>
    </w:p>
    <w:p w:rsidR="00F93FF1" w:rsidRPr="0032424A" w:rsidRDefault="00F93FF1" w:rsidP="0099233D">
      <w:pPr>
        <w:numPr>
          <w:ilvl w:val="0"/>
          <w:numId w:val="1"/>
        </w:numP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w:t>
      </w:r>
      <w:r w:rsidRPr="0032424A">
        <w:rPr>
          <w:rFonts w:ascii="Palatino Linotype" w:eastAsia="Palatino Linotype" w:hAnsi="Palatino Linotype" w:cs="Palatino Linotype"/>
          <w:color w:val="000000"/>
        </w:rPr>
        <w:lastRenderedPageBreak/>
        <w:t>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5B5F6D" w:rsidRPr="0032424A" w:rsidRDefault="005B5F6D">
      <w:pPr>
        <w:spacing w:line="360" w:lineRule="auto"/>
        <w:jc w:val="both"/>
        <w:rPr>
          <w:rFonts w:ascii="Palatino Linotype" w:eastAsia="Palatino Linotype" w:hAnsi="Palatino Linotype" w:cs="Palatino Linotype"/>
          <w:color w:val="000000"/>
        </w:rPr>
      </w:pPr>
    </w:p>
    <w:p w:rsidR="005B5F6D" w:rsidRPr="0032424A" w:rsidRDefault="00DF0D09">
      <w:pPr>
        <w:spacing w:line="360" w:lineRule="auto"/>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b/>
          <w:color w:val="000000"/>
        </w:rPr>
        <w:t>SEGUNDA. Procedencia y oportunidad.</w:t>
      </w:r>
    </w:p>
    <w:p w:rsidR="005B5F6D" w:rsidRPr="0032424A" w:rsidRDefault="00DF0D09">
      <w:pPr>
        <w:numPr>
          <w:ilvl w:val="0"/>
          <w:numId w:val="1"/>
        </w:numP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5B5F6D" w:rsidRPr="0032424A" w:rsidRDefault="005B5F6D">
      <w:pPr>
        <w:spacing w:line="360" w:lineRule="auto"/>
        <w:jc w:val="both"/>
        <w:rPr>
          <w:rFonts w:ascii="Palatino Linotype" w:eastAsia="Palatino Linotype" w:hAnsi="Palatino Linotype" w:cs="Palatino Linotype"/>
        </w:rPr>
      </w:pPr>
    </w:p>
    <w:p w:rsidR="005B5F6D" w:rsidRPr="0032424A" w:rsidRDefault="00DF0D09" w:rsidP="00BC534C">
      <w:pPr>
        <w:spacing w:line="276" w:lineRule="auto"/>
        <w:ind w:left="567" w:right="49"/>
        <w:jc w:val="both"/>
        <w:rPr>
          <w:rFonts w:ascii="Palatino Linotype" w:eastAsia="Palatino Linotype" w:hAnsi="Palatino Linotype" w:cs="Palatino Linotype"/>
          <w:i/>
        </w:rPr>
      </w:pPr>
      <w:r w:rsidRPr="0032424A">
        <w:rPr>
          <w:rFonts w:ascii="Palatino Linotype" w:eastAsia="Palatino Linotype" w:hAnsi="Palatino Linotype" w:cs="Palatino Linotype"/>
          <w:i/>
        </w:rPr>
        <w:t>“</w:t>
      </w:r>
      <w:r w:rsidRPr="0032424A">
        <w:rPr>
          <w:rFonts w:ascii="Palatino Linotype" w:eastAsia="Palatino Linotype" w:hAnsi="Palatino Linotype" w:cs="Palatino Linotype"/>
          <w:b/>
          <w:i/>
        </w:rPr>
        <w:t>Artículo 128.</w:t>
      </w:r>
      <w:r w:rsidRPr="0032424A">
        <w:rPr>
          <w:rFonts w:ascii="Palatino Linotype" w:eastAsia="Palatino Linotype" w:hAnsi="Palatino Linotype" w:cs="Palatino Linotype"/>
          <w:i/>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5B5F6D" w:rsidRPr="0032424A" w:rsidRDefault="005B5F6D" w:rsidP="00BC534C">
      <w:pPr>
        <w:spacing w:line="276" w:lineRule="auto"/>
        <w:ind w:left="567" w:right="49"/>
        <w:jc w:val="both"/>
        <w:rPr>
          <w:rFonts w:ascii="Palatino Linotype" w:eastAsia="Palatino Linotype" w:hAnsi="Palatino Linotype" w:cs="Palatino Linotype"/>
          <w:i/>
        </w:rPr>
      </w:pPr>
    </w:p>
    <w:p w:rsidR="005B5F6D" w:rsidRPr="0032424A" w:rsidRDefault="00DF0D09" w:rsidP="00BC534C">
      <w:pPr>
        <w:spacing w:line="276" w:lineRule="auto"/>
        <w:ind w:left="567" w:right="49"/>
        <w:jc w:val="both"/>
        <w:rPr>
          <w:rFonts w:ascii="Palatino Linotype" w:eastAsia="Palatino Linotype" w:hAnsi="Palatino Linotype" w:cs="Palatino Linotype"/>
          <w:i/>
        </w:rPr>
      </w:pPr>
      <w:r w:rsidRPr="0032424A">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5B5F6D" w:rsidRPr="0032424A" w:rsidRDefault="005B5F6D">
      <w:pPr>
        <w:spacing w:line="360" w:lineRule="auto"/>
        <w:jc w:val="both"/>
        <w:rPr>
          <w:rFonts w:ascii="Palatino Linotype" w:eastAsia="Palatino Linotype" w:hAnsi="Palatino Linotype" w:cs="Palatino Linotype"/>
        </w:rPr>
      </w:pPr>
    </w:p>
    <w:p w:rsidR="005B5F6D" w:rsidRPr="0032424A" w:rsidRDefault="00DF0D09">
      <w:pPr>
        <w:numPr>
          <w:ilvl w:val="0"/>
          <w:numId w:val="1"/>
        </w:numPr>
        <w:spacing w:line="360" w:lineRule="auto"/>
        <w:ind w:left="0" w:firstLine="0"/>
        <w:jc w:val="both"/>
        <w:rPr>
          <w:rFonts w:ascii="Palatino Linotype" w:hAnsi="Palatino Linotype"/>
        </w:rPr>
      </w:pPr>
      <w:r w:rsidRPr="0032424A">
        <w:rPr>
          <w:rFonts w:ascii="Palatino Linotype" w:eastAsia="Palatino Linotype" w:hAnsi="Palatino Linotype" w:cs="Palatino Linotype"/>
        </w:rPr>
        <w:t>Por otro lado, el escrito contiene las formalidades previstas por el artículo 130,  de la citada Ley de la materia, por lo que es procedente que este Instituto conozca y resuelva el presente recurso.</w:t>
      </w:r>
    </w:p>
    <w:p w:rsidR="005B5F6D" w:rsidRPr="0032424A" w:rsidRDefault="005B5F6D">
      <w:pPr>
        <w:spacing w:line="360" w:lineRule="auto"/>
        <w:rPr>
          <w:rFonts w:ascii="Palatino Linotype" w:eastAsia="Palatino Linotype" w:hAnsi="Palatino Linotype" w:cs="Palatino Linotype"/>
        </w:rPr>
      </w:pPr>
    </w:p>
    <w:p w:rsidR="00F93FF1" w:rsidRPr="0032424A" w:rsidRDefault="00F93FF1" w:rsidP="00F93FF1">
      <w:pPr>
        <w:pStyle w:val="Ttulo2"/>
        <w:spacing w:before="0" w:line="360" w:lineRule="auto"/>
        <w:rPr>
          <w:rFonts w:ascii="Palatino Linotype" w:eastAsia="Palatino Linotype" w:hAnsi="Palatino Linotype" w:cs="Palatino Linotype"/>
          <w:b/>
          <w:color w:val="000000"/>
          <w:sz w:val="24"/>
          <w:szCs w:val="24"/>
        </w:rPr>
      </w:pPr>
      <w:r w:rsidRPr="0032424A">
        <w:rPr>
          <w:rFonts w:ascii="Palatino Linotype" w:eastAsia="Palatino Linotype" w:hAnsi="Palatino Linotype" w:cs="Palatino Linotype"/>
          <w:b/>
          <w:color w:val="000000"/>
          <w:sz w:val="24"/>
          <w:szCs w:val="24"/>
        </w:rPr>
        <w:lastRenderedPageBreak/>
        <w:t>TERCERO. Estudio y resolución del asunto.</w:t>
      </w:r>
    </w:p>
    <w:p w:rsidR="00F93FF1" w:rsidRPr="0032424A" w:rsidRDefault="00F93FF1" w:rsidP="00F93FF1">
      <w:pPr>
        <w:numPr>
          <w:ilvl w:val="0"/>
          <w:numId w:val="1"/>
        </w:numPr>
        <w:spacing w:line="360" w:lineRule="auto"/>
        <w:ind w:left="0" w:firstLine="0"/>
        <w:jc w:val="both"/>
        <w:rPr>
          <w:rFonts w:ascii="Palatino Linotype" w:hAnsi="Palatino Linotype"/>
        </w:rPr>
      </w:pPr>
      <w:r w:rsidRPr="0032424A">
        <w:rPr>
          <w:rFonts w:ascii="Palatino Linotype" w:hAnsi="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con respecto a la respuesta emitida por el Sujeto Obligado. </w:t>
      </w:r>
    </w:p>
    <w:p w:rsidR="00F93FF1" w:rsidRPr="0032424A" w:rsidRDefault="00F93FF1" w:rsidP="00F93FF1">
      <w:pPr>
        <w:spacing w:line="360" w:lineRule="auto"/>
        <w:jc w:val="both"/>
        <w:rPr>
          <w:rFonts w:ascii="Palatino Linotype" w:hAnsi="Palatino Linotype"/>
        </w:rPr>
      </w:pPr>
    </w:p>
    <w:p w:rsidR="00F93FF1" w:rsidRPr="0032424A" w:rsidRDefault="00F93FF1" w:rsidP="00F93FF1">
      <w:pPr>
        <w:numPr>
          <w:ilvl w:val="0"/>
          <w:numId w:val="1"/>
        </w:numPr>
        <w:spacing w:line="360" w:lineRule="auto"/>
        <w:ind w:left="0" w:firstLine="0"/>
        <w:jc w:val="both"/>
        <w:rPr>
          <w:rFonts w:ascii="Palatino Linotype" w:hAnsi="Palatino Linotype"/>
        </w:rPr>
      </w:pPr>
      <w:r w:rsidRPr="0032424A">
        <w:rPr>
          <w:rFonts w:ascii="Palatino Linotype" w:hAnsi="Palatino Linotype"/>
        </w:rPr>
        <w:t xml:space="preserve">En una aproximación inicial, vale la pena mencionar que el ejercicio de los derechos </w:t>
      </w:r>
      <w:r w:rsidRPr="0032424A">
        <w:rPr>
          <w:rFonts w:ascii="Palatino Linotype" w:hAnsi="Palatino Linotype"/>
          <w:b/>
        </w:rPr>
        <w:t>ARCO</w:t>
      </w:r>
      <w:r w:rsidRPr="0032424A">
        <w:rPr>
          <w:rFonts w:ascii="Palatino Linotype" w:hAnsi="Palatino Linotype"/>
        </w:rPr>
        <w:t xml:space="preserve"> se encuentra regulado por el artículo 6 apartado A, y 16, segundo párrafo, de la Constitución de los Estados Unidos Mexicanos, el cual establece que:</w:t>
      </w:r>
    </w:p>
    <w:p w:rsidR="00F93FF1" w:rsidRPr="0032424A" w:rsidRDefault="00F93FF1" w:rsidP="00D91034">
      <w:pPr>
        <w:ind w:left="567" w:right="616"/>
        <w:jc w:val="both"/>
        <w:rPr>
          <w:rFonts w:ascii="Palatino Linotype" w:hAnsi="Palatino Linotype"/>
          <w:i/>
        </w:rPr>
      </w:pPr>
      <w:r w:rsidRPr="0032424A">
        <w:rPr>
          <w:rFonts w:ascii="Palatino Linotype" w:hAnsi="Palatino Linotype"/>
        </w:rPr>
        <w:t xml:space="preserve"> </w:t>
      </w:r>
      <w:r w:rsidRPr="0032424A">
        <w:rPr>
          <w:rFonts w:ascii="Palatino Linotype" w:hAnsi="Palatino Linotype"/>
          <w:i/>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w:t>
      </w:r>
    </w:p>
    <w:p w:rsidR="00C40C6C" w:rsidRPr="0032424A" w:rsidRDefault="00C40C6C" w:rsidP="00C40C6C">
      <w:pPr>
        <w:spacing w:line="360" w:lineRule="auto"/>
        <w:jc w:val="both"/>
        <w:rPr>
          <w:rFonts w:ascii="Palatino Linotype" w:hAnsi="Palatino Linotype"/>
        </w:rPr>
      </w:pPr>
    </w:p>
    <w:p w:rsidR="00C40C6C" w:rsidRPr="0032424A" w:rsidRDefault="00C40C6C" w:rsidP="00C40C6C">
      <w:pPr>
        <w:numPr>
          <w:ilvl w:val="0"/>
          <w:numId w:val="1"/>
        </w:numPr>
        <w:spacing w:line="360" w:lineRule="auto"/>
        <w:ind w:left="0" w:firstLine="0"/>
        <w:jc w:val="both"/>
        <w:rPr>
          <w:rFonts w:ascii="Palatino Linotype" w:hAnsi="Palatino Linotype"/>
        </w:rPr>
      </w:pPr>
      <w:r w:rsidRPr="0032424A">
        <w:rPr>
          <w:rFonts w:ascii="Palatino Linotype" w:hAnsi="Palatino Linotype"/>
        </w:rPr>
        <w:t xml:space="preserve">Es así que, los derechos ARCO es el derecho humano con que cuenta una persona para la protección de sus datos personales, en posesión de Sujetos Obligados y el tratamiento de los mismos deber de sujetarse a los principios de licitud, finalidad, lealtad, consentimiento, calidad, proporcionalidad, información y responsabilidad. </w:t>
      </w:r>
    </w:p>
    <w:p w:rsidR="00C40C6C" w:rsidRPr="0032424A" w:rsidRDefault="00C40C6C" w:rsidP="00C40C6C">
      <w:pPr>
        <w:spacing w:line="360" w:lineRule="auto"/>
        <w:jc w:val="both"/>
        <w:rPr>
          <w:rFonts w:ascii="Palatino Linotype" w:hAnsi="Palatino Linotype"/>
        </w:rPr>
      </w:pPr>
    </w:p>
    <w:p w:rsidR="005D5D28" w:rsidRPr="0032424A" w:rsidRDefault="00F93FF1" w:rsidP="005D5D28">
      <w:pPr>
        <w:numPr>
          <w:ilvl w:val="0"/>
          <w:numId w:val="1"/>
        </w:numPr>
        <w:spacing w:line="360" w:lineRule="auto"/>
        <w:ind w:left="0" w:firstLine="0"/>
        <w:jc w:val="both"/>
        <w:rPr>
          <w:rFonts w:ascii="Palatino Linotype" w:hAnsi="Palatino Linotype"/>
        </w:rPr>
      </w:pPr>
      <w:r w:rsidRPr="0032424A">
        <w:rPr>
          <w:rFonts w:ascii="Palatino Linotype" w:hAnsi="Palatino Linotype"/>
        </w:rPr>
        <w:t xml:space="preserve">Precisado lo anterior, con la finalidad de ilustrar la controversia suscitada, se trae a cuenta que la parte Recurrente, requirió lo siguiente: </w:t>
      </w:r>
    </w:p>
    <w:p w:rsidR="005D5D28" w:rsidRPr="0032424A" w:rsidRDefault="005D5D28" w:rsidP="005D5D28">
      <w:pPr>
        <w:jc w:val="both"/>
        <w:rPr>
          <w:rFonts w:ascii="Palatino Linotype" w:hAnsi="Palatino Linotype"/>
        </w:rPr>
      </w:pPr>
    </w:p>
    <w:p w:rsidR="00B22CA5" w:rsidRPr="0032424A" w:rsidRDefault="00D91034" w:rsidP="00CE6BC6">
      <w:pPr>
        <w:ind w:left="567"/>
        <w:jc w:val="both"/>
        <w:rPr>
          <w:rFonts w:ascii="Palatino Linotype" w:hAnsi="Palatino Linotype"/>
          <w:i/>
        </w:rPr>
      </w:pPr>
      <w:r w:rsidRPr="0032424A">
        <w:rPr>
          <w:rFonts w:ascii="Palatino Linotype" w:hAnsi="Palatino Linotype"/>
          <w:i/>
        </w:rPr>
        <w:lastRenderedPageBreak/>
        <w:t>“Dese obtener acceso y copia de todo mi historial clínico en el ISSEMyM desde mi nacimiento hasta mi mayoría de edad, ya que ahora en el IMSS me solicitan mucho datos específicos que solo estan plasmados en la historia clínica” (Sic.)</w:t>
      </w:r>
    </w:p>
    <w:p w:rsidR="00F93FF1" w:rsidRPr="0032424A" w:rsidRDefault="00F93FF1" w:rsidP="00F93FF1">
      <w:pPr>
        <w:spacing w:line="360" w:lineRule="auto"/>
        <w:jc w:val="both"/>
        <w:rPr>
          <w:rFonts w:ascii="Palatino Linotype" w:hAnsi="Palatino Linotype"/>
        </w:rPr>
      </w:pPr>
    </w:p>
    <w:p w:rsidR="00F93FF1" w:rsidRPr="0032424A" w:rsidRDefault="00C163A8" w:rsidP="00F239B0">
      <w:pPr>
        <w:numPr>
          <w:ilvl w:val="0"/>
          <w:numId w:val="1"/>
        </w:numPr>
        <w:spacing w:line="360" w:lineRule="auto"/>
        <w:ind w:left="0" w:firstLine="0"/>
        <w:jc w:val="both"/>
        <w:rPr>
          <w:rFonts w:ascii="Palatino Linotype" w:hAnsi="Palatino Linotype"/>
        </w:rPr>
      </w:pPr>
      <w:r w:rsidRPr="0032424A">
        <w:rPr>
          <w:rFonts w:ascii="Palatino Linotype" w:hAnsi="Palatino Linotype"/>
        </w:rPr>
        <w:t>En respuesta el Sujeto Obligado señaló a través del</w:t>
      </w:r>
      <w:r w:rsidR="00F239B0" w:rsidRPr="0032424A">
        <w:rPr>
          <w:rFonts w:ascii="Palatino Linotype" w:hAnsi="Palatino Linotype"/>
        </w:rPr>
        <w:t xml:space="preserve"> Responsable y Titular de la Unidad de Transparencia, informó que no se localizó expediente físico, ni electrónico en la Unidad de Consulta Externa “Lázaro Cárdenas”</w:t>
      </w:r>
      <w:r w:rsidR="00CE6BC6" w:rsidRPr="0032424A">
        <w:rPr>
          <w:rFonts w:ascii="Palatino Linotype" w:hAnsi="Palatino Linotype"/>
          <w:b/>
        </w:rPr>
        <w:t xml:space="preserve">, </w:t>
      </w:r>
      <w:r w:rsidR="00CE6BC6" w:rsidRPr="0032424A">
        <w:rPr>
          <w:rFonts w:ascii="Palatino Linotype" w:hAnsi="Palatino Linotype"/>
        </w:rPr>
        <w:t xml:space="preserve">respuesta de la cual se dolió el recurrente </w:t>
      </w:r>
      <w:r w:rsidR="00F239B0" w:rsidRPr="0032424A">
        <w:rPr>
          <w:rFonts w:ascii="Palatino Linotype" w:hAnsi="Palatino Linotype"/>
        </w:rPr>
        <w:t>emitiendo documentales que demuestran el otorgamiento de servicios de salud en la Clínica de referencia</w:t>
      </w:r>
      <w:r w:rsidR="00CE6BC6" w:rsidRPr="0032424A">
        <w:rPr>
          <w:rFonts w:ascii="Palatino Linotype" w:hAnsi="Palatino Linotype"/>
        </w:rPr>
        <w:t>, por lo que solicita la entrega de la información.</w:t>
      </w:r>
    </w:p>
    <w:p w:rsidR="00255416" w:rsidRPr="0032424A" w:rsidRDefault="00255416" w:rsidP="00255416">
      <w:pPr>
        <w:spacing w:line="360" w:lineRule="auto"/>
        <w:jc w:val="both"/>
        <w:rPr>
          <w:rFonts w:ascii="Palatino Linotype" w:hAnsi="Palatino Linotype"/>
        </w:rPr>
      </w:pPr>
    </w:p>
    <w:p w:rsidR="00F93FF1" w:rsidRPr="0032424A" w:rsidRDefault="00255416" w:rsidP="00F239B0">
      <w:pPr>
        <w:numPr>
          <w:ilvl w:val="0"/>
          <w:numId w:val="1"/>
        </w:numPr>
        <w:spacing w:line="360" w:lineRule="auto"/>
        <w:ind w:left="0" w:firstLine="0"/>
        <w:jc w:val="both"/>
        <w:rPr>
          <w:rFonts w:ascii="Palatino Linotype" w:hAnsi="Palatino Linotype" w:cs="Tahoma"/>
          <w:bCs/>
          <w:iCs/>
        </w:rPr>
      </w:pPr>
      <w:r w:rsidRPr="0032424A">
        <w:rPr>
          <w:rFonts w:ascii="Palatino Linotype" w:hAnsi="Palatino Linotype"/>
        </w:rPr>
        <w:t xml:space="preserve">Posteriormente </w:t>
      </w:r>
      <w:r w:rsidR="00CE6BC6" w:rsidRPr="0032424A">
        <w:rPr>
          <w:rFonts w:ascii="Palatino Linotype" w:hAnsi="Palatino Linotype"/>
        </w:rPr>
        <w:t xml:space="preserve">como ya fue referido en el apartado de antecedentes no hubo </w:t>
      </w:r>
      <w:r w:rsidR="00A3190A" w:rsidRPr="0032424A">
        <w:rPr>
          <w:rFonts w:ascii="Palatino Linotype" w:hAnsi="Palatino Linotype"/>
        </w:rPr>
        <w:t>voluntad</w:t>
      </w:r>
      <w:r w:rsidR="00CE6BC6" w:rsidRPr="0032424A">
        <w:rPr>
          <w:rFonts w:ascii="Palatino Linotype" w:hAnsi="Palatino Linotype"/>
        </w:rPr>
        <w:t xml:space="preserve"> </w:t>
      </w:r>
      <w:r w:rsidR="00F239B0" w:rsidRPr="0032424A">
        <w:rPr>
          <w:rFonts w:ascii="Palatino Linotype" w:hAnsi="Palatino Linotype"/>
        </w:rPr>
        <w:t xml:space="preserve">por parte del particular para conciliar, ello a pesar de que el </w:t>
      </w:r>
      <w:r w:rsidR="00F239B0" w:rsidRPr="0032424A">
        <w:rPr>
          <w:rFonts w:ascii="Palatino Linotype" w:hAnsi="Palatino Linotype"/>
          <w:b/>
        </w:rPr>
        <w:t xml:space="preserve">SUJETO OBLIGADO, </w:t>
      </w:r>
      <w:r w:rsidR="00F239B0" w:rsidRPr="0032424A">
        <w:rPr>
          <w:rFonts w:ascii="Palatino Linotype" w:hAnsi="Palatino Linotype" w:cs="Tahoma"/>
          <w:bCs/>
          <w:iCs/>
        </w:rPr>
        <w:t>manifestó su voluntad para resolver el presente recurso mediante un mecanismo alterno a la solución de conflictos, como lo es la conciliación</w:t>
      </w:r>
      <w:r w:rsidR="00A3190A" w:rsidRPr="0032424A">
        <w:rPr>
          <w:rFonts w:ascii="Palatino Linotype" w:hAnsi="Palatino Linotype"/>
        </w:rPr>
        <w:t xml:space="preserve">. </w:t>
      </w:r>
    </w:p>
    <w:p w:rsidR="00A3190A" w:rsidRPr="0032424A" w:rsidRDefault="00A3190A" w:rsidP="00A3190A">
      <w:pPr>
        <w:spacing w:line="360" w:lineRule="auto"/>
        <w:jc w:val="both"/>
        <w:rPr>
          <w:rFonts w:ascii="Palatino Linotype" w:hAnsi="Palatino Linotype" w:cs="Tahoma"/>
          <w:bCs/>
          <w:iCs/>
        </w:rPr>
      </w:pPr>
    </w:p>
    <w:p w:rsidR="008016AD" w:rsidRPr="0032424A" w:rsidRDefault="008016AD" w:rsidP="00F93FF1">
      <w:pPr>
        <w:numPr>
          <w:ilvl w:val="0"/>
          <w:numId w:val="1"/>
        </w:numPr>
        <w:spacing w:line="360" w:lineRule="auto"/>
        <w:ind w:left="0" w:firstLine="0"/>
        <w:jc w:val="both"/>
        <w:rPr>
          <w:rFonts w:ascii="Palatino Linotype" w:hAnsi="Palatino Linotype" w:cs="Tahoma"/>
          <w:bCs/>
          <w:iCs/>
        </w:rPr>
      </w:pPr>
      <w:r w:rsidRPr="0032424A">
        <w:rPr>
          <w:rFonts w:ascii="Palatino Linotype" w:hAnsi="Palatino Linotype" w:cs="Tahoma"/>
          <w:bCs/>
          <w:iCs/>
        </w:rPr>
        <w:t xml:space="preserve">En continuidad, cabe precisar que mediante un acto jurídico posterior como lo es el informe justificado el </w:t>
      </w:r>
      <w:r w:rsidRPr="0032424A">
        <w:rPr>
          <w:rFonts w:ascii="Palatino Linotype" w:hAnsi="Palatino Linotype" w:cs="Tahoma"/>
          <w:b/>
          <w:bCs/>
          <w:iCs/>
        </w:rPr>
        <w:t xml:space="preserve">SUJETO OBLIGADO, </w:t>
      </w:r>
      <w:r w:rsidRPr="0032424A">
        <w:rPr>
          <w:rFonts w:ascii="Palatino Linotype" w:hAnsi="Palatino Linotype" w:cs="Tahoma"/>
          <w:bCs/>
          <w:iCs/>
        </w:rPr>
        <w:t xml:space="preserve">indicó que derivado del presente recursos de revisión, se realizó un nueva búsqueda exhaustiva en la Clina de Consulta Externa “Lázaro Cárdenas”, localizando el expediente del </w:t>
      </w:r>
      <w:r w:rsidRPr="0032424A">
        <w:rPr>
          <w:rFonts w:ascii="Palatino Linotype" w:hAnsi="Palatino Linotype" w:cs="Tahoma"/>
          <w:b/>
          <w:bCs/>
          <w:iCs/>
        </w:rPr>
        <w:t xml:space="preserve">RECURRENTE, </w:t>
      </w:r>
      <w:r w:rsidRPr="0032424A">
        <w:rPr>
          <w:rFonts w:ascii="Palatino Linotype" w:hAnsi="Palatino Linotype" w:cs="Tahoma"/>
          <w:bCs/>
          <w:iCs/>
        </w:rPr>
        <w:t>constante de 24 fojas, el cual se remitirá a través del Sistema de Acceso, Rectificación, Cancelación y Oposición de Datos Personales del Estado de México, previa acreditación de su identidad y personalidad, ´por lo que es necesario que se presente con una identificación oficial ante las oficinas que ocupa el Instituto de Seguridad Social del Estado de México y Municipios, para lo cual proporcionan domicilio, horario de atención y números telefónicos de contacto.</w:t>
      </w:r>
    </w:p>
    <w:p w:rsidR="008016AD" w:rsidRPr="0032424A" w:rsidRDefault="008016AD" w:rsidP="008016AD">
      <w:pPr>
        <w:spacing w:line="360" w:lineRule="auto"/>
        <w:jc w:val="both"/>
        <w:rPr>
          <w:rFonts w:ascii="Palatino Linotype" w:hAnsi="Palatino Linotype" w:cs="Tahoma"/>
          <w:bCs/>
          <w:iCs/>
        </w:rPr>
      </w:pPr>
    </w:p>
    <w:p w:rsidR="00514767" w:rsidRPr="0032424A" w:rsidRDefault="00514767" w:rsidP="0051476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lastRenderedPageBreak/>
        <w:t xml:space="preserve">Aclarado lo anterior, un segundo aspecto que resulta importante establecer, es que debido a que el mismo </w:t>
      </w:r>
      <w:r w:rsidRPr="0032424A">
        <w:rPr>
          <w:rFonts w:ascii="Palatino Linotype" w:eastAsia="Palatino Linotype" w:hAnsi="Palatino Linotype" w:cs="Palatino Linotype"/>
          <w:b/>
          <w:color w:val="000000"/>
        </w:rPr>
        <w:t>SUJETO OBLIGADO</w:t>
      </w:r>
      <w:r w:rsidRPr="0032424A">
        <w:rPr>
          <w:rFonts w:ascii="Palatino Linotype" w:eastAsia="Palatino Linotype" w:hAnsi="Palatino Linotype" w:cs="Palatino Linotype"/>
          <w:color w:val="000000"/>
        </w:rPr>
        <w:t xml:space="preserve"> admite ser poseedor de la información, no es necesario estudiar si este es competente para conocer y en su caso dar respuesta a las solicitudes, pues al </w:t>
      </w:r>
      <w:r w:rsidR="0075177E" w:rsidRPr="0032424A">
        <w:rPr>
          <w:rFonts w:ascii="Palatino Linotype" w:eastAsia="Palatino Linotype" w:hAnsi="Palatino Linotype" w:cs="Palatino Linotype"/>
          <w:color w:val="000000"/>
        </w:rPr>
        <w:t>referir que localizó el expediente clínico</w:t>
      </w:r>
      <w:r w:rsidRPr="0032424A">
        <w:rPr>
          <w:rFonts w:ascii="Palatino Linotype" w:eastAsia="Palatino Linotype" w:hAnsi="Palatino Linotype" w:cs="Palatino Linotype"/>
          <w:color w:val="000000"/>
        </w:rPr>
        <w:t>, este reconoce contar con la misma.</w:t>
      </w:r>
    </w:p>
    <w:p w:rsidR="00514767" w:rsidRPr="0032424A" w:rsidRDefault="00514767" w:rsidP="00514767">
      <w:pPr>
        <w:pStyle w:val="Prrafodelista"/>
        <w:rPr>
          <w:rFonts w:ascii="Palatino Linotype" w:eastAsia="Palatino Linotype" w:hAnsi="Palatino Linotype" w:cs="Palatino Linotype"/>
          <w:color w:val="000000"/>
        </w:rPr>
      </w:pPr>
    </w:p>
    <w:p w:rsidR="00514767" w:rsidRPr="0032424A" w:rsidRDefault="00514767" w:rsidP="0051476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t xml:space="preserve">Al respecto, resulta necesario </w:t>
      </w:r>
      <w:r w:rsidR="0075177E" w:rsidRPr="0032424A">
        <w:rPr>
          <w:rFonts w:ascii="Palatino Linotype" w:eastAsia="Palatino Linotype" w:hAnsi="Palatino Linotype" w:cs="Palatino Linotype"/>
          <w:color w:val="000000"/>
        </w:rPr>
        <w:t>traer a colación lo establecido en el artículo 118 de la Ley de Protección de Datos Personales en Posesión de Sujetos Obligados del Estado de México y Municipios, que a la letra refiere:</w:t>
      </w:r>
    </w:p>
    <w:p w:rsidR="0075177E" w:rsidRPr="0032424A" w:rsidRDefault="0075177E" w:rsidP="0075177E">
      <w:pPr>
        <w:pStyle w:val="Prrafodelista"/>
        <w:rPr>
          <w:rFonts w:ascii="Palatino Linotype" w:eastAsia="Palatino Linotype" w:hAnsi="Palatino Linotype" w:cs="Palatino Linotype"/>
          <w:color w:val="000000"/>
        </w:rPr>
      </w:pPr>
    </w:p>
    <w:p w:rsidR="0075177E" w:rsidRPr="0032424A" w:rsidRDefault="0075177E" w:rsidP="0075177E">
      <w:pPr>
        <w:pBdr>
          <w:top w:val="nil"/>
          <w:left w:val="nil"/>
          <w:bottom w:val="nil"/>
          <w:right w:val="nil"/>
          <w:between w:val="nil"/>
        </w:pBdr>
        <w:ind w:left="567" w:right="616"/>
        <w:jc w:val="both"/>
        <w:rPr>
          <w:rFonts w:ascii="Palatino Linotype" w:hAnsi="Palatino Linotype"/>
          <w:i/>
        </w:rPr>
      </w:pPr>
      <w:r w:rsidRPr="0032424A">
        <w:rPr>
          <w:rFonts w:ascii="Palatino Linotype" w:hAnsi="Palatino Linotype"/>
          <w:b/>
          <w:i/>
        </w:rPr>
        <w:t>Artículo 118.</w:t>
      </w:r>
      <w:r w:rsidRPr="0032424A">
        <w:rPr>
          <w:rFonts w:ascii="Palatino Linotype" w:hAnsi="Palatino Linotype"/>
          <w:i/>
        </w:rPr>
        <w:t xml:space="preserve"> </w:t>
      </w:r>
      <w:r w:rsidRPr="0032424A">
        <w:rPr>
          <w:rFonts w:ascii="Palatino Linotype" w:hAnsi="Palatino Linotype"/>
          <w:b/>
          <w:i/>
        </w:rPr>
        <w:t>Las solicitudes de ejercicio de los derechos ARCO</w:t>
      </w:r>
      <w:r w:rsidRPr="0032424A">
        <w:rPr>
          <w:rFonts w:ascii="Palatino Linotype" w:hAnsi="Palatino Linotype"/>
          <w:i/>
        </w:rPr>
        <w:t xml:space="preserve"> </w:t>
      </w:r>
      <w:r w:rsidRPr="0032424A">
        <w:rPr>
          <w:rFonts w:ascii="Palatino Linotype" w:hAnsi="Palatino Linotype"/>
          <w:b/>
          <w:i/>
        </w:rPr>
        <w:t>se darán por cumplidas a través de expedición</w:t>
      </w:r>
      <w:r w:rsidRPr="0032424A">
        <w:rPr>
          <w:rFonts w:ascii="Palatino Linotype" w:hAnsi="Palatino Linotype"/>
          <w:b/>
          <w:i/>
          <w:u w:val="single"/>
        </w:rPr>
        <w:t xml:space="preserve"> </w:t>
      </w:r>
      <w:r w:rsidRPr="0032424A">
        <w:rPr>
          <w:rFonts w:ascii="Palatino Linotype" w:hAnsi="Palatino Linotype"/>
          <w:i/>
        </w:rPr>
        <w:t xml:space="preserve">de copias simples, copias certificadas, documentos </w:t>
      </w:r>
      <w:r w:rsidRPr="0032424A">
        <w:rPr>
          <w:rFonts w:ascii="Palatino Linotype" w:hAnsi="Palatino Linotype"/>
          <w:b/>
          <w:i/>
        </w:rPr>
        <w:t>en la modalidad que se hubiese solicitado</w:t>
      </w:r>
      <w:r w:rsidRPr="0032424A">
        <w:rPr>
          <w:rFonts w:ascii="Palatino Linotype" w:hAnsi="Palatino Linotype"/>
          <w:i/>
        </w:rPr>
        <w:t xml:space="preserve">, </w:t>
      </w:r>
      <w:r w:rsidRPr="0032424A">
        <w:rPr>
          <w:rFonts w:ascii="Palatino Linotype" w:hAnsi="Palatino Linotype"/>
          <w:b/>
          <w:i/>
          <w:u w:val="single"/>
        </w:rPr>
        <w:t>previa acreditación de la identidad y personalidad del solicitante o en su caso</w:t>
      </w:r>
      <w:r w:rsidRPr="0032424A">
        <w:rPr>
          <w:rFonts w:ascii="Palatino Linotype" w:hAnsi="Palatino Linotype"/>
          <w:i/>
        </w:rPr>
        <w:t xml:space="preserve">, ante la notificación de improcedencia de su solicitud. </w:t>
      </w:r>
    </w:p>
    <w:p w:rsidR="0075177E" w:rsidRPr="0032424A" w:rsidRDefault="0075177E" w:rsidP="0075177E">
      <w:pPr>
        <w:pBdr>
          <w:top w:val="nil"/>
          <w:left w:val="nil"/>
          <w:bottom w:val="nil"/>
          <w:right w:val="nil"/>
          <w:between w:val="nil"/>
        </w:pBdr>
        <w:ind w:left="567" w:right="616"/>
        <w:jc w:val="both"/>
        <w:rPr>
          <w:rFonts w:ascii="Palatino Linotype" w:hAnsi="Palatino Linotype"/>
          <w:i/>
        </w:rPr>
      </w:pPr>
    </w:p>
    <w:p w:rsidR="0075177E" w:rsidRPr="0032424A" w:rsidRDefault="0075177E" w:rsidP="0075177E">
      <w:pPr>
        <w:pBdr>
          <w:top w:val="nil"/>
          <w:left w:val="nil"/>
          <w:bottom w:val="nil"/>
          <w:right w:val="nil"/>
          <w:between w:val="nil"/>
        </w:pBdr>
        <w:ind w:left="567" w:right="616"/>
        <w:jc w:val="both"/>
        <w:rPr>
          <w:rFonts w:ascii="Palatino Linotype" w:eastAsia="Palatino Linotype" w:hAnsi="Palatino Linotype" w:cs="Palatino Linotype"/>
          <w:i/>
          <w:color w:val="000000"/>
        </w:rPr>
      </w:pPr>
      <w:r w:rsidRPr="0032424A">
        <w:rPr>
          <w:rFonts w:ascii="Palatino Linotype" w:hAnsi="Palatino Linotype"/>
          <w:i/>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rsidR="0075177E" w:rsidRPr="0032424A" w:rsidRDefault="0075177E" w:rsidP="0075177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7781D" w:rsidRPr="0032424A" w:rsidRDefault="0007781D" w:rsidP="0007781D">
      <w:pPr>
        <w:numPr>
          <w:ilvl w:val="0"/>
          <w:numId w:val="1"/>
        </w:numPr>
        <w:spacing w:line="360" w:lineRule="auto"/>
        <w:ind w:left="0" w:firstLine="0"/>
        <w:jc w:val="both"/>
        <w:rPr>
          <w:rFonts w:ascii="Palatino Linotype" w:hAnsi="Palatino Linotype"/>
        </w:rPr>
      </w:pPr>
      <w:r w:rsidRPr="0032424A">
        <w:rPr>
          <w:rFonts w:ascii="Palatino Linotype" w:hAnsi="Palatino Linotype"/>
        </w:rPr>
        <w:t xml:space="preserve">De lo anteriormente transcrito, se observa que la acreditación de la identidad para el ejercicio de los derechos ARCO, se realiza en dos etapas; es decir al momento de la presentación de la solicitud de acceso, donde el </w:t>
      </w:r>
      <w:r w:rsidRPr="0032424A">
        <w:rPr>
          <w:rFonts w:ascii="Palatino Linotype" w:hAnsi="Palatino Linotype"/>
          <w:b/>
        </w:rPr>
        <w:t>SUJETO OBLIGADO</w:t>
      </w:r>
      <w:r w:rsidRPr="0032424A">
        <w:rPr>
          <w:rFonts w:ascii="Palatino Linotype" w:hAnsi="Palatino Linotype"/>
        </w:rPr>
        <w:t xml:space="preserve"> identifica que se cumplan con los requisitos establecidos en el artículo 110, y en una segunda instancia al momento de dar cumplimiento en la atención de la solicitud de derechos ARCO cuando así resulte procedente. Pues como se desprende del precepto jurídico antes transcrito, el titular de los datos o su representante, debe acudir dentro de los sesenta días posteriores a la </w:t>
      </w:r>
      <w:r w:rsidRPr="0032424A">
        <w:rPr>
          <w:rFonts w:ascii="Palatino Linotype" w:hAnsi="Palatino Linotype"/>
        </w:rPr>
        <w:lastRenderedPageBreak/>
        <w:t xml:space="preserve">notificación de la respuesta para que previa acreditación de identidad se pongan a su disposición los datos de los cuales requirió su acceso. </w:t>
      </w:r>
    </w:p>
    <w:p w:rsidR="0007781D" w:rsidRPr="0032424A" w:rsidRDefault="0007781D" w:rsidP="0007781D">
      <w:pPr>
        <w:pStyle w:val="Prrafodelista"/>
        <w:spacing w:before="240" w:line="360" w:lineRule="auto"/>
        <w:ind w:left="0"/>
        <w:jc w:val="both"/>
        <w:rPr>
          <w:rFonts w:ascii="Palatino Linotype" w:hAnsi="Palatino Linotype"/>
        </w:rPr>
      </w:pPr>
    </w:p>
    <w:p w:rsidR="0007781D" w:rsidRPr="0032424A" w:rsidRDefault="0007781D" w:rsidP="0007781D">
      <w:pPr>
        <w:pStyle w:val="Prrafodelista"/>
        <w:numPr>
          <w:ilvl w:val="0"/>
          <w:numId w:val="1"/>
        </w:numPr>
        <w:spacing w:before="240" w:line="360" w:lineRule="auto"/>
        <w:ind w:left="0" w:firstLine="0"/>
        <w:jc w:val="both"/>
        <w:rPr>
          <w:rFonts w:ascii="Palatino Linotype" w:hAnsi="Palatino Linotype"/>
        </w:rPr>
      </w:pPr>
      <w:r w:rsidRPr="0032424A">
        <w:rPr>
          <w:rFonts w:ascii="Palatino Linotype" w:hAnsi="Palatino Linotype"/>
        </w:rPr>
        <w:t xml:space="preserve">En virtud de lo anterior, especial mención requiere el contexto para ejercer los derechos </w:t>
      </w:r>
      <w:r w:rsidRPr="0032424A">
        <w:rPr>
          <w:rFonts w:ascii="Palatino Linotype" w:hAnsi="Palatino Linotype"/>
          <w:b/>
        </w:rPr>
        <w:t xml:space="preserve">ARCO </w:t>
      </w:r>
      <w:r w:rsidRPr="0032424A">
        <w:rPr>
          <w:rFonts w:ascii="Palatino Linotype" w:hAnsi="Palatino Linotype"/>
        </w:rPr>
        <w:t xml:space="preserve">tratándose de titulares y representantes legales, supuesto normativo estipulado en los artículos 106, 120 y 121 de la Ley de Protección de Datos Personales en Posesión de Sujetos Obligados del Estado de México y Municipios, normatividad invocada que a la literalidad dispone: </w:t>
      </w:r>
    </w:p>
    <w:p w:rsidR="0007781D" w:rsidRPr="0032424A" w:rsidRDefault="0007781D" w:rsidP="0007781D">
      <w:pPr>
        <w:widowControl w:val="0"/>
        <w:autoSpaceDE w:val="0"/>
        <w:autoSpaceDN w:val="0"/>
        <w:adjustRightInd w:val="0"/>
        <w:ind w:left="851" w:right="851"/>
        <w:jc w:val="both"/>
        <w:rPr>
          <w:rFonts w:ascii="Palatino Linotype" w:hAnsi="Palatino Linotype"/>
          <w:b/>
          <w:i/>
        </w:rPr>
      </w:pPr>
      <w:r w:rsidRPr="0032424A">
        <w:rPr>
          <w:rFonts w:ascii="Palatino Linotype" w:hAnsi="Palatino Linotype"/>
          <w:b/>
          <w:i/>
        </w:rPr>
        <w:t>“Legitimación para Ejercer los Derechos ARCO</w:t>
      </w:r>
    </w:p>
    <w:p w:rsidR="0007781D" w:rsidRPr="0032424A" w:rsidRDefault="0007781D" w:rsidP="0007781D">
      <w:pPr>
        <w:widowControl w:val="0"/>
        <w:autoSpaceDE w:val="0"/>
        <w:autoSpaceDN w:val="0"/>
        <w:adjustRightInd w:val="0"/>
        <w:ind w:left="851" w:right="851"/>
        <w:jc w:val="both"/>
        <w:rPr>
          <w:rFonts w:ascii="Palatino Linotype" w:hAnsi="Palatino Linotype"/>
          <w:b/>
          <w:i/>
        </w:rPr>
      </w:pPr>
    </w:p>
    <w:p w:rsidR="0007781D" w:rsidRPr="0032424A" w:rsidRDefault="0007781D" w:rsidP="0007781D">
      <w:pPr>
        <w:pStyle w:val="INFOEM"/>
        <w:spacing w:before="0" w:line="240" w:lineRule="auto"/>
        <w:rPr>
          <w:sz w:val="24"/>
          <w:szCs w:val="24"/>
          <w:lang w:eastAsia="es-MX"/>
        </w:rPr>
      </w:pPr>
      <w:r w:rsidRPr="0032424A">
        <w:rPr>
          <w:b/>
          <w:sz w:val="24"/>
          <w:szCs w:val="24"/>
        </w:rPr>
        <w:t>Artículo 106.</w:t>
      </w:r>
      <w:r w:rsidRPr="0032424A">
        <w:rPr>
          <w:sz w:val="24"/>
          <w:szCs w:val="24"/>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32424A">
        <w:rPr>
          <w:sz w:val="24"/>
          <w:szCs w:val="24"/>
          <w:lang w:eastAsia="es-MX"/>
        </w:rPr>
        <w:t xml:space="preserve"> </w:t>
      </w:r>
    </w:p>
    <w:p w:rsidR="0007781D" w:rsidRPr="0032424A" w:rsidRDefault="0007781D" w:rsidP="0007781D">
      <w:pPr>
        <w:pStyle w:val="INFOEM"/>
        <w:spacing w:before="0" w:line="240" w:lineRule="auto"/>
        <w:rPr>
          <w:b/>
          <w:sz w:val="24"/>
          <w:szCs w:val="24"/>
          <w:u w:val="single"/>
        </w:rPr>
      </w:pPr>
      <w:r w:rsidRPr="0032424A">
        <w:rPr>
          <w:b/>
          <w:sz w:val="24"/>
          <w:szCs w:val="24"/>
          <w:u w:val="single"/>
          <w:lang w:eastAsia="es-MX"/>
        </w:rPr>
        <w:t xml:space="preserve"> </w:t>
      </w:r>
      <w:r w:rsidRPr="0032424A">
        <w:rPr>
          <w:b/>
          <w:sz w:val="24"/>
          <w:szCs w:val="24"/>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07781D" w:rsidRPr="0032424A" w:rsidRDefault="0007781D" w:rsidP="0007781D">
      <w:pPr>
        <w:pStyle w:val="INFOEM"/>
        <w:spacing w:before="0" w:line="240" w:lineRule="auto"/>
        <w:rPr>
          <w:sz w:val="24"/>
          <w:szCs w:val="24"/>
        </w:rPr>
      </w:pPr>
      <w:r w:rsidRPr="0032424A">
        <w:rPr>
          <w:sz w:val="24"/>
          <w:szCs w:val="24"/>
        </w:rPr>
        <w:t>(…)</w:t>
      </w:r>
    </w:p>
    <w:p w:rsidR="0007781D" w:rsidRPr="0032424A" w:rsidRDefault="0007781D" w:rsidP="0007781D">
      <w:pPr>
        <w:pStyle w:val="INFOEM"/>
        <w:spacing w:before="0" w:line="240" w:lineRule="auto"/>
        <w:rPr>
          <w:b/>
          <w:sz w:val="24"/>
          <w:szCs w:val="24"/>
          <w:u w:val="single"/>
        </w:rPr>
      </w:pPr>
      <w:r w:rsidRPr="0032424A">
        <w:rPr>
          <w:b/>
          <w:sz w:val="24"/>
          <w:szCs w:val="24"/>
          <w:u w:val="single"/>
        </w:rPr>
        <w:t xml:space="preserve">Medios para acreditar identidad </w:t>
      </w:r>
    </w:p>
    <w:p w:rsidR="0007781D" w:rsidRPr="0032424A" w:rsidRDefault="0007781D" w:rsidP="0007781D">
      <w:pPr>
        <w:pStyle w:val="INFOEM"/>
        <w:spacing w:before="0" w:line="240" w:lineRule="auto"/>
        <w:rPr>
          <w:b/>
          <w:sz w:val="24"/>
          <w:szCs w:val="24"/>
        </w:rPr>
      </w:pPr>
      <w:r w:rsidRPr="0032424A">
        <w:rPr>
          <w:b/>
          <w:sz w:val="24"/>
          <w:szCs w:val="24"/>
        </w:rPr>
        <w:t>Artículo 120.</w:t>
      </w:r>
      <w:r w:rsidRPr="0032424A">
        <w:rPr>
          <w:sz w:val="24"/>
          <w:szCs w:val="24"/>
        </w:rPr>
        <w:t xml:space="preserve"> </w:t>
      </w:r>
      <w:r w:rsidRPr="0032424A">
        <w:rPr>
          <w:b/>
          <w:sz w:val="24"/>
          <w:szCs w:val="24"/>
        </w:rPr>
        <w:t xml:space="preserve">El titular podrá acreditar su identidad a través de cualquiera de los medios siguientes: </w:t>
      </w:r>
    </w:p>
    <w:p w:rsidR="0007781D" w:rsidRPr="0032424A" w:rsidRDefault="0007781D" w:rsidP="0007781D">
      <w:pPr>
        <w:pStyle w:val="INFOEM"/>
        <w:spacing w:before="0" w:line="240" w:lineRule="auto"/>
        <w:rPr>
          <w:b/>
          <w:sz w:val="24"/>
          <w:szCs w:val="24"/>
        </w:rPr>
      </w:pPr>
      <w:r w:rsidRPr="0032424A">
        <w:rPr>
          <w:b/>
          <w:sz w:val="24"/>
          <w:szCs w:val="24"/>
        </w:rPr>
        <w:t xml:space="preserve">I. Identificación oficial. </w:t>
      </w:r>
    </w:p>
    <w:p w:rsidR="0007781D" w:rsidRPr="0032424A" w:rsidRDefault="0007781D" w:rsidP="0007781D">
      <w:pPr>
        <w:pStyle w:val="INFOEM"/>
        <w:spacing w:before="0" w:line="240" w:lineRule="auto"/>
        <w:rPr>
          <w:b/>
          <w:sz w:val="24"/>
          <w:szCs w:val="24"/>
        </w:rPr>
      </w:pPr>
      <w:r w:rsidRPr="0032424A">
        <w:rPr>
          <w:b/>
          <w:sz w:val="24"/>
          <w:szCs w:val="24"/>
        </w:rPr>
        <w:t>II. Firma electrónica avanzada o del instrumento electrónico que lo sustituya.</w:t>
      </w:r>
    </w:p>
    <w:p w:rsidR="0007781D" w:rsidRPr="0032424A" w:rsidRDefault="0007781D" w:rsidP="0007781D">
      <w:pPr>
        <w:pStyle w:val="INFOEM"/>
        <w:spacing w:before="0" w:line="240" w:lineRule="auto"/>
        <w:rPr>
          <w:b/>
          <w:sz w:val="24"/>
          <w:szCs w:val="24"/>
        </w:rPr>
      </w:pPr>
      <w:r w:rsidRPr="0032424A">
        <w:rPr>
          <w:b/>
          <w:sz w:val="24"/>
          <w:szCs w:val="24"/>
        </w:rPr>
        <w:lastRenderedPageBreak/>
        <w:t xml:space="preserve"> III. Mecanismos de autenticación autorizados por el Instituto o el Instituto Nacional publicados por acuerdo general en el periódico oficial “Gaceta del Gobierno” o en el Diario Oficial de la Federación. </w:t>
      </w:r>
    </w:p>
    <w:p w:rsidR="0007781D" w:rsidRPr="0032424A" w:rsidRDefault="0007781D" w:rsidP="0007781D">
      <w:pPr>
        <w:pStyle w:val="INFOEM"/>
        <w:spacing w:before="0" w:line="240" w:lineRule="auto"/>
        <w:rPr>
          <w:sz w:val="24"/>
          <w:szCs w:val="24"/>
        </w:rPr>
      </w:pPr>
      <w:r w:rsidRPr="0032424A">
        <w:rPr>
          <w:sz w:val="24"/>
          <w:szCs w:val="24"/>
        </w:rPr>
        <w:t>La utilización de la firma electrónica avanzada o del instrumento electrónico que lo sustituya eximirá de la presentación de la copia del documento de identificación.</w:t>
      </w:r>
    </w:p>
    <w:p w:rsidR="0007781D" w:rsidRPr="0032424A" w:rsidRDefault="0007781D" w:rsidP="0007781D">
      <w:pPr>
        <w:pStyle w:val="INFOEM"/>
        <w:spacing w:before="0" w:line="240" w:lineRule="auto"/>
        <w:rPr>
          <w:sz w:val="24"/>
          <w:szCs w:val="24"/>
        </w:rPr>
      </w:pPr>
      <w:r w:rsidRPr="0032424A">
        <w:rPr>
          <w:sz w:val="24"/>
          <w:szCs w:val="24"/>
        </w:rPr>
        <w:t xml:space="preserve">Formas para acreditar personalidad en representación </w:t>
      </w:r>
    </w:p>
    <w:p w:rsidR="0007781D" w:rsidRPr="0032424A" w:rsidRDefault="0007781D" w:rsidP="0007781D">
      <w:pPr>
        <w:pStyle w:val="INFOEM"/>
        <w:spacing w:before="0" w:line="240" w:lineRule="auto"/>
        <w:rPr>
          <w:bCs/>
          <w:sz w:val="24"/>
          <w:szCs w:val="24"/>
        </w:rPr>
      </w:pPr>
      <w:r w:rsidRPr="0032424A">
        <w:rPr>
          <w:bCs/>
          <w:sz w:val="24"/>
          <w:szCs w:val="24"/>
        </w:rPr>
        <w:t>Artículo 121. Cuando el titular actúe a través de un representante, éste deberá acreditar su personalidad en los términos siguientes:</w:t>
      </w:r>
    </w:p>
    <w:p w:rsidR="0007781D" w:rsidRPr="0032424A" w:rsidRDefault="0007781D" w:rsidP="0007781D">
      <w:pPr>
        <w:pStyle w:val="INFOEM"/>
        <w:spacing w:before="0" w:line="240" w:lineRule="auto"/>
        <w:rPr>
          <w:sz w:val="24"/>
          <w:szCs w:val="24"/>
        </w:rPr>
      </w:pPr>
      <w:r w:rsidRPr="0032424A">
        <w:rPr>
          <w:sz w:val="24"/>
          <w:szCs w:val="24"/>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rsidR="0007781D" w:rsidRPr="0032424A" w:rsidRDefault="0007781D" w:rsidP="0007781D">
      <w:pPr>
        <w:pStyle w:val="INFOEM"/>
        <w:spacing w:before="0" w:line="240" w:lineRule="auto"/>
        <w:rPr>
          <w:sz w:val="24"/>
          <w:szCs w:val="24"/>
        </w:rPr>
      </w:pPr>
      <w:r w:rsidRPr="0032424A">
        <w:rPr>
          <w:sz w:val="24"/>
          <w:szCs w:val="24"/>
        </w:rPr>
        <w:t>II. Si se trata de una persona jurídica colectiva, a través de instrumento público.</w:t>
      </w:r>
    </w:p>
    <w:p w:rsidR="0075177E" w:rsidRPr="0032424A" w:rsidRDefault="0075177E" w:rsidP="0075177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7781D" w:rsidRPr="0032424A" w:rsidRDefault="0007781D" w:rsidP="0007781D">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cs="Arial"/>
        </w:rPr>
      </w:pPr>
      <w:r w:rsidRPr="0032424A">
        <w:rPr>
          <w:rFonts w:ascii="Palatino Linotype" w:hAnsi="Palatino Linotype" w:cs="Arial"/>
        </w:rPr>
        <w:t>Disposiciones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rsidR="0007781D" w:rsidRPr="0032424A" w:rsidRDefault="0007781D" w:rsidP="0007781D">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rsidR="0007781D" w:rsidRPr="0032424A" w:rsidRDefault="0007781D" w:rsidP="0007781D">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cs="Arial"/>
        </w:rPr>
      </w:pPr>
      <w:r w:rsidRPr="0032424A">
        <w:rPr>
          <w:rFonts w:ascii="Palatino Linotype" w:hAnsi="Palatino Linotype" w:cs="Arial"/>
        </w:rPr>
        <w:t xml:space="preserve">Ordenamiento al cual se encuentran sujetos los titulares de las unidades de transparencia de los </w:t>
      </w:r>
      <w:r w:rsidRPr="0032424A">
        <w:rPr>
          <w:rFonts w:ascii="Palatino Linotype" w:hAnsi="Palatino Linotype" w:cs="Arial"/>
          <w:b/>
        </w:rPr>
        <w:t>Sujetos Obligados,</w:t>
      </w:r>
      <w:r w:rsidRPr="0032424A">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32424A">
        <w:rPr>
          <w:rFonts w:ascii="Palatino Linotype" w:hAnsi="Palatino Linotype" w:cs="Arial"/>
          <w:b/>
          <w:u w:val="single"/>
        </w:rPr>
        <w:t xml:space="preserve">que implica que la información </w:t>
      </w:r>
      <w:r w:rsidRPr="0032424A">
        <w:rPr>
          <w:rFonts w:ascii="Palatino Linotype" w:hAnsi="Palatino Linotype" w:cs="Arial"/>
          <w:b/>
          <w:u w:val="single"/>
        </w:rPr>
        <w:lastRenderedPageBreak/>
        <w:t>no se pondrá a disposición, ni se revelará a individuos, entidades o procesos no autorizados, y que en el caso particular requiere de manera inexorable que el acceso de datos se lleve a cabo, únicamente a favor de quien cuente con un interés jurídico o en su caso, su representante legal.</w:t>
      </w:r>
    </w:p>
    <w:p w:rsidR="004C2D8B" w:rsidRPr="0032424A" w:rsidRDefault="004C2D8B" w:rsidP="00B037C7">
      <w:pPr>
        <w:spacing w:line="360" w:lineRule="auto"/>
        <w:ind w:right="49"/>
        <w:jc w:val="both"/>
        <w:rPr>
          <w:rFonts w:ascii="Palatino Linotype" w:eastAsia="Palatino Linotype" w:hAnsi="Palatino Linotype" w:cs="Palatino Linotype"/>
          <w:color w:val="000000"/>
        </w:rPr>
      </w:pPr>
    </w:p>
    <w:p w:rsidR="00C077E1" w:rsidRPr="0032424A" w:rsidRDefault="00C077E1" w:rsidP="00C077E1">
      <w:pPr>
        <w:numPr>
          <w:ilvl w:val="0"/>
          <w:numId w:val="1"/>
        </w:numPr>
        <w:spacing w:line="360" w:lineRule="auto"/>
        <w:ind w:left="0" w:right="49" w:firstLine="0"/>
        <w:jc w:val="both"/>
        <w:rPr>
          <w:rFonts w:ascii="Palatino Linotype" w:eastAsia="Palatino Linotype" w:hAnsi="Palatino Linotype" w:cs="Palatino Linotype"/>
          <w:b/>
          <w:color w:val="000000"/>
          <w14:textFill>
            <w14:solidFill>
              <w14:srgbClr w14:val="000000">
                <w14:lumMod w14:val="75000"/>
              </w14:srgbClr>
            </w14:solidFill>
          </w14:textFill>
        </w:rPr>
      </w:pPr>
      <w:r w:rsidRPr="0032424A">
        <w:rPr>
          <w:rFonts w:ascii="Palatino Linotype" w:eastAsia="Palatino Linotype" w:hAnsi="Palatino Linotype" w:cs="Palatino Linotype"/>
          <w:color w:val="000000"/>
        </w:rPr>
        <w:t xml:space="preserve">Al respecto, deberá hacerse del conocimiento del particular al momento de dar cumplimiento al presente proveído, el domicilio al cual deberá acudir, el nombre de la dependencia o área respectiva, la forma y procedimiento a seguir, así como el periodo durante el cual quedará a su disposición la documentación conforme a lo dispuesto por el artículo 118, de la Ley de Protección de Datos Personales en Posesión de Sujetos Obligados del Estado de México y Municipios, a efecto de poder acceder a las copias simples. Cuando se determine la procedencia del ejercicio de dichos derechos y éstos se encuentren a disposición del titular en la modalidad que haya escogido previa acreditación, </w:t>
      </w:r>
      <w:r w:rsidRPr="0032424A">
        <w:rPr>
          <w:rFonts w:ascii="Palatino Linotype" w:eastAsia="Palatino Linotype" w:hAnsi="Palatino Linotype" w:cs="Palatino Linotype"/>
          <w:b/>
          <w:color w:val="000000"/>
        </w:rPr>
        <w:t>la solicitud se entenderá atendida si el solicitante no acude dentro de los sesenta días posteriores a la notificación.</w:t>
      </w:r>
    </w:p>
    <w:p w:rsidR="005B5F6D" w:rsidRPr="0032424A" w:rsidRDefault="005B5F6D">
      <w:pPr>
        <w:spacing w:line="360" w:lineRule="auto"/>
        <w:jc w:val="both"/>
        <w:rPr>
          <w:rFonts w:ascii="Palatino Linotype" w:hAnsi="Palatino Linotype"/>
        </w:rPr>
      </w:pPr>
    </w:p>
    <w:p w:rsidR="005B5F6D" w:rsidRPr="0032424A" w:rsidRDefault="00DF0D09" w:rsidP="0007781D">
      <w:pPr>
        <w:numPr>
          <w:ilvl w:val="0"/>
          <w:numId w:val="1"/>
        </w:numPr>
        <w:spacing w:line="360" w:lineRule="auto"/>
        <w:ind w:left="0" w:firstLine="0"/>
        <w:jc w:val="both"/>
        <w:rPr>
          <w:rFonts w:ascii="Palatino Linotype" w:hAnsi="Palatino Linotype"/>
        </w:rPr>
      </w:pPr>
      <w:r w:rsidRPr="0032424A">
        <w:rPr>
          <w:rFonts w:ascii="Palatino Linotype" w:hAnsi="Palatino Linotype"/>
        </w:rPr>
        <w:t xml:space="preserve">En consecuencia, si bien es cierto que dentro del expediente </w:t>
      </w:r>
      <w:r w:rsidRPr="0032424A">
        <w:rPr>
          <w:rFonts w:ascii="Palatino Linotype" w:hAnsi="Palatino Linotype"/>
          <w:b/>
        </w:rPr>
        <w:t>SARCOEM</w:t>
      </w:r>
      <w:r w:rsidRPr="0032424A">
        <w:rPr>
          <w:rFonts w:ascii="Palatino Linotype" w:hAnsi="Palatino Linotype"/>
        </w:rPr>
        <w:t xml:space="preserve">, obra copia de la </w:t>
      </w:r>
      <w:r w:rsidR="0007781D" w:rsidRPr="0032424A">
        <w:rPr>
          <w:rFonts w:ascii="Palatino Linotype" w:hAnsi="Palatino Linotype"/>
        </w:rPr>
        <w:t>cartilla militar del solicitante</w:t>
      </w:r>
      <w:r w:rsidRPr="0032424A">
        <w:rPr>
          <w:rFonts w:ascii="Palatino Linotype" w:hAnsi="Palatino Linotype"/>
          <w:b/>
        </w:rPr>
        <w:t xml:space="preserve">, </w:t>
      </w:r>
      <w:r w:rsidRPr="0032424A">
        <w:rPr>
          <w:rFonts w:ascii="Palatino Linotype" w:hAnsi="Palatino Linotype"/>
        </w:rPr>
        <w:t xml:space="preserve">ello no es suficiente para cumplir con lo contenido del artículo </w:t>
      </w:r>
      <w:r w:rsidR="00265363" w:rsidRPr="0032424A">
        <w:rPr>
          <w:rFonts w:ascii="Palatino Linotype" w:hAnsi="Palatino Linotype"/>
        </w:rPr>
        <w:t>106</w:t>
      </w:r>
      <w:r w:rsidRPr="0032424A">
        <w:rPr>
          <w:rFonts w:ascii="Palatino Linotype" w:hAnsi="Palatino Linotype"/>
        </w:rPr>
        <w:t xml:space="preserve"> de la Ley de la materia, que puntualmente establece que para el ejercicio de derechos ARCO, se deberá contener entre otros requisitos los documentos que acrediten la identidad del</w:t>
      </w:r>
      <w:r w:rsidR="0007781D" w:rsidRPr="0032424A">
        <w:rPr>
          <w:rFonts w:ascii="Palatino Linotype" w:hAnsi="Palatino Linotype"/>
        </w:rPr>
        <w:t xml:space="preserve"> titular</w:t>
      </w:r>
      <w:r w:rsidRPr="0032424A">
        <w:rPr>
          <w:rFonts w:ascii="Palatino Linotype" w:hAnsi="Palatino Linotype"/>
        </w:rPr>
        <w:t xml:space="preserve">; es así que el otorgamiento del acceso a datos personales, independientemente de la modalidad elegida, requiere de una entrega en forma física y directa, de </w:t>
      </w:r>
      <w:r w:rsidR="0007781D" w:rsidRPr="0032424A">
        <w:rPr>
          <w:rFonts w:ascii="Palatino Linotype" w:hAnsi="Palatino Linotype"/>
        </w:rPr>
        <w:t>conformidad con el artículo 118.</w:t>
      </w:r>
    </w:p>
    <w:p w:rsidR="005B5F6D" w:rsidRPr="0032424A" w:rsidRDefault="005B5F6D">
      <w:pPr>
        <w:spacing w:line="360" w:lineRule="auto"/>
        <w:jc w:val="both"/>
        <w:rPr>
          <w:rFonts w:ascii="Palatino Linotype" w:hAnsi="Palatino Linotype"/>
        </w:rPr>
      </w:pPr>
    </w:p>
    <w:p w:rsidR="005B5F6D" w:rsidRPr="0032424A" w:rsidRDefault="00DF0D09">
      <w:pPr>
        <w:numPr>
          <w:ilvl w:val="0"/>
          <w:numId w:val="1"/>
        </w:numPr>
        <w:spacing w:line="360" w:lineRule="auto"/>
        <w:ind w:left="0" w:firstLine="0"/>
        <w:jc w:val="both"/>
        <w:rPr>
          <w:rFonts w:ascii="Palatino Linotype" w:hAnsi="Palatino Linotype"/>
        </w:rPr>
      </w:pPr>
      <w:r w:rsidRPr="0032424A">
        <w:rPr>
          <w:rFonts w:ascii="Palatino Linotype" w:hAnsi="Palatino Linotype"/>
        </w:rPr>
        <w:lastRenderedPageBreak/>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elementos de certeza, de que efectivamente el solicitante </w:t>
      </w:r>
      <w:r w:rsidR="00265363" w:rsidRPr="0032424A">
        <w:rPr>
          <w:rFonts w:ascii="Palatino Linotype" w:hAnsi="Palatino Linotype"/>
        </w:rPr>
        <w:t>acredita tener un interés jurídico</w:t>
      </w:r>
      <w:r w:rsidRPr="0032424A">
        <w:rPr>
          <w:rFonts w:ascii="Palatino Linotype" w:hAnsi="Palatino Linotype"/>
        </w:rPr>
        <w:t xml:space="preserve"> de los datos a los que se desea tener acceso</w:t>
      </w:r>
      <w:r w:rsidR="00265363" w:rsidRPr="0032424A">
        <w:rPr>
          <w:rFonts w:ascii="Palatino Linotype" w:hAnsi="Palatino Linotype"/>
        </w:rPr>
        <w:t>, tratándose de datos personales</w:t>
      </w:r>
      <w:r w:rsidRPr="0032424A">
        <w:rPr>
          <w:rFonts w:ascii="Palatino Linotype" w:hAnsi="Palatino Linotype"/>
        </w:rPr>
        <w:t xml:space="preserve">, pues de haber accedido la hoy </w:t>
      </w:r>
      <w:r w:rsidRPr="0032424A">
        <w:rPr>
          <w:rFonts w:ascii="Palatino Linotype" w:hAnsi="Palatino Linotype"/>
          <w:b/>
        </w:rPr>
        <w:t xml:space="preserve">RECURRENTE </w:t>
      </w:r>
      <w:r w:rsidRPr="0032424A">
        <w:rPr>
          <w:rFonts w:ascii="Palatino Linotype" w:hAnsi="Palatino Linotype"/>
        </w:rPr>
        <w:t xml:space="preserve">para acudir a la conciliación, evidentemente se acreditaría como la </w:t>
      </w:r>
      <w:r w:rsidR="00265363" w:rsidRPr="0032424A">
        <w:rPr>
          <w:rFonts w:ascii="Palatino Linotype" w:hAnsi="Palatino Linotype"/>
        </w:rPr>
        <w:t>persona que puede ejercer los derechos ARCO</w:t>
      </w:r>
      <w:r w:rsidRPr="0032424A">
        <w:rPr>
          <w:rFonts w:ascii="Palatino Linotype" w:hAnsi="Palatino Linotype"/>
        </w:rPr>
        <w:t xml:space="preserve">, y tanto el </w:t>
      </w:r>
      <w:r w:rsidRPr="0032424A">
        <w:rPr>
          <w:rFonts w:ascii="Palatino Linotype" w:hAnsi="Palatino Linotype"/>
          <w:b/>
        </w:rPr>
        <w:t>SUJETO OBLIGADO</w:t>
      </w:r>
      <w:r w:rsidRPr="0032424A">
        <w:rPr>
          <w:rFonts w:ascii="Palatino Linotype" w:hAnsi="Palatino Linotype"/>
        </w:rPr>
        <w:t xml:space="preserve"> como este Instituto se habrían allegado de elementos que dieran convicción de lo hecho mención, situación que no se materializó debido a que </w:t>
      </w:r>
      <w:r w:rsidRPr="0032424A">
        <w:rPr>
          <w:rFonts w:ascii="Palatino Linotype" w:hAnsi="Palatino Linotype"/>
          <w:b/>
        </w:rPr>
        <w:t xml:space="preserve">el RECURRENTE </w:t>
      </w:r>
      <w:r w:rsidRPr="0032424A">
        <w:rPr>
          <w:rFonts w:ascii="Palatino Linotype" w:hAnsi="Palatino Linotype"/>
        </w:rPr>
        <w:t>no hizo manifiesta su voluntad de conciliar.</w:t>
      </w:r>
    </w:p>
    <w:p w:rsidR="005B5F6D" w:rsidRPr="0032424A" w:rsidRDefault="005B5F6D">
      <w:pPr>
        <w:pStyle w:val="Prrafodelista"/>
        <w:ind w:left="2912"/>
        <w:rPr>
          <w:rFonts w:ascii="Palatino Linotype" w:hAnsi="Palatino Linotype"/>
        </w:rPr>
      </w:pPr>
    </w:p>
    <w:p w:rsidR="005B5F6D" w:rsidRPr="0032424A" w:rsidRDefault="00DF0D09">
      <w:pPr>
        <w:numPr>
          <w:ilvl w:val="0"/>
          <w:numId w:val="1"/>
        </w:numPr>
        <w:spacing w:line="360" w:lineRule="auto"/>
        <w:ind w:left="0" w:firstLine="0"/>
        <w:jc w:val="both"/>
        <w:rPr>
          <w:rFonts w:ascii="Palatino Linotype" w:hAnsi="Palatino Linotype"/>
        </w:rPr>
      </w:pPr>
      <w:r w:rsidRPr="0032424A">
        <w:rPr>
          <w:rFonts w:ascii="Palatino Linotype" w:hAnsi="Palatino Linotype"/>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rsidR="005B5F6D" w:rsidRPr="0032424A" w:rsidRDefault="005B5F6D">
      <w:pPr>
        <w:pStyle w:val="Prrafodelista"/>
        <w:ind w:left="2912"/>
        <w:rPr>
          <w:rFonts w:ascii="Palatino Linotype" w:hAnsi="Palatino Linotype"/>
        </w:rPr>
      </w:pPr>
    </w:p>
    <w:p w:rsidR="005B5F6D" w:rsidRPr="0032424A" w:rsidRDefault="00DF0D09">
      <w:pPr>
        <w:numPr>
          <w:ilvl w:val="0"/>
          <w:numId w:val="1"/>
        </w:numPr>
        <w:spacing w:line="360" w:lineRule="auto"/>
        <w:ind w:left="0" w:firstLine="0"/>
        <w:jc w:val="both"/>
        <w:rPr>
          <w:rFonts w:ascii="Palatino Linotype" w:hAnsi="Palatino Linotype"/>
        </w:rPr>
      </w:pPr>
      <w:r w:rsidRPr="0032424A">
        <w:rPr>
          <w:rFonts w:ascii="Palatino Linotype" w:hAnsi="Palatino Linotype"/>
          <w:b/>
        </w:rPr>
        <w:t>Por ello, no basta con adjuntar una identificación en este caso vía SARCOEM,</w:t>
      </w:r>
      <w:r w:rsidRPr="0032424A">
        <w:rPr>
          <w:rFonts w:ascii="Palatino Linotype" w:hAnsi="Palatino Linotype"/>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rsidR="005B5F6D" w:rsidRPr="0032424A" w:rsidRDefault="00DF0D09">
      <w:pPr>
        <w:numPr>
          <w:ilvl w:val="0"/>
          <w:numId w:val="1"/>
        </w:numPr>
        <w:spacing w:line="360" w:lineRule="auto"/>
        <w:ind w:left="0" w:firstLine="0"/>
        <w:jc w:val="both"/>
        <w:rPr>
          <w:rFonts w:ascii="Palatino Linotype" w:hAnsi="Palatino Linotype"/>
        </w:rPr>
      </w:pPr>
      <w:r w:rsidRPr="0032424A">
        <w:rPr>
          <w:rFonts w:ascii="Palatino Linotype" w:hAnsi="Palatino Linotype"/>
        </w:rPr>
        <w:lastRenderedPageBreak/>
        <w:t xml:space="preserve">De lo que adjuntar un archivo fotográfico o escaneado a una solicitud de acceso a datos, no basta para dar total acceso a cualquier dato personal que se requiera vía </w:t>
      </w:r>
      <w:r w:rsidRPr="0032424A">
        <w:rPr>
          <w:rFonts w:ascii="Palatino Linotype" w:hAnsi="Palatino Linotype"/>
          <w:b/>
        </w:rPr>
        <w:t>SARCOEM</w:t>
      </w:r>
      <w:r w:rsidRPr="0032424A">
        <w:rPr>
          <w:rFonts w:ascii="Palatino Linotype" w:hAnsi="Palatino Linotype"/>
        </w:rPr>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rsidR="005B5F6D" w:rsidRPr="0032424A" w:rsidRDefault="005B5F6D">
      <w:pPr>
        <w:pStyle w:val="Prrafodelista"/>
        <w:ind w:left="2912"/>
        <w:rPr>
          <w:rFonts w:ascii="Palatino Linotype" w:hAnsi="Palatino Linotype"/>
        </w:rPr>
      </w:pPr>
    </w:p>
    <w:p w:rsidR="005B5F6D" w:rsidRPr="0032424A" w:rsidRDefault="00DF0D09">
      <w:pPr>
        <w:numPr>
          <w:ilvl w:val="0"/>
          <w:numId w:val="1"/>
        </w:numPr>
        <w:spacing w:line="360" w:lineRule="auto"/>
        <w:ind w:left="0" w:firstLine="0"/>
        <w:jc w:val="both"/>
        <w:rPr>
          <w:rFonts w:ascii="Palatino Linotype" w:hAnsi="Palatino Linotype"/>
        </w:rPr>
      </w:pPr>
      <w:r w:rsidRPr="0032424A">
        <w:rPr>
          <w:rFonts w:ascii="Palatino Linotype" w:hAnsi="Palatino Linotype"/>
        </w:rPr>
        <w:t>Sirve de apoyo a lo anterior por analogía el criterio</w:t>
      </w:r>
      <w:r w:rsidR="00265363" w:rsidRPr="0032424A">
        <w:rPr>
          <w:rFonts w:ascii="Palatino Linotype" w:hAnsi="Palatino Linotype"/>
        </w:rPr>
        <w:t xml:space="preserve"> orientador</w:t>
      </w:r>
      <w:r w:rsidRPr="0032424A">
        <w:rPr>
          <w:rFonts w:ascii="Palatino Linotype" w:hAnsi="Palatino Linotype"/>
        </w:rPr>
        <w:t xml:space="preserve"> 1/18 emitido por el Instituto Nacional de Transparencia, Acceso a la Información y Protección de Datos Personales que es del tenor literal siguiente:</w:t>
      </w:r>
    </w:p>
    <w:p w:rsidR="005B5F6D" w:rsidRPr="0032424A" w:rsidRDefault="005B5F6D">
      <w:pPr>
        <w:pStyle w:val="Prrafodelista"/>
        <w:spacing w:line="360" w:lineRule="auto"/>
        <w:ind w:left="2912" w:right="333"/>
        <w:jc w:val="both"/>
        <w:rPr>
          <w:rFonts w:ascii="Palatino Linotype" w:hAnsi="Palatino Linotype"/>
        </w:rPr>
      </w:pPr>
    </w:p>
    <w:p w:rsidR="005B5F6D" w:rsidRPr="0032424A" w:rsidRDefault="00DF0D09">
      <w:pPr>
        <w:pStyle w:val="Prrafodelista"/>
        <w:ind w:left="1134" w:right="899"/>
        <w:jc w:val="both"/>
        <w:rPr>
          <w:rFonts w:ascii="Palatino Linotype" w:hAnsi="Palatino Linotype" w:cs="Arial"/>
          <w:i/>
          <w:iCs/>
        </w:rPr>
      </w:pPr>
      <w:r w:rsidRPr="0032424A">
        <w:rPr>
          <w:rFonts w:ascii="Palatino Linotype" w:hAnsi="Palatino Linotype" w:cs="Arial"/>
          <w:b/>
          <w:bCs/>
          <w:i/>
          <w:iCs/>
        </w:rPr>
        <w:t>Entrega de datos personales a través de medios electrónicos</w:t>
      </w:r>
      <w:r w:rsidRPr="0032424A">
        <w:rPr>
          <w:rFonts w:ascii="Palatino Linotype" w:hAnsi="Palatino Linotype" w:cs="Arial"/>
          <w:i/>
          <w:iCs/>
        </w:rPr>
        <w:t xml:space="preserve">. La entrega de datos personales a través del portal de la Plataforma Nacional de Transparencia, correo electrónico o cualquier otro medio similar </w:t>
      </w:r>
      <w:r w:rsidRPr="0032424A">
        <w:rPr>
          <w:rFonts w:ascii="Palatino Linotype" w:hAnsi="Palatino Linotype"/>
          <w:i/>
        </w:rPr>
        <w:t>resulta</w:t>
      </w:r>
      <w:r w:rsidRPr="0032424A">
        <w:rPr>
          <w:rFonts w:ascii="Palatino Linotype" w:hAnsi="Palatino Linotype" w:cs="Arial"/>
          <w:i/>
          <w:iCs/>
        </w:rPr>
        <w:t xml:space="preserve"> improcedente, sin que los sujetos obligados hayan corroborado previamente la identidad del titular.</w:t>
      </w:r>
    </w:p>
    <w:p w:rsidR="005B5F6D" w:rsidRPr="0032424A" w:rsidRDefault="005B5F6D">
      <w:pPr>
        <w:pStyle w:val="Prrafodelista"/>
        <w:spacing w:line="360" w:lineRule="auto"/>
        <w:ind w:left="2912"/>
        <w:jc w:val="both"/>
        <w:rPr>
          <w:rFonts w:ascii="Palatino Linotype" w:eastAsia="Calibri" w:hAnsi="Palatino Linotype" w:cs="Tahoma"/>
          <w:color w:val="000000"/>
        </w:rPr>
      </w:pPr>
    </w:p>
    <w:p w:rsidR="005B5F6D" w:rsidRPr="0032424A" w:rsidRDefault="00DF0D09">
      <w:pPr>
        <w:numPr>
          <w:ilvl w:val="0"/>
          <w:numId w:val="1"/>
        </w:numPr>
        <w:spacing w:line="360" w:lineRule="auto"/>
        <w:ind w:left="0" w:firstLine="0"/>
        <w:jc w:val="both"/>
        <w:rPr>
          <w:rFonts w:ascii="Palatino Linotype" w:eastAsia="Palatino Linotype" w:hAnsi="Palatino Linotype" w:cs="Palatino Linotype"/>
        </w:rPr>
      </w:pPr>
      <w:r w:rsidRPr="0032424A">
        <w:rPr>
          <w:rFonts w:ascii="Palatino Linotype" w:hAnsi="Palatino Linotype"/>
        </w:rPr>
        <w:t>En atención a las consideraciones señaladas, este Órgano Garante determina ordenar la entrega de la documentación solicitada por el particular, previa acreditación de la personalidad.</w:t>
      </w:r>
    </w:p>
    <w:p w:rsidR="005B5F6D" w:rsidRPr="0032424A" w:rsidRDefault="005B5F6D" w:rsidP="007C162B">
      <w:pPr>
        <w:spacing w:line="360" w:lineRule="auto"/>
        <w:jc w:val="both"/>
        <w:rPr>
          <w:rFonts w:ascii="Palatino Linotype" w:eastAsia="Palatino Linotype" w:hAnsi="Palatino Linotype" w:cs="Palatino Linotype"/>
        </w:rPr>
      </w:pPr>
    </w:p>
    <w:p w:rsidR="005B5F6D" w:rsidRPr="0032424A" w:rsidRDefault="00DF0D09">
      <w:pPr>
        <w:numPr>
          <w:ilvl w:val="0"/>
          <w:numId w:val="1"/>
        </w:numPr>
        <w:spacing w:line="360" w:lineRule="auto"/>
        <w:ind w:left="0" w:firstLine="0"/>
        <w:jc w:val="both"/>
        <w:rPr>
          <w:rFonts w:ascii="Palatino Linotype" w:hAnsi="Palatino Linotype"/>
        </w:rPr>
      </w:pPr>
      <w:r w:rsidRPr="0032424A">
        <w:rPr>
          <w:rFonts w:ascii="Palatino Linotype" w:hAnsi="Palatino Linotype"/>
        </w:rPr>
        <w:t xml:space="preserve">Con base en todo lo expuesto, </w:t>
      </w:r>
      <w:r w:rsidR="000117F0" w:rsidRPr="0032424A">
        <w:rPr>
          <w:rFonts w:ascii="Palatino Linotype" w:hAnsi="Palatino Linotype"/>
        </w:rPr>
        <w:t>se</w:t>
      </w:r>
      <w:r w:rsidRPr="0032424A">
        <w:rPr>
          <w:rFonts w:ascii="Palatino Linotype" w:hAnsi="Palatino Linotype"/>
        </w:rPr>
        <w:t xml:space="preserve"> considera</w:t>
      </w:r>
      <w:r w:rsidR="000117F0" w:rsidRPr="0032424A">
        <w:rPr>
          <w:rFonts w:ascii="Palatino Linotype" w:hAnsi="Palatino Linotype"/>
        </w:rPr>
        <w:t>n</w:t>
      </w:r>
      <w:r w:rsidRPr="0032424A">
        <w:rPr>
          <w:rFonts w:ascii="Palatino Linotype" w:hAnsi="Palatino Linotype"/>
        </w:rPr>
        <w:t xml:space="preserve"> fundadas las razones o motivos de inconformidad expuestos por la parte Recurrente y con fundamento en artículo 137, primera hipótesis de la fracción III, de la Ley de Protección de Datos Personales en Posesión de Sujetos Obligados del Estado de México y Municipios, este Instituto considera procedente </w:t>
      </w:r>
      <w:r w:rsidRPr="0032424A">
        <w:rPr>
          <w:rFonts w:ascii="Palatino Linotype" w:hAnsi="Palatino Linotype"/>
          <w:b/>
        </w:rPr>
        <w:t>REVOCAR</w:t>
      </w:r>
      <w:r w:rsidRPr="0032424A">
        <w:rPr>
          <w:rFonts w:ascii="Palatino Linotype" w:hAnsi="Palatino Linotype"/>
        </w:rPr>
        <w:t xml:space="preserve"> la respuesta otorgada por el Sujeto Obligado y ordenar la entrega del soporte documental solicitado.</w:t>
      </w:r>
    </w:p>
    <w:p w:rsidR="005B5F6D" w:rsidRPr="0032424A" w:rsidRDefault="005B5F6D">
      <w:pPr>
        <w:spacing w:line="360" w:lineRule="auto"/>
        <w:jc w:val="both"/>
        <w:rPr>
          <w:rFonts w:ascii="Palatino Linotype" w:eastAsia="Palatino Linotype" w:hAnsi="Palatino Linotype" w:cs="Palatino Linotype"/>
          <w:color w:val="000000"/>
        </w:rPr>
      </w:pPr>
    </w:p>
    <w:p w:rsidR="005B5F6D" w:rsidRPr="0032424A" w:rsidRDefault="00DF0D09">
      <w:pPr>
        <w:numPr>
          <w:ilvl w:val="0"/>
          <w:numId w:val="1"/>
        </w:numPr>
        <w:spacing w:line="360" w:lineRule="auto"/>
        <w:ind w:left="0" w:firstLine="0"/>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color w:val="000000"/>
        </w:rPr>
        <w:lastRenderedPageBreak/>
        <w:t>Por lo expuesto y fundado, este Pleno:</w:t>
      </w:r>
    </w:p>
    <w:p w:rsidR="005B5F6D" w:rsidRPr="0032424A" w:rsidRDefault="005B5F6D">
      <w:pPr>
        <w:spacing w:line="360" w:lineRule="auto"/>
        <w:contextualSpacing/>
        <w:jc w:val="both"/>
        <w:rPr>
          <w:rFonts w:ascii="Palatino Linotype" w:eastAsia="Calibri" w:hAnsi="Palatino Linotype" w:cs="Tahoma"/>
          <w:bCs/>
          <w:lang w:eastAsia="en-US"/>
        </w:rPr>
      </w:pPr>
    </w:p>
    <w:p w:rsidR="005B5F6D" w:rsidRPr="0032424A" w:rsidRDefault="00DF0D09">
      <w:pPr>
        <w:spacing w:line="360" w:lineRule="auto"/>
        <w:contextualSpacing/>
        <w:jc w:val="center"/>
        <w:rPr>
          <w:rFonts w:ascii="Palatino Linotype" w:hAnsi="Palatino Linotype" w:cs="Tahoma"/>
          <w:b/>
          <w:bCs/>
        </w:rPr>
      </w:pPr>
      <w:r w:rsidRPr="0032424A">
        <w:rPr>
          <w:rFonts w:ascii="Palatino Linotype" w:hAnsi="Palatino Linotype" w:cs="Tahoma"/>
          <w:b/>
          <w:bCs/>
        </w:rPr>
        <w:t>R E S U E L V E</w:t>
      </w:r>
    </w:p>
    <w:p w:rsidR="005B5F6D" w:rsidRPr="0032424A" w:rsidRDefault="005B5F6D">
      <w:pPr>
        <w:spacing w:line="360" w:lineRule="auto"/>
        <w:contextualSpacing/>
        <w:jc w:val="center"/>
        <w:rPr>
          <w:rFonts w:ascii="Palatino Linotype" w:hAnsi="Palatino Linotype" w:cs="Tahoma"/>
          <w:b/>
          <w:bCs/>
        </w:rPr>
      </w:pPr>
    </w:p>
    <w:p w:rsidR="005B5F6D" w:rsidRPr="0032424A" w:rsidRDefault="00DF0D09">
      <w:pPr>
        <w:spacing w:line="360" w:lineRule="auto"/>
        <w:ind w:right="276"/>
        <w:jc w:val="both"/>
        <w:rPr>
          <w:rFonts w:ascii="Palatino Linotype" w:eastAsia="Palatino Linotype" w:hAnsi="Palatino Linotype" w:cs="Palatino Linotype"/>
          <w:b/>
        </w:rPr>
      </w:pPr>
      <w:r w:rsidRPr="0032424A">
        <w:rPr>
          <w:rFonts w:ascii="Palatino Linotype" w:eastAsia="Palatino Linotype" w:hAnsi="Palatino Linotype" w:cs="Palatino Linotype"/>
          <w:b/>
        </w:rPr>
        <w:t>PRIMERO</w:t>
      </w:r>
      <w:r w:rsidRPr="0032424A">
        <w:rPr>
          <w:rFonts w:ascii="Palatino Linotype" w:eastAsia="Palatino Linotype" w:hAnsi="Palatino Linotype" w:cs="Palatino Linotype"/>
        </w:rPr>
        <w:t>. Resultan fundadas las</w:t>
      </w:r>
      <w:r w:rsidRPr="0032424A">
        <w:rPr>
          <w:rFonts w:ascii="Palatino Linotype" w:eastAsia="Palatino Linotype" w:hAnsi="Palatino Linotype" w:cs="Palatino Linotype"/>
          <w:b/>
        </w:rPr>
        <w:t xml:space="preserve"> </w:t>
      </w:r>
      <w:r w:rsidRPr="0032424A">
        <w:rPr>
          <w:rFonts w:ascii="Palatino Linotype" w:eastAsia="Palatino Linotype" w:hAnsi="Palatino Linotype" w:cs="Palatino Linotype"/>
        </w:rPr>
        <w:t xml:space="preserve">razones o motivos de inconformidad hechos valer en el Recurso de Revisión </w:t>
      </w:r>
      <w:r w:rsidR="0007781D" w:rsidRPr="0032424A">
        <w:rPr>
          <w:rFonts w:ascii="Palatino Linotype" w:eastAsia="Palatino Linotype" w:hAnsi="Palatino Linotype" w:cs="Palatino Linotype"/>
          <w:b/>
          <w:color w:val="000000"/>
        </w:rPr>
        <w:t>10528</w:t>
      </w:r>
      <w:r w:rsidR="000117F0" w:rsidRPr="0032424A">
        <w:rPr>
          <w:rFonts w:ascii="Palatino Linotype" w:eastAsia="Palatino Linotype" w:hAnsi="Palatino Linotype" w:cs="Palatino Linotype"/>
          <w:b/>
          <w:color w:val="000000"/>
        </w:rPr>
        <w:t>/INFOEM/AD/RR/2025</w:t>
      </w:r>
      <w:r w:rsidRPr="0032424A">
        <w:rPr>
          <w:rFonts w:ascii="Palatino Linotype" w:eastAsia="Palatino Linotype" w:hAnsi="Palatino Linotype" w:cs="Palatino Linotype"/>
          <w:b/>
        </w:rPr>
        <w:t xml:space="preserve">, </w:t>
      </w:r>
      <w:r w:rsidRPr="0032424A">
        <w:rPr>
          <w:rFonts w:ascii="Palatino Linotype" w:eastAsia="Palatino Linotype" w:hAnsi="Palatino Linotype" w:cs="Palatino Linotype"/>
        </w:rPr>
        <w:t xml:space="preserve">en términos del </w:t>
      </w:r>
      <w:r w:rsidRPr="0032424A">
        <w:rPr>
          <w:rFonts w:ascii="Palatino Linotype" w:eastAsia="Palatino Linotype" w:hAnsi="Palatino Linotype" w:cs="Palatino Linotype"/>
          <w:b/>
        </w:rPr>
        <w:t>Considerando</w:t>
      </w:r>
      <w:r w:rsidRPr="0032424A">
        <w:rPr>
          <w:rFonts w:ascii="Palatino Linotype" w:eastAsia="Palatino Linotype" w:hAnsi="Palatino Linotype" w:cs="Palatino Linotype"/>
        </w:rPr>
        <w:t xml:space="preserve"> </w:t>
      </w:r>
      <w:r w:rsidRPr="0032424A">
        <w:rPr>
          <w:rFonts w:ascii="Palatino Linotype" w:eastAsia="Palatino Linotype" w:hAnsi="Palatino Linotype" w:cs="Palatino Linotype"/>
          <w:b/>
        </w:rPr>
        <w:t xml:space="preserve">TERCERO </w:t>
      </w:r>
      <w:r w:rsidRPr="0032424A">
        <w:rPr>
          <w:rFonts w:ascii="Palatino Linotype" w:eastAsia="Palatino Linotype" w:hAnsi="Palatino Linotype" w:cs="Palatino Linotype"/>
        </w:rPr>
        <w:t>de la presente Resolución</w:t>
      </w:r>
      <w:r w:rsidRPr="0032424A">
        <w:rPr>
          <w:rFonts w:ascii="Palatino Linotype" w:eastAsia="Palatino Linotype" w:hAnsi="Palatino Linotype" w:cs="Palatino Linotype"/>
          <w:b/>
        </w:rPr>
        <w:t>.</w:t>
      </w:r>
    </w:p>
    <w:p w:rsidR="005B5F6D" w:rsidRPr="0032424A" w:rsidRDefault="005B5F6D">
      <w:pPr>
        <w:spacing w:line="360" w:lineRule="auto"/>
        <w:ind w:right="276"/>
        <w:jc w:val="both"/>
        <w:rPr>
          <w:rFonts w:ascii="Palatino Linotype" w:eastAsia="Palatino Linotype" w:hAnsi="Palatino Linotype" w:cs="Palatino Linotype"/>
          <w:b/>
        </w:rPr>
      </w:pPr>
    </w:p>
    <w:p w:rsidR="005B5F6D" w:rsidRPr="0032424A" w:rsidRDefault="00DF0D09">
      <w:pPr>
        <w:spacing w:line="360" w:lineRule="auto"/>
        <w:ind w:right="276"/>
        <w:jc w:val="both"/>
        <w:rPr>
          <w:rFonts w:ascii="Palatino Linotype" w:eastAsia="Palatino Linotype" w:hAnsi="Palatino Linotype" w:cs="Palatino Linotype"/>
          <w:color w:val="000000"/>
        </w:rPr>
      </w:pPr>
      <w:r w:rsidRPr="0032424A">
        <w:rPr>
          <w:rFonts w:ascii="Palatino Linotype" w:eastAsia="Palatino Linotype" w:hAnsi="Palatino Linotype" w:cs="Palatino Linotype"/>
          <w:b/>
        </w:rPr>
        <w:t xml:space="preserve">SEGUNDO. </w:t>
      </w:r>
      <w:r w:rsidRPr="0032424A">
        <w:rPr>
          <w:rFonts w:ascii="Palatino Linotype" w:eastAsia="Palatino Linotype" w:hAnsi="Palatino Linotype" w:cs="Palatino Linotype"/>
          <w:color w:val="000000"/>
        </w:rPr>
        <w:t xml:space="preserve">Se </w:t>
      </w:r>
      <w:r w:rsidRPr="0032424A">
        <w:rPr>
          <w:rFonts w:ascii="Palatino Linotype" w:eastAsia="Palatino Linotype" w:hAnsi="Palatino Linotype" w:cs="Palatino Linotype"/>
          <w:b/>
          <w:color w:val="000000"/>
        </w:rPr>
        <w:t xml:space="preserve">REVOCA </w:t>
      </w:r>
      <w:r w:rsidRPr="0032424A">
        <w:rPr>
          <w:rFonts w:ascii="Palatino Linotype" w:eastAsia="Palatino Linotype" w:hAnsi="Palatino Linotype" w:cs="Palatino Linotype"/>
          <w:color w:val="000000"/>
        </w:rPr>
        <w:t>la respuesta emitida por</w:t>
      </w:r>
      <w:r w:rsidR="00D6122E">
        <w:rPr>
          <w:rFonts w:ascii="Palatino Linotype" w:eastAsia="Palatino Linotype" w:hAnsi="Palatino Linotype" w:cs="Palatino Linotype"/>
          <w:color w:val="000000"/>
        </w:rPr>
        <w:t xml:space="preserve"> el</w:t>
      </w:r>
      <w:r w:rsidRPr="0032424A">
        <w:rPr>
          <w:rFonts w:ascii="Palatino Linotype" w:eastAsia="Palatino Linotype" w:hAnsi="Palatino Linotype" w:cs="Palatino Linotype"/>
          <w:color w:val="000000"/>
        </w:rPr>
        <w:t xml:space="preserve"> </w:t>
      </w:r>
      <w:r w:rsidRPr="0032424A">
        <w:rPr>
          <w:rFonts w:ascii="Palatino Linotype" w:eastAsia="Palatino Linotype" w:hAnsi="Palatino Linotype" w:cs="Palatino Linotype"/>
          <w:b/>
          <w:bCs/>
          <w:color w:val="000000"/>
        </w:rPr>
        <w:t>Sujeto Obligado</w:t>
      </w:r>
      <w:r w:rsidRPr="0032424A">
        <w:rPr>
          <w:rFonts w:ascii="Palatino Linotype" w:eastAsia="Palatino Linotype" w:hAnsi="Palatino Linotype" w:cs="Palatino Linotype"/>
          <w:color w:val="000000"/>
        </w:rPr>
        <w:t xml:space="preserve"> y se </w:t>
      </w:r>
      <w:r w:rsidRPr="0032424A">
        <w:rPr>
          <w:rFonts w:ascii="Palatino Linotype" w:eastAsia="Palatino Linotype" w:hAnsi="Palatino Linotype" w:cs="Palatino Linotype"/>
          <w:b/>
          <w:color w:val="000000"/>
        </w:rPr>
        <w:t>ORDENA</w:t>
      </w:r>
      <w:r w:rsidRPr="0032424A">
        <w:rPr>
          <w:rFonts w:ascii="Palatino Linotype" w:eastAsia="Palatino Linotype" w:hAnsi="Palatino Linotype" w:cs="Palatino Linotype"/>
          <w:color w:val="000000"/>
        </w:rPr>
        <w:t xml:space="preserve"> entregar</w:t>
      </w:r>
      <w:r w:rsidR="0099233D" w:rsidRPr="0032424A">
        <w:rPr>
          <w:rFonts w:ascii="Palatino Linotype" w:eastAsia="Palatino Linotype" w:hAnsi="Palatino Linotype" w:cs="Palatino Linotype"/>
          <w:color w:val="000000"/>
        </w:rPr>
        <w:t xml:space="preserve">, </w:t>
      </w:r>
      <w:r w:rsidRPr="0032424A">
        <w:rPr>
          <w:rFonts w:ascii="Palatino Linotype" w:eastAsia="Palatino Linotype" w:hAnsi="Palatino Linotype" w:cs="Palatino Linotype"/>
          <w:b/>
        </w:rPr>
        <w:t>previa acreditación de identidad</w:t>
      </w:r>
      <w:r w:rsidRPr="0032424A">
        <w:rPr>
          <w:rFonts w:ascii="Palatino Linotype" w:eastAsia="Palatino Linotype" w:hAnsi="Palatino Linotype" w:cs="Palatino Linotype"/>
        </w:rPr>
        <w:t xml:space="preserve"> </w:t>
      </w:r>
      <w:r w:rsidRPr="00663A9D">
        <w:rPr>
          <w:rFonts w:ascii="Palatino Linotype" w:eastAsia="Palatino Linotype" w:hAnsi="Palatino Linotype" w:cs="Palatino Linotype"/>
          <w:b/>
        </w:rPr>
        <w:t>y personalidad</w:t>
      </w:r>
      <w:r w:rsidRPr="0032424A">
        <w:rPr>
          <w:rFonts w:ascii="Palatino Linotype" w:eastAsia="Palatino Linotype" w:hAnsi="Palatino Linotype" w:cs="Palatino Linotype"/>
        </w:rPr>
        <w:t>,</w:t>
      </w:r>
      <w:r w:rsidRPr="0032424A">
        <w:rPr>
          <w:rFonts w:ascii="Palatino Linotype" w:eastAsia="Palatino Linotype" w:hAnsi="Palatino Linotype" w:cs="Palatino Linotype"/>
          <w:color w:val="000000"/>
        </w:rPr>
        <w:t xml:space="preserve"> </w:t>
      </w:r>
      <w:r w:rsidR="00714E20" w:rsidRPr="0032424A">
        <w:rPr>
          <w:rFonts w:ascii="Palatino Linotype" w:eastAsia="Palatino Linotype" w:hAnsi="Palatino Linotype" w:cs="Palatino Linotype"/>
          <w:color w:val="000000"/>
        </w:rPr>
        <w:t>lo siguiente</w:t>
      </w:r>
      <w:r w:rsidRPr="0032424A">
        <w:rPr>
          <w:rFonts w:ascii="Palatino Linotype" w:eastAsia="Palatino Linotype" w:hAnsi="Palatino Linotype" w:cs="Palatino Linotype"/>
          <w:color w:val="000000"/>
        </w:rPr>
        <w:t>:</w:t>
      </w:r>
    </w:p>
    <w:p w:rsidR="005B5F6D" w:rsidRPr="0032424A" w:rsidRDefault="005B5F6D">
      <w:pPr>
        <w:pStyle w:val="Prrafodelista"/>
        <w:tabs>
          <w:tab w:val="left" w:pos="8080"/>
        </w:tabs>
        <w:spacing w:line="360" w:lineRule="auto"/>
        <w:ind w:left="1134" w:right="49"/>
        <w:jc w:val="both"/>
        <w:rPr>
          <w:rFonts w:ascii="Palatino Linotype" w:eastAsia="Palatino Linotype" w:hAnsi="Palatino Linotype" w:cs="Palatino Linotype"/>
        </w:rPr>
      </w:pPr>
    </w:p>
    <w:p w:rsidR="000117F0" w:rsidRPr="0032424A" w:rsidRDefault="0007781D" w:rsidP="000117F0">
      <w:pPr>
        <w:numPr>
          <w:ilvl w:val="0"/>
          <w:numId w:val="14"/>
        </w:numPr>
        <w:spacing w:line="360" w:lineRule="auto"/>
        <w:ind w:left="993" w:right="49"/>
        <w:jc w:val="both"/>
        <w:rPr>
          <w:rFonts w:ascii="Palatino Linotype" w:eastAsia="Palatino Linotype" w:hAnsi="Palatino Linotype" w:cs="Palatino Linotype"/>
        </w:rPr>
      </w:pPr>
      <w:r w:rsidRPr="0032424A">
        <w:rPr>
          <w:rFonts w:ascii="Palatino Linotype" w:eastAsia="Palatino Linotype" w:hAnsi="Palatino Linotype" w:cs="Palatino Linotype"/>
          <w:b/>
        </w:rPr>
        <w:t xml:space="preserve">Expediente Clínico de la persona referida en la solicitud </w:t>
      </w:r>
      <w:r w:rsidR="000C4350" w:rsidRPr="0032424A">
        <w:rPr>
          <w:rFonts w:ascii="Palatino Linotype" w:eastAsia="Palatino Linotype" w:hAnsi="Palatino Linotype" w:cs="Palatino Linotype"/>
          <w:b/>
        </w:rPr>
        <w:t>00910/ISSEMYM/AD/2025, generado en la Clínica de Consulta Externa “Lázaro Cárdenas”</w:t>
      </w:r>
    </w:p>
    <w:p w:rsidR="005B5F6D" w:rsidRPr="0032424A" w:rsidRDefault="005B5F6D">
      <w:pPr>
        <w:tabs>
          <w:tab w:val="left" w:pos="8080"/>
        </w:tabs>
        <w:spacing w:line="360" w:lineRule="auto"/>
        <w:ind w:right="49"/>
        <w:jc w:val="both"/>
        <w:rPr>
          <w:rFonts w:ascii="Palatino Linotype" w:eastAsia="Palatino Linotype" w:hAnsi="Palatino Linotype" w:cs="Palatino Linotype"/>
        </w:rPr>
      </w:pPr>
    </w:p>
    <w:p w:rsidR="005B5F6D" w:rsidRPr="0032424A" w:rsidRDefault="00DF0D09">
      <w:pPr>
        <w:tabs>
          <w:tab w:val="left" w:pos="8080"/>
        </w:tabs>
        <w:spacing w:line="360" w:lineRule="auto"/>
        <w:ind w:right="49"/>
        <w:jc w:val="both"/>
        <w:rPr>
          <w:rFonts w:ascii="Palatino Linotype" w:hAnsi="Palatino Linotype"/>
        </w:rPr>
      </w:pPr>
      <w:r w:rsidRPr="0032424A">
        <w:rPr>
          <w:rFonts w:ascii="Palatino Linotype" w:hAnsi="Palatino Linotype"/>
        </w:rPr>
        <w:t xml:space="preserve">Para la acreditación de la identidad y entrega de la documentación, la Unidad de Transparencia deberá indicar a la Recurrente, a través del </w:t>
      </w:r>
      <w:r w:rsidRPr="0032424A">
        <w:rPr>
          <w:rFonts w:ascii="Palatino Linotype" w:hAnsi="Palatino Linotype"/>
          <w:b/>
        </w:rPr>
        <w:t>SARCOEM</w:t>
      </w:r>
      <w:r w:rsidR="000117F0" w:rsidRPr="0032424A">
        <w:rPr>
          <w:rFonts w:ascii="Palatino Linotype" w:hAnsi="Palatino Linotype"/>
          <w:b/>
        </w:rPr>
        <w:t>,</w:t>
      </w:r>
      <w:r w:rsidRPr="0032424A">
        <w:rPr>
          <w:rFonts w:ascii="Palatino Linotype" w:hAnsi="Palatino Linotype"/>
          <w:b/>
        </w:rPr>
        <w:t xml:space="preserve"> </w:t>
      </w:r>
      <w:r w:rsidRPr="0032424A">
        <w:rPr>
          <w:rFonts w:ascii="Palatino Linotype" w:hAnsi="Palatino Linotype"/>
        </w:rPr>
        <w:t>el domicilio, los días y horarios de atención, así com</w:t>
      </w:r>
      <w:r w:rsidRPr="0032424A">
        <w:rPr>
          <w:rFonts w:ascii="Palatino Linotype" w:hAnsi="Palatino Linotype"/>
          <w:b/>
        </w:rPr>
        <w:t>o el nombre del s</w:t>
      </w:r>
      <w:r w:rsidR="00C077E1" w:rsidRPr="0032424A">
        <w:rPr>
          <w:rFonts w:ascii="Palatino Linotype" w:hAnsi="Palatino Linotype"/>
          <w:b/>
        </w:rPr>
        <w:t xml:space="preserve">ervidor público </w:t>
      </w:r>
      <w:r w:rsidR="00C077E1" w:rsidRPr="0032424A">
        <w:rPr>
          <w:rFonts w:ascii="Palatino Linotype" w:hAnsi="Palatino Linotype"/>
        </w:rPr>
        <w:t xml:space="preserve">que le atenderá, </w:t>
      </w:r>
      <w:r w:rsidR="00C077E1" w:rsidRPr="0032424A">
        <w:rPr>
          <w:rFonts w:ascii="Palatino Linotype" w:eastAsia="Calibri" w:hAnsi="Palatino Linotype" w:cs="Arial"/>
        </w:rPr>
        <w:t>así como el periodo durante el cual quedará a su disposición la documentación conforme a lo dispuesto por el artículo 118 de la Ley de Protección de Datos Personales en Posesión de Sujetos Obligados del Estado de México y Municipios.</w:t>
      </w:r>
    </w:p>
    <w:p w:rsidR="005B5F6D" w:rsidRPr="0032424A" w:rsidRDefault="005B5F6D">
      <w:pPr>
        <w:shd w:val="clear" w:color="auto" w:fill="FFFFFF"/>
        <w:spacing w:line="360" w:lineRule="auto"/>
        <w:ind w:right="49"/>
        <w:jc w:val="both"/>
        <w:rPr>
          <w:rFonts w:ascii="Palatino Linotype" w:hAnsi="Palatino Linotype"/>
          <w:b/>
        </w:rPr>
      </w:pPr>
    </w:p>
    <w:p w:rsidR="005B5F6D" w:rsidRPr="0032424A" w:rsidRDefault="00DF0D09">
      <w:pPr>
        <w:shd w:val="clear" w:color="auto" w:fill="FFFFFF"/>
        <w:spacing w:line="360" w:lineRule="auto"/>
        <w:ind w:right="49"/>
        <w:jc w:val="both"/>
        <w:rPr>
          <w:rFonts w:ascii="Palatino Linotype" w:hAnsi="Palatino Linotype"/>
        </w:rPr>
      </w:pPr>
      <w:r w:rsidRPr="0032424A">
        <w:rPr>
          <w:rFonts w:ascii="Palatino Linotype" w:hAnsi="Palatino Linotype"/>
          <w:b/>
        </w:rPr>
        <w:t>TERCERO</w:t>
      </w:r>
      <w:r w:rsidRPr="0032424A">
        <w:rPr>
          <w:rFonts w:ascii="Palatino Linotype" w:hAnsi="Palatino Linotype"/>
        </w:rPr>
        <w:t xml:space="preserve">. </w:t>
      </w:r>
      <w:r w:rsidRPr="0032424A">
        <w:rPr>
          <w:rFonts w:ascii="Palatino Linotype" w:hAnsi="Palatino Linotype"/>
          <w:b/>
        </w:rPr>
        <w:t>NOTIFÍQUESE</w:t>
      </w:r>
      <w:r w:rsidRPr="0032424A">
        <w:rPr>
          <w:rFonts w:ascii="Palatino Linotype" w:hAnsi="Palatino Linotype"/>
        </w:rPr>
        <w:t xml:space="preserve"> la presente resolución al Titular de la Unidad de Transparencia del </w:t>
      </w:r>
      <w:r w:rsidRPr="0032424A">
        <w:rPr>
          <w:rFonts w:ascii="Palatino Linotype" w:hAnsi="Palatino Linotype"/>
          <w:b/>
        </w:rPr>
        <w:t>Sujeto Obligado</w:t>
      </w:r>
      <w:r w:rsidRPr="0032424A">
        <w:rPr>
          <w:rFonts w:ascii="Palatino Linotype" w:hAnsi="Palatino Linotype"/>
        </w:rPr>
        <w:t xml:space="preserve"> vía Sistema de Acceso, Rectificación, Cancelación y Oposición de Datos Personales del Estado de México (</w:t>
      </w:r>
      <w:r w:rsidRPr="0032424A">
        <w:rPr>
          <w:rFonts w:ascii="Palatino Linotype" w:hAnsi="Palatino Linotype"/>
          <w:b/>
        </w:rPr>
        <w:t>SARCOEM</w:t>
      </w:r>
      <w:r w:rsidRPr="0032424A">
        <w:rPr>
          <w:rFonts w:ascii="Palatino Linotype" w:hAnsi="Palatino Linotype"/>
        </w:rPr>
        <w:t xml:space="preserve">), para que en los términos previstos en el </w:t>
      </w:r>
      <w:r w:rsidRPr="0032424A">
        <w:rPr>
          <w:rFonts w:ascii="Palatino Linotype" w:hAnsi="Palatino Linotype"/>
        </w:rPr>
        <w:lastRenderedPageBreak/>
        <w:t>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w:t>
      </w:r>
      <w:r w:rsidRPr="00D6122E">
        <w:rPr>
          <w:rFonts w:ascii="Palatino Linotype" w:hAnsi="Palatino Linotype"/>
          <w:b/>
        </w:rPr>
        <w:t>, dé cumplimiento a lo ordenado dentro del plazo de diez días hábiles</w:t>
      </w:r>
      <w:r w:rsidRPr="0032424A">
        <w:rPr>
          <w:rFonts w:ascii="Palatino Linotype" w:hAnsi="Palatino Linotype"/>
        </w:rPr>
        <w:t>,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rsidR="005B5F6D" w:rsidRPr="0032424A" w:rsidRDefault="005B5F6D">
      <w:pPr>
        <w:shd w:val="clear" w:color="auto" w:fill="FFFFFF"/>
        <w:spacing w:line="360" w:lineRule="auto"/>
        <w:ind w:right="49"/>
        <w:jc w:val="both"/>
        <w:rPr>
          <w:rFonts w:ascii="Palatino Linotype" w:hAnsi="Palatino Linotype"/>
        </w:rPr>
      </w:pPr>
    </w:p>
    <w:p w:rsidR="005B5F6D" w:rsidRPr="0032424A" w:rsidRDefault="00D6122E">
      <w:pPr>
        <w:shd w:val="clear" w:color="auto" w:fill="FFFFFF"/>
        <w:spacing w:line="360" w:lineRule="auto"/>
        <w:ind w:right="49"/>
        <w:jc w:val="both"/>
        <w:rPr>
          <w:rFonts w:ascii="Palatino Linotype" w:hAnsi="Palatino Linotype"/>
        </w:rPr>
      </w:pPr>
      <w:r w:rsidRPr="00D6122E">
        <w:rPr>
          <w:rFonts w:ascii="Palatino Linotype" w:hAnsi="Palatino Linotype"/>
          <w:b/>
        </w:rPr>
        <w:t>CUARTO.</w:t>
      </w:r>
      <w:r>
        <w:rPr>
          <w:rFonts w:ascii="Palatino Linotype" w:hAnsi="Palatino Linotype"/>
        </w:rPr>
        <w:t xml:space="preserve"> </w:t>
      </w:r>
      <w:r w:rsidR="00DF0D09" w:rsidRPr="0032424A">
        <w:rPr>
          <w:rFonts w:ascii="Palatino Linotype" w:hAnsi="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B5F6D" w:rsidRPr="0032424A" w:rsidRDefault="005B5F6D">
      <w:pPr>
        <w:shd w:val="clear" w:color="auto" w:fill="FFFFFF"/>
        <w:spacing w:line="360" w:lineRule="auto"/>
        <w:ind w:right="49"/>
        <w:jc w:val="both"/>
        <w:rPr>
          <w:rFonts w:ascii="Palatino Linotype" w:hAnsi="Palatino Linotype"/>
          <w:b/>
        </w:rPr>
      </w:pPr>
    </w:p>
    <w:p w:rsidR="005B5F6D" w:rsidRPr="0032424A" w:rsidRDefault="00D6122E">
      <w:pPr>
        <w:shd w:val="clear" w:color="auto" w:fill="FFFFFF"/>
        <w:spacing w:line="360" w:lineRule="auto"/>
        <w:ind w:right="49"/>
        <w:jc w:val="both"/>
        <w:rPr>
          <w:rFonts w:ascii="Palatino Linotype" w:eastAsia="Palatino Linotype" w:hAnsi="Palatino Linotype" w:cs="Palatino Linotype"/>
          <w:color w:val="000000"/>
        </w:rPr>
      </w:pPr>
      <w:r>
        <w:rPr>
          <w:rFonts w:ascii="Palatino Linotype" w:hAnsi="Palatino Linotype"/>
          <w:b/>
        </w:rPr>
        <w:t>QUINTO</w:t>
      </w:r>
      <w:r w:rsidR="00DF0D09" w:rsidRPr="0032424A">
        <w:rPr>
          <w:rFonts w:ascii="Palatino Linotype" w:hAnsi="Palatino Linotype"/>
          <w:b/>
        </w:rPr>
        <w:t>. NOTIFÍQUESE</w:t>
      </w:r>
      <w:r w:rsidR="00DF0D09" w:rsidRPr="0032424A">
        <w:rPr>
          <w:rFonts w:ascii="Palatino Linotype" w:hAnsi="Palatino Linotype"/>
        </w:rPr>
        <w:t xml:space="preserve"> a la parte </w:t>
      </w:r>
      <w:r w:rsidR="00DF0D09" w:rsidRPr="0032424A">
        <w:rPr>
          <w:rFonts w:ascii="Palatino Linotype" w:hAnsi="Palatino Linotype"/>
          <w:b/>
        </w:rPr>
        <w:t>Recurrente</w:t>
      </w:r>
      <w:r w:rsidR="00DF0D09" w:rsidRPr="0032424A">
        <w:rPr>
          <w:rFonts w:ascii="Palatino Linotype" w:hAnsi="Palatino Linotype"/>
        </w:rPr>
        <w:t xml:space="preserve"> a través del Sistema de Acceso, Rectificación, Cancelación y Oposición de Datos Personales del Estado de México (</w:t>
      </w:r>
      <w:r w:rsidR="00DF0D09" w:rsidRPr="0032424A">
        <w:rPr>
          <w:rFonts w:ascii="Palatino Linotype" w:hAnsi="Palatino Linotype"/>
          <w:b/>
        </w:rPr>
        <w:t>SARCOEM</w:t>
      </w:r>
      <w:r w:rsidR="00DF0D09" w:rsidRPr="0032424A">
        <w:rPr>
          <w:rFonts w:ascii="Palatino Linotype" w:hAnsi="Palatino Linotype"/>
        </w:rPr>
        <w:t>) la presente resolución.</w:t>
      </w:r>
    </w:p>
    <w:p w:rsidR="005B5F6D" w:rsidRPr="0032424A" w:rsidRDefault="005B5F6D">
      <w:pPr>
        <w:spacing w:line="360" w:lineRule="auto"/>
        <w:ind w:right="333"/>
        <w:contextualSpacing/>
        <w:jc w:val="both"/>
        <w:rPr>
          <w:rFonts w:ascii="Palatino Linotype" w:hAnsi="Palatino Linotype" w:cs="Arial"/>
        </w:rPr>
      </w:pPr>
    </w:p>
    <w:p w:rsidR="005B5F6D" w:rsidRPr="0032424A" w:rsidRDefault="00D6122E">
      <w:pPr>
        <w:spacing w:line="360" w:lineRule="auto"/>
        <w:contextualSpacing/>
        <w:jc w:val="both"/>
        <w:rPr>
          <w:rFonts w:ascii="Palatino Linotype" w:hAnsi="Palatino Linotype" w:cs="Tahoma"/>
        </w:rPr>
      </w:pPr>
      <w:r>
        <w:rPr>
          <w:rFonts w:ascii="Palatino Linotype" w:hAnsi="Palatino Linotype" w:cs="Arial"/>
          <w:b/>
        </w:rPr>
        <w:t>SEXTO</w:t>
      </w:r>
      <w:r w:rsidR="00DF0D09" w:rsidRPr="0032424A">
        <w:rPr>
          <w:rFonts w:ascii="Palatino Linotype" w:hAnsi="Palatino Linotype" w:cs="Arial"/>
          <w:b/>
        </w:rPr>
        <w:t xml:space="preserve">. HÁGASE </w:t>
      </w:r>
      <w:r w:rsidR="00DF0D09" w:rsidRPr="0032424A">
        <w:rPr>
          <w:rFonts w:ascii="Palatino Linotype" w:hAnsi="Palatino Linotype" w:cs="Arial"/>
        </w:rPr>
        <w:t>del conocimiento a la parte</w:t>
      </w:r>
      <w:r w:rsidR="00DF0D09" w:rsidRPr="0032424A">
        <w:rPr>
          <w:rFonts w:ascii="Palatino Linotype" w:hAnsi="Palatino Linotype" w:cs="Arial"/>
          <w:b/>
        </w:rPr>
        <w:t xml:space="preserve"> Recurrente </w:t>
      </w:r>
      <w:r w:rsidR="00DF0D09" w:rsidRPr="0032424A">
        <w:rPr>
          <w:rFonts w:ascii="Palatino Linotype" w:hAnsi="Palatino Linotype" w:cs="Tahoma"/>
        </w:rPr>
        <w:t>que de conformidad con lo establecido en el artículo 142 de la Ley de Protección de Datos Personales en Posesión de Sujetos Obligados del Estado de México y Municipios podrá promover el Juicio de Amparo en los términos de las leyes aplicables.</w:t>
      </w:r>
    </w:p>
    <w:p w:rsidR="005B5F6D" w:rsidRPr="0032424A" w:rsidRDefault="005B5F6D">
      <w:pPr>
        <w:spacing w:line="360" w:lineRule="auto"/>
        <w:contextualSpacing/>
        <w:jc w:val="both"/>
        <w:rPr>
          <w:rFonts w:ascii="Palatino Linotype" w:hAnsi="Palatino Linotype" w:cs="Tahoma"/>
        </w:rPr>
      </w:pPr>
    </w:p>
    <w:p w:rsidR="00D6122E" w:rsidRPr="003E2295" w:rsidRDefault="00D6122E" w:rsidP="00D6122E">
      <w:pPr>
        <w:spacing w:before="240" w:after="240" w:line="360" w:lineRule="auto"/>
        <w:ind w:firstLine="1"/>
        <w:jc w:val="both"/>
        <w:rPr>
          <w:rFonts w:ascii="Palatino Linotype" w:hAnsi="Palatino Linotype"/>
        </w:rPr>
      </w:pPr>
      <w:bookmarkStart w:id="2" w:name="_Hlk99014733"/>
      <w:r w:rsidRPr="003E2295">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TERCERA </w:t>
      </w:r>
      <w:r w:rsidRPr="003E2295">
        <w:rPr>
          <w:rFonts w:ascii="Palatino Linotype" w:hAnsi="Palatino Linotype" w:cs="Palatino Linotype"/>
        </w:rPr>
        <w:t>SESIÓN O</w:t>
      </w:r>
      <w:r>
        <w:rPr>
          <w:rFonts w:ascii="Palatino Linotype" w:hAnsi="Palatino Linotype" w:cs="Palatino Linotype"/>
        </w:rPr>
        <w:t>RDINARIA, CELEBRADA EL QUINCE (15</w:t>
      </w:r>
      <w:r w:rsidRPr="003E2295">
        <w:rPr>
          <w:rFonts w:ascii="Palatino Linotype" w:hAnsi="Palatino Linotype" w:cs="Palatino Linotype"/>
        </w:rPr>
        <w:t xml:space="preserve">) DE </w:t>
      </w:r>
      <w:r>
        <w:rPr>
          <w:rFonts w:ascii="Palatino Linotype" w:hAnsi="Palatino Linotype" w:cs="Palatino Linotype"/>
        </w:rPr>
        <w:t>ABRIL</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2"/>
    <w:p w:rsidR="005B5F6D" w:rsidRDefault="005B5F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Default="0081026D">
      <w:pPr>
        <w:tabs>
          <w:tab w:val="left" w:pos="1842"/>
        </w:tabs>
        <w:rPr>
          <w:rFonts w:ascii="Palatino Linotype" w:eastAsia="Palatino Linotype" w:hAnsi="Palatino Linotype" w:cs="Palatino Linotype"/>
        </w:rPr>
      </w:pPr>
    </w:p>
    <w:p w:rsidR="0081026D" w:rsidRPr="0032424A" w:rsidRDefault="0081026D">
      <w:pPr>
        <w:tabs>
          <w:tab w:val="left" w:pos="1842"/>
        </w:tabs>
        <w:rPr>
          <w:rFonts w:ascii="Palatino Linotype" w:eastAsia="Palatino Linotype" w:hAnsi="Palatino Linotype" w:cs="Palatino Linotype"/>
        </w:rPr>
      </w:pPr>
    </w:p>
    <w:sectPr w:rsidR="0081026D" w:rsidRPr="0032424A" w:rsidSect="0081026D">
      <w:headerReference w:type="default" r:id="rId21"/>
      <w:footerReference w:type="default" r:id="rId22"/>
      <w:headerReference w:type="first" r:id="rId23"/>
      <w:footerReference w:type="first" r:id="rId24"/>
      <w:pgSz w:w="12240" w:h="15840"/>
      <w:pgMar w:top="1418" w:right="75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1B1" w:rsidRDefault="00D721B1">
      <w:r>
        <w:separator/>
      </w:r>
    </w:p>
  </w:endnote>
  <w:endnote w:type="continuationSeparator" w:id="0">
    <w:p w:rsidR="00D721B1" w:rsidRDefault="00D7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AD" w:rsidRPr="0081026D" w:rsidRDefault="008016AD">
    <w:pPr>
      <w:tabs>
        <w:tab w:val="center" w:pos="4252"/>
        <w:tab w:val="right" w:pos="8504"/>
      </w:tabs>
      <w:jc w:val="right"/>
      <w:rPr>
        <w:rFonts w:ascii="Palatino Linotype" w:eastAsia="Palatino Linotype" w:hAnsi="Palatino Linotype" w:cs="Palatino Linotype"/>
        <w:color w:val="000000"/>
        <w:sz w:val="22"/>
        <w:szCs w:val="20"/>
      </w:rPr>
    </w:pPr>
    <w:r w:rsidRPr="0081026D">
      <w:rPr>
        <w:rFonts w:ascii="Palatino Linotype" w:eastAsia="Palatino Linotype" w:hAnsi="Palatino Linotype" w:cs="Palatino Linotype"/>
        <w:b/>
        <w:color w:val="000000"/>
        <w:sz w:val="22"/>
        <w:szCs w:val="20"/>
      </w:rPr>
      <w:t xml:space="preserve">Página </w:t>
    </w:r>
    <w:r w:rsidRPr="0081026D">
      <w:rPr>
        <w:rFonts w:ascii="Palatino Linotype" w:eastAsia="Palatino Linotype" w:hAnsi="Palatino Linotype" w:cs="Palatino Linotype"/>
        <w:b/>
        <w:color w:val="000000"/>
        <w:sz w:val="22"/>
        <w:szCs w:val="20"/>
      </w:rPr>
      <w:fldChar w:fldCharType="begin"/>
    </w:r>
    <w:r w:rsidRPr="0081026D">
      <w:rPr>
        <w:rFonts w:ascii="Palatino Linotype" w:eastAsia="Palatino Linotype" w:hAnsi="Palatino Linotype" w:cs="Palatino Linotype"/>
        <w:b/>
        <w:color w:val="000000"/>
        <w:sz w:val="22"/>
        <w:szCs w:val="20"/>
      </w:rPr>
      <w:instrText>PAGE</w:instrText>
    </w:r>
    <w:r w:rsidRPr="0081026D">
      <w:rPr>
        <w:rFonts w:ascii="Palatino Linotype" w:eastAsia="Palatino Linotype" w:hAnsi="Palatino Linotype" w:cs="Palatino Linotype"/>
        <w:b/>
        <w:color w:val="000000"/>
        <w:sz w:val="22"/>
        <w:szCs w:val="20"/>
      </w:rPr>
      <w:fldChar w:fldCharType="separate"/>
    </w:r>
    <w:r w:rsidR="00BA069F">
      <w:rPr>
        <w:rFonts w:ascii="Palatino Linotype" w:eastAsia="Palatino Linotype" w:hAnsi="Palatino Linotype" w:cs="Palatino Linotype"/>
        <w:b/>
        <w:noProof/>
        <w:color w:val="000000"/>
        <w:sz w:val="22"/>
        <w:szCs w:val="20"/>
      </w:rPr>
      <w:t>21</w:t>
    </w:r>
    <w:r w:rsidRPr="0081026D">
      <w:rPr>
        <w:rFonts w:ascii="Palatino Linotype" w:eastAsia="Palatino Linotype" w:hAnsi="Palatino Linotype" w:cs="Palatino Linotype"/>
        <w:b/>
        <w:color w:val="000000"/>
        <w:sz w:val="22"/>
        <w:szCs w:val="20"/>
      </w:rPr>
      <w:fldChar w:fldCharType="end"/>
    </w:r>
    <w:r w:rsidRPr="0081026D">
      <w:rPr>
        <w:rFonts w:ascii="Palatino Linotype" w:eastAsia="Palatino Linotype" w:hAnsi="Palatino Linotype" w:cs="Palatino Linotype"/>
        <w:color w:val="000000"/>
        <w:sz w:val="22"/>
        <w:szCs w:val="20"/>
      </w:rPr>
      <w:t xml:space="preserve"> de </w:t>
    </w:r>
    <w:r w:rsidRPr="0081026D">
      <w:rPr>
        <w:rFonts w:ascii="Palatino Linotype" w:eastAsia="Palatino Linotype" w:hAnsi="Palatino Linotype" w:cs="Palatino Linotype"/>
        <w:b/>
        <w:color w:val="000000"/>
        <w:sz w:val="22"/>
        <w:szCs w:val="20"/>
      </w:rPr>
      <w:fldChar w:fldCharType="begin"/>
    </w:r>
    <w:r w:rsidRPr="0081026D">
      <w:rPr>
        <w:rFonts w:ascii="Palatino Linotype" w:eastAsia="Palatino Linotype" w:hAnsi="Palatino Linotype" w:cs="Palatino Linotype"/>
        <w:b/>
        <w:color w:val="000000"/>
        <w:sz w:val="22"/>
        <w:szCs w:val="20"/>
      </w:rPr>
      <w:instrText>NUMPAGES</w:instrText>
    </w:r>
    <w:r w:rsidRPr="0081026D">
      <w:rPr>
        <w:rFonts w:ascii="Palatino Linotype" w:eastAsia="Palatino Linotype" w:hAnsi="Palatino Linotype" w:cs="Palatino Linotype"/>
        <w:b/>
        <w:color w:val="000000"/>
        <w:sz w:val="22"/>
        <w:szCs w:val="20"/>
      </w:rPr>
      <w:fldChar w:fldCharType="separate"/>
    </w:r>
    <w:r w:rsidR="00BA069F">
      <w:rPr>
        <w:rFonts w:ascii="Palatino Linotype" w:eastAsia="Palatino Linotype" w:hAnsi="Palatino Linotype" w:cs="Palatino Linotype"/>
        <w:b/>
        <w:noProof/>
        <w:color w:val="000000"/>
        <w:sz w:val="22"/>
        <w:szCs w:val="20"/>
      </w:rPr>
      <w:t>22</w:t>
    </w:r>
    <w:r w:rsidRPr="0081026D">
      <w:rPr>
        <w:rFonts w:ascii="Palatino Linotype" w:eastAsia="Palatino Linotype" w:hAnsi="Palatino Linotype" w:cs="Palatino Linotype"/>
        <w:b/>
        <w:color w:val="000000"/>
        <w:sz w:val="22"/>
        <w:szCs w:val="20"/>
      </w:rPr>
      <w:fldChar w:fldCharType="end"/>
    </w:r>
  </w:p>
  <w:p w:rsidR="008016AD" w:rsidRDefault="008016AD">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AD" w:rsidRPr="0081026D" w:rsidRDefault="008016AD">
    <w:pPr>
      <w:tabs>
        <w:tab w:val="center" w:pos="4252"/>
        <w:tab w:val="right" w:pos="8504"/>
      </w:tabs>
      <w:jc w:val="right"/>
      <w:rPr>
        <w:rFonts w:ascii="Palatino Linotype" w:eastAsia="Palatino Linotype" w:hAnsi="Palatino Linotype" w:cs="Palatino Linotype"/>
        <w:color w:val="000000"/>
        <w:sz w:val="22"/>
        <w:szCs w:val="20"/>
      </w:rPr>
    </w:pPr>
    <w:r w:rsidRPr="0081026D">
      <w:rPr>
        <w:rFonts w:ascii="Palatino Linotype" w:eastAsia="Palatino Linotype" w:hAnsi="Palatino Linotype" w:cs="Palatino Linotype"/>
        <w:b/>
        <w:color w:val="000000"/>
        <w:sz w:val="22"/>
        <w:szCs w:val="20"/>
      </w:rPr>
      <w:t xml:space="preserve">Página </w:t>
    </w:r>
    <w:r w:rsidRPr="0081026D">
      <w:rPr>
        <w:rFonts w:ascii="Palatino Linotype" w:eastAsia="Palatino Linotype" w:hAnsi="Palatino Linotype" w:cs="Palatino Linotype"/>
        <w:b/>
        <w:color w:val="000000"/>
        <w:sz w:val="22"/>
        <w:szCs w:val="20"/>
      </w:rPr>
      <w:fldChar w:fldCharType="begin"/>
    </w:r>
    <w:r w:rsidRPr="0081026D">
      <w:rPr>
        <w:rFonts w:ascii="Palatino Linotype" w:eastAsia="Palatino Linotype" w:hAnsi="Palatino Linotype" w:cs="Palatino Linotype"/>
        <w:b/>
        <w:color w:val="000000"/>
        <w:sz w:val="22"/>
        <w:szCs w:val="20"/>
      </w:rPr>
      <w:instrText>PAGE</w:instrText>
    </w:r>
    <w:r w:rsidRPr="0081026D">
      <w:rPr>
        <w:rFonts w:ascii="Palatino Linotype" w:eastAsia="Palatino Linotype" w:hAnsi="Palatino Linotype" w:cs="Palatino Linotype"/>
        <w:b/>
        <w:color w:val="000000"/>
        <w:sz w:val="22"/>
        <w:szCs w:val="20"/>
      </w:rPr>
      <w:fldChar w:fldCharType="separate"/>
    </w:r>
    <w:r w:rsidR="00BA069F">
      <w:rPr>
        <w:rFonts w:ascii="Palatino Linotype" w:eastAsia="Palatino Linotype" w:hAnsi="Palatino Linotype" w:cs="Palatino Linotype"/>
        <w:b/>
        <w:noProof/>
        <w:color w:val="000000"/>
        <w:sz w:val="22"/>
        <w:szCs w:val="20"/>
      </w:rPr>
      <w:t>1</w:t>
    </w:r>
    <w:r w:rsidRPr="0081026D">
      <w:rPr>
        <w:rFonts w:ascii="Palatino Linotype" w:eastAsia="Palatino Linotype" w:hAnsi="Palatino Linotype" w:cs="Palatino Linotype"/>
        <w:b/>
        <w:color w:val="000000"/>
        <w:sz w:val="22"/>
        <w:szCs w:val="20"/>
      </w:rPr>
      <w:fldChar w:fldCharType="end"/>
    </w:r>
    <w:r w:rsidRPr="0081026D">
      <w:rPr>
        <w:rFonts w:ascii="Palatino Linotype" w:eastAsia="Palatino Linotype" w:hAnsi="Palatino Linotype" w:cs="Palatino Linotype"/>
        <w:color w:val="000000"/>
        <w:sz w:val="22"/>
        <w:szCs w:val="20"/>
      </w:rPr>
      <w:t xml:space="preserve"> de </w:t>
    </w:r>
    <w:r w:rsidRPr="0081026D">
      <w:rPr>
        <w:rFonts w:ascii="Palatino Linotype" w:eastAsia="Palatino Linotype" w:hAnsi="Palatino Linotype" w:cs="Palatino Linotype"/>
        <w:b/>
        <w:color w:val="000000"/>
        <w:sz w:val="22"/>
        <w:szCs w:val="20"/>
      </w:rPr>
      <w:fldChar w:fldCharType="begin"/>
    </w:r>
    <w:r w:rsidRPr="0081026D">
      <w:rPr>
        <w:rFonts w:ascii="Palatino Linotype" w:eastAsia="Palatino Linotype" w:hAnsi="Palatino Linotype" w:cs="Palatino Linotype"/>
        <w:b/>
        <w:color w:val="000000"/>
        <w:sz w:val="22"/>
        <w:szCs w:val="20"/>
      </w:rPr>
      <w:instrText>NUMPAGES</w:instrText>
    </w:r>
    <w:r w:rsidRPr="0081026D">
      <w:rPr>
        <w:rFonts w:ascii="Palatino Linotype" w:eastAsia="Palatino Linotype" w:hAnsi="Palatino Linotype" w:cs="Palatino Linotype"/>
        <w:b/>
        <w:color w:val="000000"/>
        <w:sz w:val="22"/>
        <w:szCs w:val="20"/>
      </w:rPr>
      <w:fldChar w:fldCharType="separate"/>
    </w:r>
    <w:r w:rsidR="00BA069F">
      <w:rPr>
        <w:rFonts w:ascii="Palatino Linotype" w:eastAsia="Palatino Linotype" w:hAnsi="Palatino Linotype" w:cs="Palatino Linotype"/>
        <w:b/>
        <w:noProof/>
        <w:color w:val="000000"/>
        <w:sz w:val="22"/>
        <w:szCs w:val="20"/>
      </w:rPr>
      <w:t>22</w:t>
    </w:r>
    <w:r w:rsidRPr="0081026D">
      <w:rPr>
        <w:rFonts w:ascii="Palatino Linotype" w:eastAsia="Palatino Linotype" w:hAnsi="Palatino Linotype" w:cs="Palatino Linotype"/>
        <w:b/>
        <w:color w:val="000000"/>
        <w:sz w:val="22"/>
        <w:szCs w:val="20"/>
      </w:rPr>
      <w:fldChar w:fldCharType="end"/>
    </w:r>
  </w:p>
  <w:p w:rsidR="008016AD" w:rsidRDefault="008016AD">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1B1" w:rsidRDefault="00D721B1">
      <w:r>
        <w:separator/>
      </w:r>
    </w:p>
  </w:footnote>
  <w:footnote w:type="continuationSeparator" w:id="0">
    <w:p w:rsidR="00D721B1" w:rsidRDefault="00D72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694" w:type="dxa"/>
      <w:tblLayout w:type="fixed"/>
      <w:tblLook w:val="04A0" w:firstRow="1" w:lastRow="0" w:firstColumn="1" w:lastColumn="0" w:noHBand="0" w:noVBand="1"/>
    </w:tblPr>
    <w:tblGrid>
      <w:gridCol w:w="2693"/>
      <w:gridCol w:w="4678"/>
    </w:tblGrid>
    <w:tr w:rsidR="008016AD" w:rsidTr="0081026D">
      <w:tc>
        <w:tcPr>
          <w:tcW w:w="2693" w:type="dxa"/>
          <w:shd w:val="clear" w:color="auto" w:fill="auto"/>
          <w:vAlign w:val="center"/>
        </w:tcPr>
        <w:p w:rsidR="008016AD" w:rsidRDefault="008016AD" w:rsidP="003030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678" w:type="dxa"/>
          <w:shd w:val="clear" w:color="auto" w:fill="auto"/>
          <w:vAlign w:val="center"/>
        </w:tcPr>
        <w:p w:rsidR="008016AD" w:rsidRPr="0081026D" w:rsidRDefault="008016AD" w:rsidP="00303078">
          <w:pPr>
            <w:rPr>
              <w:rFonts w:ascii="Palatino Linotype" w:eastAsia="Palatino Linotype" w:hAnsi="Palatino Linotype" w:cs="Palatino Linotype"/>
              <w:szCs w:val="22"/>
            </w:rPr>
          </w:pPr>
          <w:r w:rsidRPr="0081026D">
            <w:rPr>
              <w:rFonts w:ascii="Palatino Linotype" w:eastAsia="Palatino Linotype" w:hAnsi="Palatino Linotype" w:cs="Palatino Linotype"/>
              <w:szCs w:val="22"/>
              <w:lang w:val="es-ES"/>
            </w:rPr>
            <w:t>10528/INFOEM/AD/RR/2025</w:t>
          </w:r>
        </w:p>
      </w:tc>
    </w:tr>
    <w:tr w:rsidR="008016AD" w:rsidTr="0081026D">
      <w:trPr>
        <w:trHeight w:val="228"/>
      </w:trPr>
      <w:tc>
        <w:tcPr>
          <w:tcW w:w="2693" w:type="dxa"/>
          <w:shd w:val="clear" w:color="auto" w:fill="auto"/>
          <w:vAlign w:val="center"/>
        </w:tcPr>
        <w:p w:rsidR="008016AD" w:rsidRDefault="008016AD" w:rsidP="003030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678" w:type="dxa"/>
          <w:shd w:val="clear" w:color="auto" w:fill="auto"/>
          <w:vAlign w:val="center"/>
        </w:tcPr>
        <w:p w:rsidR="008016AD" w:rsidRPr="0081026D" w:rsidRDefault="008016AD" w:rsidP="00303078">
          <w:pPr>
            <w:ind w:right="26"/>
            <w:jc w:val="both"/>
            <w:rPr>
              <w:rFonts w:ascii="Palatino Linotype" w:eastAsia="Palatino Linotype" w:hAnsi="Palatino Linotype" w:cs="Palatino Linotype"/>
              <w:szCs w:val="22"/>
            </w:rPr>
          </w:pPr>
          <w:r w:rsidRPr="0081026D">
            <w:rPr>
              <w:rFonts w:ascii="Palatino Linotype" w:eastAsia="Palatino Linotype" w:hAnsi="Palatino Linotype" w:cs="Palatino Linotype"/>
              <w:bCs/>
              <w:szCs w:val="22"/>
            </w:rPr>
            <w:t>Instituto de Seguridad Social del Estado de México y Municipios</w:t>
          </w:r>
        </w:p>
      </w:tc>
    </w:tr>
    <w:tr w:rsidR="008016AD" w:rsidTr="0081026D">
      <w:tc>
        <w:tcPr>
          <w:tcW w:w="2693" w:type="dxa"/>
          <w:shd w:val="clear" w:color="auto" w:fill="auto"/>
          <w:vAlign w:val="center"/>
        </w:tcPr>
        <w:p w:rsidR="008016AD" w:rsidRDefault="008016AD" w:rsidP="003030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678" w:type="dxa"/>
          <w:shd w:val="clear" w:color="auto" w:fill="auto"/>
          <w:vAlign w:val="center"/>
        </w:tcPr>
        <w:p w:rsidR="008016AD" w:rsidRPr="0081026D" w:rsidRDefault="008016AD" w:rsidP="00303078">
          <w:pPr>
            <w:ind w:right="-533"/>
            <w:rPr>
              <w:rFonts w:ascii="Palatino Linotype" w:eastAsia="Palatino Linotype" w:hAnsi="Palatino Linotype" w:cs="Palatino Linotype"/>
              <w:szCs w:val="22"/>
            </w:rPr>
          </w:pPr>
          <w:r w:rsidRPr="0081026D">
            <w:rPr>
              <w:rFonts w:ascii="Palatino Linotype" w:eastAsia="Palatino Linotype" w:hAnsi="Palatino Linotype" w:cs="Palatino Linotype"/>
              <w:szCs w:val="22"/>
            </w:rPr>
            <w:t>María del Rosario Mejía Ayala</w:t>
          </w:r>
        </w:p>
      </w:tc>
    </w:tr>
  </w:tbl>
  <w:p w:rsidR="008016AD" w:rsidRDefault="0081026D">
    <w:pPr>
      <w:tabs>
        <w:tab w:val="left" w:pos="2326"/>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allowOverlap="1">
          <wp:simplePos x="0" y="0"/>
          <wp:positionH relativeFrom="margin">
            <wp:posOffset>-786765</wp:posOffset>
          </wp:positionH>
          <wp:positionV relativeFrom="page">
            <wp:align>top</wp:align>
          </wp:positionV>
          <wp:extent cx="7038975" cy="9134475"/>
          <wp:effectExtent l="0" t="0" r="9525" b="9525"/>
          <wp:wrapNone/>
          <wp:docPr id="6"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7038975" cy="9134475"/>
                  </a:xfrm>
                  <a:prstGeom prst="rect">
                    <a:avLst/>
                  </a:prstGeom>
                </pic:spPr>
              </pic:pic>
            </a:graphicData>
          </a:graphic>
          <wp14:sizeRelH relativeFrom="margin">
            <wp14:pctWidth>0</wp14:pctWidth>
          </wp14:sizeRelH>
          <wp14:sizeRelV relativeFrom="margin">
            <wp14:pctHeight>0</wp14:pctHeight>
          </wp14:sizeRelV>
        </wp:anchor>
      </w:drawing>
    </w:r>
    <w:r w:rsidR="008016AD">
      <w:rPr>
        <w:rFonts w:ascii="Calibri" w:eastAsia="Calibri" w:hAnsi="Calibri" w:cs="Calibri"/>
        <w:color w:val="000000"/>
      </w:rPr>
      <w:t xml:space="preserve">                                                 </w:t>
    </w:r>
    <w:r w:rsidR="008016AD">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2" w:type="dxa"/>
      <w:tblInd w:w="2694" w:type="dxa"/>
      <w:tblLayout w:type="fixed"/>
      <w:tblLook w:val="04A0" w:firstRow="1" w:lastRow="0" w:firstColumn="1" w:lastColumn="0" w:noHBand="0" w:noVBand="1"/>
    </w:tblPr>
    <w:tblGrid>
      <w:gridCol w:w="2693"/>
      <w:gridCol w:w="4819"/>
    </w:tblGrid>
    <w:tr w:rsidR="008016AD" w:rsidTr="0081026D">
      <w:tc>
        <w:tcPr>
          <w:tcW w:w="2693" w:type="dxa"/>
          <w:shd w:val="clear" w:color="auto" w:fill="auto"/>
          <w:vAlign w:val="center"/>
        </w:tcPr>
        <w:p w:rsidR="008016AD" w:rsidRPr="0081026D" w:rsidRDefault="008016AD">
          <w:pPr>
            <w:rPr>
              <w:rFonts w:ascii="Palatino Linotype" w:eastAsia="Palatino Linotype" w:hAnsi="Palatino Linotype" w:cs="Palatino Linotype"/>
              <w:b/>
              <w:szCs w:val="22"/>
            </w:rPr>
          </w:pPr>
          <w:r w:rsidRPr="0081026D">
            <w:rPr>
              <w:rFonts w:ascii="Palatino Linotype" w:eastAsia="Palatino Linotype" w:hAnsi="Palatino Linotype" w:cs="Palatino Linotype"/>
              <w:b/>
              <w:szCs w:val="22"/>
            </w:rPr>
            <w:t>Recurso de Revisión:</w:t>
          </w:r>
        </w:p>
      </w:tc>
      <w:tc>
        <w:tcPr>
          <w:tcW w:w="4819" w:type="dxa"/>
          <w:shd w:val="clear" w:color="auto" w:fill="auto"/>
          <w:vAlign w:val="center"/>
        </w:tcPr>
        <w:p w:rsidR="008016AD" w:rsidRPr="0081026D" w:rsidRDefault="008016AD" w:rsidP="0081026D">
          <w:pPr>
            <w:rPr>
              <w:rFonts w:ascii="Palatino Linotype" w:eastAsia="Palatino Linotype" w:hAnsi="Palatino Linotype" w:cs="Palatino Linotype"/>
              <w:b/>
              <w:szCs w:val="22"/>
            </w:rPr>
          </w:pPr>
          <w:r w:rsidRPr="0081026D">
            <w:rPr>
              <w:rFonts w:ascii="Palatino Linotype" w:eastAsia="Palatino Linotype" w:hAnsi="Palatino Linotype" w:cs="Palatino Linotype"/>
              <w:b/>
              <w:szCs w:val="22"/>
              <w:lang w:val="es-ES"/>
            </w:rPr>
            <w:t>10528/INFOEM/AD/RR/2025</w:t>
          </w:r>
        </w:p>
      </w:tc>
    </w:tr>
    <w:tr w:rsidR="008016AD" w:rsidTr="0081026D">
      <w:tc>
        <w:tcPr>
          <w:tcW w:w="2693" w:type="dxa"/>
          <w:shd w:val="clear" w:color="auto" w:fill="auto"/>
          <w:vAlign w:val="center"/>
        </w:tcPr>
        <w:p w:rsidR="008016AD" w:rsidRPr="0081026D" w:rsidRDefault="008016AD">
          <w:pPr>
            <w:rPr>
              <w:rFonts w:ascii="Palatino Linotype" w:eastAsia="Palatino Linotype" w:hAnsi="Palatino Linotype" w:cs="Palatino Linotype"/>
              <w:b/>
              <w:szCs w:val="22"/>
            </w:rPr>
          </w:pPr>
          <w:r w:rsidRPr="0081026D">
            <w:rPr>
              <w:rFonts w:ascii="Palatino Linotype" w:eastAsia="Palatino Linotype" w:hAnsi="Palatino Linotype" w:cs="Palatino Linotype"/>
              <w:b/>
              <w:szCs w:val="22"/>
            </w:rPr>
            <w:t>Recurrente:</w:t>
          </w:r>
        </w:p>
      </w:tc>
      <w:tc>
        <w:tcPr>
          <w:tcW w:w="4819" w:type="dxa"/>
          <w:shd w:val="clear" w:color="auto" w:fill="auto"/>
          <w:vAlign w:val="center"/>
        </w:tcPr>
        <w:p w:rsidR="008016AD" w:rsidRPr="0081026D" w:rsidRDefault="00BA069F" w:rsidP="0081026D">
          <w:pPr>
            <w:rPr>
              <w:rFonts w:ascii="Palatino Linotype" w:eastAsia="Palatino Linotype" w:hAnsi="Palatino Linotype" w:cs="Palatino Linotype"/>
              <w:b/>
              <w:szCs w:val="22"/>
            </w:rPr>
          </w:pPr>
          <w:r>
            <w:rPr>
              <w:rFonts w:ascii="Palatino Linotype" w:eastAsia="Palatino Linotype" w:hAnsi="Palatino Linotype" w:cs="Palatino Linotype"/>
              <w:b/>
              <w:bCs/>
              <w:szCs w:val="22"/>
            </w:rPr>
            <w:t>XXXX</w:t>
          </w:r>
        </w:p>
      </w:tc>
    </w:tr>
    <w:tr w:rsidR="008016AD" w:rsidTr="0081026D">
      <w:trPr>
        <w:trHeight w:val="228"/>
      </w:trPr>
      <w:tc>
        <w:tcPr>
          <w:tcW w:w="2693" w:type="dxa"/>
          <w:shd w:val="clear" w:color="auto" w:fill="auto"/>
          <w:vAlign w:val="center"/>
        </w:tcPr>
        <w:p w:rsidR="008016AD" w:rsidRPr="0081026D" w:rsidRDefault="008016AD">
          <w:pPr>
            <w:rPr>
              <w:rFonts w:ascii="Palatino Linotype" w:eastAsia="Palatino Linotype" w:hAnsi="Palatino Linotype" w:cs="Palatino Linotype"/>
              <w:b/>
              <w:szCs w:val="22"/>
            </w:rPr>
          </w:pPr>
          <w:r w:rsidRPr="0081026D">
            <w:rPr>
              <w:rFonts w:ascii="Palatino Linotype" w:eastAsia="Palatino Linotype" w:hAnsi="Palatino Linotype" w:cs="Palatino Linotype"/>
              <w:b/>
              <w:szCs w:val="22"/>
            </w:rPr>
            <w:t>Sujeto Obligado:</w:t>
          </w:r>
        </w:p>
      </w:tc>
      <w:tc>
        <w:tcPr>
          <w:tcW w:w="4819" w:type="dxa"/>
          <w:shd w:val="clear" w:color="auto" w:fill="auto"/>
          <w:vAlign w:val="center"/>
        </w:tcPr>
        <w:p w:rsidR="008016AD" w:rsidRPr="0081026D" w:rsidRDefault="008016AD" w:rsidP="0081026D">
          <w:pPr>
            <w:ind w:right="26"/>
            <w:rPr>
              <w:rFonts w:ascii="Palatino Linotype" w:eastAsia="Palatino Linotype" w:hAnsi="Palatino Linotype" w:cs="Palatino Linotype"/>
              <w:b/>
              <w:szCs w:val="22"/>
            </w:rPr>
          </w:pPr>
          <w:r w:rsidRPr="0081026D">
            <w:rPr>
              <w:rFonts w:ascii="Palatino Linotype" w:eastAsia="Palatino Linotype" w:hAnsi="Palatino Linotype" w:cs="Palatino Linotype"/>
              <w:b/>
              <w:bCs/>
              <w:szCs w:val="22"/>
            </w:rPr>
            <w:t>Instituto de Seguridad Social del Estado de México y Municipios.</w:t>
          </w:r>
        </w:p>
      </w:tc>
    </w:tr>
    <w:tr w:rsidR="008016AD" w:rsidTr="0081026D">
      <w:tc>
        <w:tcPr>
          <w:tcW w:w="2693" w:type="dxa"/>
          <w:shd w:val="clear" w:color="auto" w:fill="auto"/>
          <w:vAlign w:val="center"/>
        </w:tcPr>
        <w:p w:rsidR="008016AD" w:rsidRPr="0081026D" w:rsidRDefault="008016AD">
          <w:pPr>
            <w:rPr>
              <w:rFonts w:ascii="Palatino Linotype" w:eastAsia="Palatino Linotype" w:hAnsi="Palatino Linotype" w:cs="Palatino Linotype"/>
              <w:b/>
              <w:szCs w:val="22"/>
            </w:rPr>
          </w:pPr>
          <w:r w:rsidRPr="0081026D">
            <w:rPr>
              <w:rFonts w:ascii="Palatino Linotype" w:eastAsia="Palatino Linotype" w:hAnsi="Palatino Linotype" w:cs="Palatino Linotype"/>
              <w:b/>
              <w:szCs w:val="22"/>
            </w:rPr>
            <w:t>Comisionada Ponente:</w:t>
          </w:r>
        </w:p>
      </w:tc>
      <w:tc>
        <w:tcPr>
          <w:tcW w:w="4819" w:type="dxa"/>
          <w:shd w:val="clear" w:color="auto" w:fill="auto"/>
          <w:vAlign w:val="center"/>
        </w:tcPr>
        <w:p w:rsidR="008016AD" w:rsidRPr="0081026D" w:rsidRDefault="008016AD" w:rsidP="0081026D">
          <w:pPr>
            <w:ind w:right="-533"/>
            <w:rPr>
              <w:rFonts w:ascii="Palatino Linotype" w:eastAsia="Palatino Linotype" w:hAnsi="Palatino Linotype" w:cs="Palatino Linotype"/>
              <w:b/>
              <w:szCs w:val="22"/>
            </w:rPr>
          </w:pPr>
          <w:r w:rsidRPr="0081026D">
            <w:rPr>
              <w:rFonts w:ascii="Palatino Linotype" w:eastAsia="Palatino Linotype" w:hAnsi="Palatino Linotype" w:cs="Palatino Linotype"/>
              <w:b/>
              <w:szCs w:val="22"/>
            </w:rPr>
            <w:t>María del Rosario Mejía Ayala</w:t>
          </w:r>
        </w:p>
      </w:tc>
    </w:tr>
  </w:tbl>
  <w:p w:rsidR="008016AD" w:rsidRDefault="0081026D">
    <w:pP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5.05pt;margin-top:-144.65pt;width:663.5pt;height:12in;z-index:-251658240;mso-position-horizontal-relative:margin;mso-position-vertical-relative:margin;mso-width-relative:page;mso-height-relative:page">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C39"/>
    <w:multiLevelType w:val="hybridMultilevel"/>
    <w:tmpl w:val="BC7ECD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334EC"/>
    <w:multiLevelType w:val="multilevel"/>
    <w:tmpl w:val="1B781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74673E"/>
    <w:multiLevelType w:val="multilevel"/>
    <w:tmpl w:val="286AEF3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DF0E1F"/>
    <w:multiLevelType w:val="multilevel"/>
    <w:tmpl w:val="C4AE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64BF"/>
    <w:multiLevelType w:val="multilevel"/>
    <w:tmpl w:val="1BCB64BF"/>
    <w:lvl w:ilvl="0">
      <w:start w:val="1"/>
      <w:numFmt w:val="bullet"/>
      <w:lvlText w:val=""/>
      <w:lvlJc w:val="left"/>
      <w:pPr>
        <w:ind w:left="1854" w:hanging="360"/>
      </w:pPr>
      <w:rPr>
        <w:rFonts w:ascii="Symbol" w:hAnsi="Symbo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2FFE62B0"/>
    <w:multiLevelType w:val="hybridMultilevel"/>
    <w:tmpl w:val="47A03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44444F"/>
    <w:multiLevelType w:val="hybridMultilevel"/>
    <w:tmpl w:val="B194FC24"/>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8" w15:restartNumberingAfterBreak="0">
    <w:nsid w:val="407A5906"/>
    <w:multiLevelType w:val="multilevel"/>
    <w:tmpl w:val="FEBA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E3805"/>
    <w:multiLevelType w:val="multilevel"/>
    <w:tmpl w:val="D152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60513"/>
    <w:multiLevelType w:val="multilevel"/>
    <w:tmpl w:val="969698CA"/>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593B05C4"/>
    <w:multiLevelType w:val="multilevel"/>
    <w:tmpl w:val="A722570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BB3B89"/>
    <w:multiLevelType w:val="multilevel"/>
    <w:tmpl w:val="C1BCF4F8"/>
    <w:lvl w:ilvl="0">
      <w:start w:val="1"/>
      <w:numFmt w:val="decimal"/>
      <w:lvlText w:val="%1."/>
      <w:lvlJc w:val="left"/>
      <w:pPr>
        <w:ind w:left="2912"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4C32A3"/>
    <w:multiLevelType w:val="multilevel"/>
    <w:tmpl w:val="B144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2015A"/>
    <w:multiLevelType w:val="hybridMultilevel"/>
    <w:tmpl w:val="C6B6AB4A"/>
    <w:lvl w:ilvl="0" w:tplc="DF58CE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573210"/>
    <w:multiLevelType w:val="multilevel"/>
    <w:tmpl w:val="C1BCF4F8"/>
    <w:lvl w:ilvl="0">
      <w:start w:val="1"/>
      <w:numFmt w:val="decimal"/>
      <w:lvlText w:val="%1."/>
      <w:lvlJc w:val="left"/>
      <w:pPr>
        <w:ind w:left="2912"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9F13D0"/>
    <w:multiLevelType w:val="hybridMultilevel"/>
    <w:tmpl w:val="72DC0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563F66"/>
    <w:multiLevelType w:val="hybridMultilevel"/>
    <w:tmpl w:val="FD10F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C60BB1"/>
    <w:multiLevelType w:val="hybridMultilevel"/>
    <w:tmpl w:val="5734C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4" w15:restartNumberingAfterBreak="0">
    <w:nsid w:val="7B8911F3"/>
    <w:multiLevelType w:val="multilevel"/>
    <w:tmpl w:val="791A5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4"/>
  </w:num>
  <w:num w:numId="3">
    <w:abstractNumId w:val="11"/>
  </w:num>
  <w:num w:numId="4">
    <w:abstractNumId w:val="6"/>
  </w:num>
  <w:num w:numId="5">
    <w:abstractNumId w:val="12"/>
  </w:num>
  <w:num w:numId="6">
    <w:abstractNumId w:val="16"/>
  </w:num>
  <w:num w:numId="7">
    <w:abstractNumId w:val="23"/>
  </w:num>
  <w:num w:numId="8">
    <w:abstractNumId w:val="20"/>
  </w:num>
  <w:num w:numId="9">
    <w:abstractNumId w:val="25"/>
  </w:num>
  <w:num w:numId="10">
    <w:abstractNumId w:val="1"/>
  </w:num>
  <w:num w:numId="11">
    <w:abstractNumId w:val="13"/>
  </w:num>
  <w:num w:numId="12">
    <w:abstractNumId w:val="26"/>
  </w:num>
  <w:num w:numId="13">
    <w:abstractNumId w:val="22"/>
  </w:num>
  <w:num w:numId="14">
    <w:abstractNumId w:val="14"/>
  </w:num>
  <w:num w:numId="15">
    <w:abstractNumId w:val="21"/>
  </w:num>
  <w:num w:numId="16">
    <w:abstractNumId w:val="24"/>
  </w:num>
  <w:num w:numId="17">
    <w:abstractNumId w:val="7"/>
  </w:num>
  <w:num w:numId="18">
    <w:abstractNumId w:val="5"/>
  </w:num>
  <w:num w:numId="19">
    <w:abstractNumId w:val="18"/>
  </w:num>
  <w:num w:numId="20">
    <w:abstractNumId w:val="2"/>
  </w:num>
  <w:num w:numId="21">
    <w:abstractNumId w:val="0"/>
  </w:num>
  <w:num w:numId="22">
    <w:abstractNumId w:val="3"/>
  </w:num>
  <w:num w:numId="23">
    <w:abstractNumId w:val="9"/>
  </w:num>
  <w:num w:numId="24">
    <w:abstractNumId w:val="15"/>
  </w:num>
  <w:num w:numId="25">
    <w:abstractNumId w:val="8"/>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00CD6"/>
    <w:rsid w:val="000117F0"/>
    <w:rsid w:val="000127ED"/>
    <w:rsid w:val="00016A4D"/>
    <w:rsid w:val="0001785E"/>
    <w:rsid w:val="000365AD"/>
    <w:rsid w:val="00053509"/>
    <w:rsid w:val="00070FDC"/>
    <w:rsid w:val="0007781D"/>
    <w:rsid w:val="00081410"/>
    <w:rsid w:val="000A22CE"/>
    <w:rsid w:val="000A2E29"/>
    <w:rsid w:val="000A3029"/>
    <w:rsid w:val="000B4ACA"/>
    <w:rsid w:val="000C1EE4"/>
    <w:rsid w:val="000C4350"/>
    <w:rsid w:val="000C6C98"/>
    <w:rsid w:val="00100ACE"/>
    <w:rsid w:val="001053B7"/>
    <w:rsid w:val="00112412"/>
    <w:rsid w:val="0012229C"/>
    <w:rsid w:val="00133EAB"/>
    <w:rsid w:val="00142B82"/>
    <w:rsid w:val="00144309"/>
    <w:rsid w:val="00180CD2"/>
    <w:rsid w:val="001A056F"/>
    <w:rsid w:val="001B1BAF"/>
    <w:rsid w:val="001C15AA"/>
    <w:rsid w:val="001C64BE"/>
    <w:rsid w:val="001E0243"/>
    <w:rsid w:val="001E21B3"/>
    <w:rsid w:val="001E278C"/>
    <w:rsid w:val="001E4E1A"/>
    <w:rsid w:val="002105C6"/>
    <w:rsid w:val="002113C6"/>
    <w:rsid w:val="00212042"/>
    <w:rsid w:val="002200C9"/>
    <w:rsid w:val="002312F0"/>
    <w:rsid w:val="00231593"/>
    <w:rsid w:val="00231BF3"/>
    <w:rsid w:val="00234CD8"/>
    <w:rsid w:val="002359F1"/>
    <w:rsid w:val="00243341"/>
    <w:rsid w:val="0024374F"/>
    <w:rsid w:val="00250965"/>
    <w:rsid w:val="00253B02"/>
    <w:rsid w:val="00255416"/>
    <w:rsid w:val="00256287"/>
    <w:rsid w:val="00263C2E"/>
    <w:rsid w:val="00265363"/>
    <w:rsid w:val="00265A80"/>
    <w:rsid w:val="002709AE"/>
    <w:rsid w:val="002776D0"/>
    <w:rsid w:val="00290795"/>
    <w:rsid w:val="002B41DB"/>
    <w:rsid w:val="002C3499"/>
    <w:rsid w:val="002D09C6"/>
    <w:rsid w:val="002D6A28"/>
    <w:rsid w:val="002F00BF"/>
    <w:rsid w:val="002F3443"/>
    <w:rsid w:val="00303078"/>
    <w:rsid w:val="00304483"/>
    <w:rsid w:val="00311E36"/>
    <w:rsid w:val="00314FAB"/>
    <w:rsid w:val="00317FFA"/>
    <w:rsid w:val="00320973"/>
    <w:rsid w:val="00321B2F"/>
    <w:rsid w:val="003220C4"/>
    <w:rsid w:val="0032424A"/>
    <w:rsid w:val="00325C00"/>
    <w:rsid w:val="00336198"/>
    <w:rsid w:val="003437DB"/>
    <w:rsid w:val="00344E2F"/>
    <w:rsid w:val="00381AC3"/>
    <w:rsid w:val="00382CF6"/>
    <w:rsid w:val="0039444D"/>
    <w:rsid w:val="003C7707"/>
    <w:rsid w:val="003E3A12"/>
    <w:rsid w:val="003F0F5C"/>
    <w:rsid w:val="003F1A19"/>
    <w:rsid w:val="004054D1"/>
    <w:rsid w:val="00410E08"/>
    <w:rsid w:val="00422A80"/>
    <w:rsid w:val="004443BB"/>
    <w:rsid w:val="00445AE7"/>
    <w:rsid w:val="0045399F"/>
    <w:rsid w:val="00465FBA"/>
    <w:rsid w:val="00481087"/>
    <w:rsid w:val="004818C6"/>
    <w:rsid w:val="00483CED"/>
    <w:rsid w:val="004B02B9"/>
    <w:rsid w:val="004C2D8B"/>
    <w:rsid w:val="004C786E"/>
    <w:rsid w:val="004D21BF"/>
    <w:rsid w:val="004E419E"/>
    <w:rsid w:val="004F7FFB"/>
    <w:rsid w:val="0050577F"/>
    <w:rsid w:val="00514767"/>
    <w:rsid w:val="00515A99"/>
    <w:rsid w:val="00520A42"/>
    <w:rsid w:val="0054534E"/>
    <w:rsid w:val="00552D53"/>
    <w:rsid w:val="00564E65"/>
    <w:rsid w:val="00581E22"/>
    <w:rsid w:val="005B5F6D"/>
    <w:rsid w:val="005D08F5"/>
    <w:rsid w:val="005D0D4C"/>
    <w:rsid w:val="005D5D28"/>
    <w:rsid w:val="005E1DEC"/>
    <w:rsid w:val="005E4827"/>
    <w:rsid w:val="005E5627"/>
    <w:rsid w:val="006079CE"/>
    <w:rsid w:val="0062171B"/>
    <w:rsid w:val="006340F7"/>
    <w:rsid w:val="00663A9D"/>
    <w:rsid w:val="00666EAC"/>
    <w:rsid w:val="0069554D"/>
    <w:rsid w:val="006C3EA6"/>
    <w:rsid w:val="006C6C4F"/>
    <w:rsid w:val="006D2050"/>
    <w:rsid w:val="006F1DE0"/>
    <w:rsid w:val="006F60B9"/>
    <w:rsid w:val="00701821"/>
    <w:rsid w:val="00706451"/>
    <w:rsid w:val="00714E20"/>
    <w:rsid w:val="0071544D"/>
    <w:rsid w:val="00716B5C"/>
    <w:rsid w:val="00733843"/>
    <w:rsid w:val="0075177E"/>
    <w:rsid w:val="00767321"/>
    <w:rsid w:val="00782798"/>
    <w:rsid w:val="00790059"/>
    <w:rsid w:val="007A3061"/>
    <w:rsid w:val="007A6ABB"/>
    <w:rsid w:val="007C162B"/>
    <w:rsid w:val="007C3CF9"/>
    <w:rsid w:val="007C60B4"/>
    <w:rsid w:val="007E6336"/>
    <w:rsid w:val="007F52FC"/>
    <w:rsid w:val="008016AD"/>
    <w:rsid w:val="008034D0"/>
    <w:rsid w:val="008066AF"/>
    <w:rsid w:val="0081026D"/>
    <w:rsid w:val="008112B7"/>
    <w:rsid w:val="0081216D"/>
    <w:rsid w:val="00812A76"/>
    <w:rsid w:val="008425EF"/>
    <w:rsid w:val="0084477A"/>
    <w:rsid w:val="00857931"/>
    <w:rsid w:val="008649F5"/>
    <w:rsid w:val="00871B9A"/>
    <w:rsid w:val="00884B8A"/>
    <w:rsid w:val="008960DB"/>
    <w:rsid w:val="008A647B"/>
    <w:rsid w:val="008B366F"/>
    <w:rsid w:val="008D7960"/>
    <w:rsid w:val="008E61D2"/>
    <w:rsid w:val="009148EF"/>
    <w:rsid w:val="00914B64"/>
    <w:rsid w:val="0091769C"/>
    <w:rsid w:val="00932115"/>
    <w:rsid w:val="00933DA3"/>
    <w:rsid w:val="009432AF"/>
    <w:rsid w:val="00955B8B"/>
    <w:rsid w:val="00965380"/>
    <w:rsid w:val="00983FFC"/>
    <w:rsid w:val="00991755"/>
    <w:rsid w:val="0099233D"/>
    <w:rsid w:val="009A5F06"/>
    <w:rsid w:val="009C545C"/>
    <w:rsid w:val="009D1E5D"/>
    <w:rsid w:val="009E5493"/>
    <w:rsid w:val="009F0FE8"/>
    <w:rsid w:val="00A01E77"/>
    <w:rsid w:val="00A02E62"/>
    <w:rsid w:val="00A11E43"/>
    <w:rsid w:val="00A1203A"/>
    <w:rsid w:val="00A3190A"/>
    <w:rsid w:val="00A31CCA"/>
    <w:rsid w:val="00A416C9"/>
    <w:rsid w:val="00A52434"/>
    <w:rsid w:val="00A5777F"/>
    <w:rsid w:val="00A91BEE"/>
    <w:rsid w:val="00AA5504"/>
    <w:rsid w:val="00AA6E78"/>
    <w:rsid w:val="00AA7FCD"/>
    <w:rsid w:val="00AC4D02"/>
    <w:rsid w:val="00AD7545"/>
    <w:rsid w:val="00AE5BAF"/>
    <w:rsid w:val="00AE76F6"/>
    <w:rsid w:val="00AF60A8"/>
    <w:rsid w:val="00AF796B"/>
    <w:rsid w:val="00AF7E89"/>
    <w:rsid w:val="00B0099F"/>
    <w:rsid w:val="00B0192A"/>
    <w:rsid w:val="00B037C7"/>
    <w:rsid w:val="00B05408"/>
    <w:rsid w:val="00B14316"/>
    <w:rsid w:val="00B17654"/>
    <w:rsid w:val="00B22CA5"/>
    <w:rsid w:val="00B26F02"/>
    <w:rsid w:val="00B41BF4"/>
    <w:rsid w:val="00B44B3F"/>
    <w:rsid w:val="00B47731"/>
    <w:rsid w:val="00B539DF"/>
    <w:rsid w:val="00B64874"/>
    <w:rsid w:val="00B757B7"/>
    <w:rsid w:val="00B9223F"/>
    <w:rsid w:val="00B96FA6"/>
    <w:rsid w:val="00B97687"/>
    <w:rsid w:val="00BA069F"/>
    <w:rsid w:val="00BA374F"/>
    <w:rsid w:val="00BA4920"/>
    <w:rsid w:val="00BB0BD1"/>
    <w:rsid w:val="00BC3321"/>
    <w:rsid w:val="00BC344A"/>
    <w:rsid w:val="00BC34EB"/>
    <w:rsid w:val="00BC534C"/>
    <w:rsid w:val="00BE42F2"/>
    <w:rsid w:val="00BF581F"/>
    <w:rsid w:val="00C077E1"/>
    <w:rsid w:val="00C1057C"/>
    <w:rsid w:val="00C1620D"/>
    <w:rsid w:val="00C163A8"/>
    <w:rsid w:val="00C20BDB"/>
    <w:rsid w:val="00C40C6C"/>
    <w:rsid w:val="00C510E5"/>
    <w:rsid w:val="00C5407F"/>
    <w:rsid w:val="00C6303C"/>
    <w:rsid w:val="00C655D5"/>
    <w:rsid w:val="00C84584"/>
    <w:rsid w:val="00CA3BE7"/>
    <w:rsid w:val="00CC5B4E"/>
    <w:rsid w:val="00CC5FD8"/>
    <w:rsid w:val="00CD648D"/>
    <w:rsid w:val="00CE6BC6"/>
    <w:rsid w:val="00CF030E"/>
    <w:rsid w:val="00D04400"/>
    <w:rsid w:val="00D07ECD"/>
    <w:rsid w:val="00D115CF"/>
    <w:rsid w:val="00D31AB6"/>
    <w:rsid w:val="00D352C4"/>
    <w:rsid w:val="00D40133"/>
    <w:rsid w:val="00D425A0"/>
    <w:rsid w:val="00D45C2A"/>
    <w:rsid w:val="00D54ED0"/>
    <w:rsid w:val="00D6122E"/>
    <w:rsid w:val="00D721B1"/>
    <w:rsid w:val="00D91034"/>
    <w:rsid w:val="00D959FE"/>
    <w:rsid w:val="00DA042D"/>
    <w:rsid w:val="00DC051B"/>
    <w:rsid w:val="00DC0D28"/>
    <w:rsid w:val="00DD22D3"/>
    <w:rsid w:val="00DF0D09"/>
    <w:rsid w:val="00DF0DD8"/>
    <w:rsid w:val="00DF18CD"/>
    <w:rsid w:val="00DF2116"/>
    <w:rsid w:val="00DF7C02"/>
    <w:rsid w:val="00E00F0E"/>
    <w:rsid w:val="00E143C7"/>
    <w:rsid w:val="00E213E5"/>
    <w:rsid w:val="00E27092"/>
    <w:rsid w:val="00E42836"/>
    <w:rsid w:val="00E4450D"/>
    <w:rsid w:val="00E52269"/>
    <w:rsid w:val="00E802E4"/>
    <w:rsid w:val="00E80AD5"/>
    <w:rsid w:val="00E82D18"/>
    <w:rsid w:val="00E87263"/>
    <w:rsid w:val="00E90144"/>
    <w:rsid w:val="00E93460"/>
    <w:rsid w:val="00EB5124"/>
    <w:rsid w:val="00EC0753"/>
    <w:rsid w:val="00EC18CA"/>
    <w:rsid w:val="00EC370E"/>
    <w:rsid w:val="00EC47A6"/>
    <w:rsid w:val="00ED3AFB"/>
    <w:rsid w:val="00F21EB2"/>
    <w:rsid w:val="00F22C9F"/>
    <w:rsid w:val="00F239B0"/>
    <w:rsid w:val="00F312AF"/>
    <w:rsid w:val="00F32ABF"/>
    <w:rsid w:val="00F40DBE"/>
    <w:rsid w:val="00F66FDF"/>
    <w:rsid w:val="00F73A61"/>
    <w:rsid w:val="00F73E53"/>
    <w:rsid w:val="00F74BE6"/>
    <w:rsid w:val="00F760E7"/>
    <w:rsid w:val="00F82417"/>
    <w:rsid w:val="00F83097"/>
    <w:rsid w:val="00F85A70"/>
    <w:rsid w:val="00F86148"/>
    <w:rsid w:val="00F93FF1"/>
    <w:rsid w:val="00FA5B3B"/>
    <w:rsid w:val="00FE36D1"/>
    <w:rsid w:val="00FF103D"/>
    <w:rsid w:val="0AF85D4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43722E7-0E40-4B75-9321-4BBE908F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17F0"/>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rPr>
      <w:rFonts w:asciiTheme="minorHAnsi" w:eastAsiaTheme="minorHAnsi" w:hAnsiTheme="minorHAnsi" w:cstheme="minorBidi"/>
      <w:sz w:val="20"/>
      <w:szCs w:val="20"/>
      <w:lang w:eastAsia="en-US"/>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Puesto">
    <w:name w:val="Title"/>
    <w:basedOn w:val="Normal"/>
    <w:next w:val="Normal"/>
    <w:link w:val="PuestoCar"/>
    <w:qFormat/>
    <w:pPr>
      <w:keepNext/>
      <w:keepLines/>
      <w:spacing w:before="480" w:after="120"/>
    </w:pPr>
    <w:rPr>
      <w:rFonts w:ascii="Calibri" w:eastAsiaTheme="minorEastAsia" w:hAnsi="Calibri" w:cs="Calibri"/>
      <w:b/>
      <w:sz w:val="72"/>
      <w:szCs w:val="72"/>
      <w:lang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4E79" w:themeColor="accent1" w:themeShade="80"/>
      <w:sz w:val="24"/>
      <w:szCs w:val="24"/>
      <w:lang w:eastAsia="es-ES"/>
    </w:rPr>
  </w:style>
  <w:style w:type="character" w:customStyle="1" w:styleId="TextonotapieCar">
    <w:name w:val="Texto nota pie Car"/>
    <w:basedOn w:val="Fuentedeprrafopredeter"/>
    <w:link w:val="Textonotapie"/>
    <w:uiPriority w:val="99"/>
    <w:qFormat/>
    <w:rPr>
      <w:sz w:val="20"/>
      <w:szCs w:val="20"/>
    </w:rPr>
  </w:style>
  <w:style w:type="paragraph" w:customStyle="1" w:styleId="INFOEM">
    <w:name w:val="INFOEM"/>
    <w:basedOn w:val="Normal"/>
    <w:qFormat/>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character" w:customStyle="1" w:styleId="PuestoCar">
    <w:name w:val="Puesto Car"/>
    <w:basedOn w:val="Fuentedeprrafopredeter"/>
    <w:link w:val="Puesto"/>
    <w:qFormat/>
    <w:rPr>
      <w:rFonts w:ascii="Calibri" w:eastAsiaTheme="minorEastAsia" w:hAnsi="Calibri" w:cs="Calibri"/>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9279">
      <w:bodyDiv w:val="1"/>
      <w:marLeft w:val="0"/>
      <w:marRight w:val="0"/>
      <w:marTop w:val="0"/>
      <w:marBottom w:val="0"/>
      <w:divBdr>
        <w:top w:val="none" w:sz="0" w:space="0" w:color="auto"/>
        <w:left w:val="none" w:sz="0" w:space="0" w:color="auto"/>
        <w:bottom w:val="none" w:sz="0" w:space="0" w:color="auto"/>
        <w:right w:val="none" w:sz="0" w:space="0" w:color="auto"/>
      </w:divBdr>
    </w:div>
    <w:div w:id="1669869033">
      <w:bodyDiv w:val="1"/>
      <w:marLeft w:val="0"/>
      <w:marRight w:val="0"/>
      <w:marTop w:val="0"/>
      <w:marBottom w:val="0"/>
      <w:divBdr>
        <w:top w:val="none" w:sz="0" w:space="0" w:color="auto"/>
        <w:left w:val="none" w:sz="0" w:space="0" w:color="auto"/>
        <w:bottom w:val="none" w:sz="0" w:space="0" w:color="auto"/>
        <w:right w:val="none" w:sz="0" w:space="0" w:color="auto"/>
      </w:divBdr>
    </w:div>
    <w:div w:id="1722485410">
      <w:bodyDiv w:val="1"/>
      <w:marLeft w:val="0"/>
      <w:marRight w:val="0"/>
      <w:marTop w:val="0"/>
      <w:marBottom w:val="0"/>
      <w:divBdr>
        <w:top w:val="none" w:sz="0" w:space="0" w:color="auto"/>
        <w:left w:val="none" w:sz="0" w:space="0" w:color="auto"/>
        <w:bottom w:val="none" w:sz="0" w:space="0" w:color="auto"/>
        <w:right w:val="none" w:sz="0" w:space="0" w:color="auto"/>
      </w:divBdr>
    </w:div>
    <w:div w:id="1919746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escarga/2540181/009102025014223334001/688801.page" TargetMode="External"/><Relationship Id="rId13" Type="http://schemas.openxmlformats.org/officeDocument/2006/relationships/hyperlink" Target="https://sarcoem.org.mx/sarcoem/solicitud/downloadAttachOk/2727444.page" TargetMode="External"/><Relationship Id="rId18" Type="http://schemas.openxmlformats.org/officeDocument/2006/relationships/hyperlink" Target="https://sarcoem.org.mx/sarcoem/solicitud/downloadAttachOk/2727449.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rcoem.org.mx/sarcoem/solicitud/downloadAttachOk/2727443.page" TargetMode="External"/><Relationship Id="rId17" Type="http://schemas.openxmlformats.org/officeDocument/2006/relationships/hyperlink" Target="https://sarcoem.org.mx/sarcoem/solicitud/downloadAttachOk/2727448.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rcoem.org.mx/sarcoem/solicitud/downloadAttachOk/2727447.page" TargetMode="External"/><Relationship Id="rId20" Type="http://schemas.openxmlformats.org/officeDocument/2006/relationships/hyperlink" Target="https://sarcoem.org.mx/sarcoem/solicitud/downloadAttachOk/2727451.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rcoem.org.mx/sarcoem/solicitud/downloadAttachOk/2727438.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rcoem.org.mx/sarcoem/solicitud/downloadAttachOk/2727446.page" TargetMode="External"/><Relationship Id="rId23" Type="http://schemas.openxmlformats.org/officeDocument/2006/relationships/header" Target="header2.xml"/><Relationship Id="rId10" Type="http://schemas.openxmlformats.org/officeDocument/2006/relationships/hyperlink" Target="https://sarcoem.org.mx/sarcoem/solicitud/downloadAttach/2555143.page" TargetMode="External"/><Relationship Id="rId19" Type="http://schemas.openxmlformats.org/officeDocument/2006/relationships/hyperlink" Target="https://sarcoem.org.mx/sarcoem/solicitud/downloadAttachOk/2727450.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arcoem.org.mx/sarcoem/solicitud/downloadAttachOk/2727445.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5470</Words>
  <Characters>30085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3</cp:revision>
  <dcterms:created xsi:type="dcterms:W3CDTF">2026-05-25T19:34:00Z</dcterms:created>
  <dcterms:modified xsi:type="dcterms:W3CDTF">2026-05-25T19:44:00Z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615863F5E4E543608D7FC9C72BC863C4_13</vt:lpwstr>
  </property>
</Properties>
</file>