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5232" w:rsidRDefault="00D56692">
      <w:pPr>
        <w:tabs>
          <w:tab w:val="left" w:pos="3465"/>
        </w:tabs>
        <w:spacing w:line="360" w:lineRule="auto"/>
        <w:ind w:right="-1071"/>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Resolución del Pleno del Instituto de Transparencia, Acceso a la Información Pública y Protección de Datos Personales del Estado de México y Municipios, con domicilio en Metepec, Estado de México; </w:t>
      </w:r>
      <w:r>
        <w:rPr>
          <w:rFonts w:ascii="Palatino Linotype" w:eastAsia="Palatino Linotype" w:hAnsi="Palatino Linotype" w:cs="Palatino Linotype"/>
          <w:b/>
          <w:bCs/>
          <w:color w:val="000000"/>
        </w:rPr>
        <w:t>de</w:t>
      </w:r>
      <w:r>
        <w:rPr>
          <w:rFonts w:ascii="Palatino Linotype" w:eastAsia="Palatino Linotype" w:hAnsi="Palatino Linotype" w:cs="Palatino Linotype"/>
          <w:b/>
          <w:bCs/>
        </w:rPr>
        <w:t xml:space="preserve"> fecha</w:t>
      </w:r>
      <w:r>
        <w:rPr>
          <w:rFonts w:ascii="Palatino Linotype" w:eastAsia="Palatino Linotype" w:hAnsi="Palatino Linotype" w:cs="Palatino Linotype"/>
          <w:b/>
          <w:bCs/>
          <w:color w:val="000000"/>
        </w:rPr>
        <w:t xml:space="preserve"> veinte (20) de mayo de dos mil veintiséis. </w:t>
      </w:r>
    </w:p>
    <w:p w:rsidR="006C5232" w:rsidRDefault="006C5232">
      <w:pPr>
        <w:tabs>
          <w:tab w:val="left" w:pos="3465"/>
        </w:tabs>
        <w:spacing w:line="360" w:lineRule="auto"/>
        <w:ind w:right="-1071"/>
        <w:jc w:val="both"/>
        <w:rPr>
          <w:rFonts w:ascii="Palatino Linotype" w:eastAsia="Palatino Linotype" w:hAnsi="Palatino Linotype" w:cs="Palatino Linotype"/>
          <w:color w:val="000000"/>
        </w:rPr>
      </w:pPr>
    </w:p>
    <w:p w:rsidR="006C5232" w:rsidRDefault="00D56692">
      <w:pPr>
        <w:spacing w:line="360" w:lineRule="auto"/>
        <w:ind w:right="-1071"/>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VISTO</w:t>
      </w:r>
      <w:r>
        <w:rPr>
          <w:rFonts w:ascii="Palatino Linotype" w:eastAsia="Palatino Linotype" w:hAnsi="Palatino Linotype" w:cs="Palatino Linotype"/>
          <w:color w:val="000000"/>
        </w:rPr>
        <w:t xml:space="preserve"> el expediente electrónico formado con motivo del recurso de revisión </w:t>
      </w:r>
      <w:r>
        <w:rPr>
          <w:rFonts w:ascii="Palatino Linotype" w:eastAsia="Palatino Linotype" w:hAnsi="Palatino Linotype" w:cs="Palatino Linotype"/>
          <w:b/>
          <w:bCs/>
        </w:rPr>
        <w:t>12153/INFOEM/OP/RR/2025</w:t>
      </w:r>
      <w:r>
        <w:rPr>
          <w:rFonts w:ascii="Palatino Linotype" w:eastAsia="Palatino Linotype" w:hAnsi="Palatino Linotype" w:cs="Palatino Linotype"/>
          <w:color w:val="000000"/>
        </w:rPr>
        <w:t xml:space="preserve">, interpuesto por </w:t>
      </w:r>
      <w:r w:rsidR="00701CFE">
        <w:rPr>
          <w:rFonts w:ascii="Palatino Linotype" w:eastAsia="Palatino Linotype" w:hAnsi="Palatino Linotype" w:cs="Palatino Linotype"/>
          <w:b/>
          <w:bCs/>
          <w:color w:val="000000"/>
        </w:rPr>
        <w:t>XXXX</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en adelante la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rPr>
        <w:t>,</w:t>
      </w:r>
      <w:r>
        <w:rPr>
          <w:rFonts w:ascii="Palatino Linotype" w:eastAsia="Palatino Linotype" w:hAnsi="Palatino Linotype" w:cs="Palatino Linotype"/>
          <w:color w:val="000000"/>
        </w:rPr>
        <w:t xml:space="preserve"> en contra de la respuesta de la</w:t>
      </w:r>
      <w:r>
        <w:rPr>
          <w:rFonts w:ascii="Palatino Linotype" w:eastAsia="Palatino Linotype" w:hAnsi="Palatino Linotype" w:cs="Palatino Linotype"/>
          <w:b/>
          <w:bCs/>
        </w:rPr>
        <w:t xml:space="preserve"> Junta Local de Conciliación y Arbitraje Valle Cuautitlán - Texcoco</w:t>
      </w:r>
      <w:r>
        <w:rPr>
          <w:rFonts w:ascii="Palatino Linotype" w:eastAsia="Palatino Linotype" w:hAnsi="Palatino Linotype" w:cs="Palatino Linotype"/>
          <w:color w:val="000000"/>
        </w:rPr>
        <w:t>, en lo sucesivo el</w:t>
      </w:r>
      <w:r>
        <w:rPr>
          <w:rFonts w:ascii="Palatino Linotype" w:eastAsia="Palatino Linotype" w:hAnsi="Palatino Linotype" w:cs="Palatino Linotype"/>
          <w:b/>
          <w:bCs/>
          <w:color w:val="000000"/>
        </w:rPr>
        <w:t xml:space="preserve"> SUJETO OBLIGADO, </w:t>
      </w:r>
      <w:r>
        <w:rPr>
          <w:rFonts w:ascii="Palatino Linotype" w:eastAsia="Palatino Linotype" w:hAnsi="Palatino Linotype" w:cs="Palatino Linotype"/>
          <w:color w:val="000000"/>
        </w:rPr>
        <w:t>se procede a dictar la presente resolución, con base en los siguientes:</w:t>
      </w:r>
    </w:p>
    <w:p w:rsidR="006C5232" w:rsidRDefault="006C5232">
      <w:pPr>
        <w:spacing w:line="360" w:lineRule="auto"/>
        <w:ind w:right="-1071"/>
        <w:jc w:val="both"/>
        <w:rPr>
          <w:rFonts w:ascii="Palatino Linotype" w:eastAsia="Palatino Linotype" w:hAnsi="Palatino Linotype" w:cs="Palatino Linotype"/>
          <w:color w:val="000000"/>
        </w:rPr>
      </w:pPr>
    </w:p>
    <w:p w:rsidR="006C5232" w:rsidRDefault="00D56692">
      <w:pPr>
        <w:pStyle w:val="Ttulo1"/>
        <w:spacing w:before="0" w:line="360" w:lineRule="auto"/>
        <w:ind w:right="-1071"/>
        <w:jc w:val="center"/>
        <w:rPr>
          <w:b/>
          <w:bCs/>
          <w:color w:val="000000"/>
        </w:rPr>
      </w:pPr>
      <w:bookmarkStart w:id="0" w:name="_heading=h.v1paiafeylbd" w:colFirst="0" w:colLast="0"/>
      <w:bookmarkEnd w:id="0"/>
      <w:r>
        <w:rPr>
          <w:b/>
          <w:bCs/>
          <w:color w:val="000000"/>
        </w:rPr>
        <w:t>A N T E C E D E N T E S</w:t>
      </w:r>
    </w:p>
    <w:p w:rsidR="006C5232" w:rsidRDefault="006C5232">
      <w:pPr>
        <w:ind w:right="-1071"/>
      </w:pPr>
    </w:p>
    <w:p w:rsidR="006C5232" w:rsidRDefault="00D56692">
      <w:pPr>
        <w:numPr>
          <w:ilvl w:val="0"/>
          <w:numId w:val="3"/>
        </w:numPr>
        <w:pBdr>
          <w:top w:val="nil"/>
          <w:left w:val="nil"/>
          <w:bottom w:val="nil"/>
          <w:right w:val="nil"/>
          <w:between w:val="nil"/>
        </w:pBdr>
        <w:tabs>
          <w:tab w:val="left" w:pos="426"/>
        </w:tabs>
        <w:spacing w:line="360" w:lineRule="auto"/>
        <w:ind w:right="-1071"/>
        <w:jc w:val="both"/>
        <w:rPr>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trece de octubre de dos mil veinticinco</w:t>
      </w:r>
      <w:r>
        <w:rPr>
          <w:rFonts w:ascii="Palatino Linotype" w:eastAsia="Palatino Linotype" w:hAnsi="Palatino Linotype" w:cs="Palatino Linotype"/>
          <w:color w:val="000000"/>
        </w:rPr>
        <w:t>, el particular presentó</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a través del </w:t>
      </w:r>
      <w:r>
        <w:rPr>
          <w:rFonts w:ascii="Palatino Linotype" w:eastAsia="Palatino Linotype" w:hAnsi="Palatino Linotype" w:cs="Palatino Linotype"/>
          <w:b/>
          <w:bCs/>
          <w:color w:val="000000"/>
        </w:rPr>
        <w:t>Sistema de Acceso, Rectificación, Cancelación y Oposición de Personales del Estado de México (SARCOEM),</w:t>
      </w:r>
      <w:r>
        <w:rPr>
          <w:rFonts w:ascii="Palatino Linotype" w:eastAsia="Palatino Linotype" w:hAnsi="Palatino Linotype" w:cs="Palatino Linotype"/>
          <w:color w:val="000000"/>
        </w:rPr>
        <w:t xml:space="preserve"> la solicitud de cancelación de datos personales registrada con el número</w:t>
      </w:r>
      <w:r>
        <w:rPr>
          <w:rFonts w:ascii="Palatino Linotype" w:eastAsia="Palatino Linotype" w:hAnsi="Palatino Linotype" w:cs="Palatino Linotype"/>
          <w:b/>
          <w:bCs/>
          <w:color w:val="000000"/>
        </w:rPr>
        <w:t xml:space="preserve"> 00015/JLCACT/OD/2025,</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rPr>
        <w:t>en la que se</w:t>
      </w:r>
      <w:r>
        <w:rPr>
          <w:rFonts w:ascii="Palatino Linotype" w:eastAsia="Palatino Linotype" w:hAnsi="Palatino Linotype" w:cs="Palatino Linotype"/>
          <w:color w:val="000000"/>
        </w:rPr>
        <w:t xml:space="preserve"> requirió lo siguiente:</w:t>
      </w:r>
    </w:p>
    <w:p w:rsidR="006C5232" w:rsidRDefault="006C5232">
      <w:pPr>
        <w:pBdr>
          <w:top w:val="nil"/>
          <w:left w:val="nil"/>
          <w:bottom w:val="nil"/>
          <w:right w:val="nil"/>
          <w:between w:val="nil"/>
        </w:pBdr>
        <w:spacing w:line="360" w:lineRule="auto"/>
        <w:ind w:left="567" w:right="-1071"/>
        <w:jc w:val="both"/>
        <w:rPr>
          <w:rFonts w:ascii="Palatino Linotype" w:eastAsia="Palatino Linotype" w:hAnsi="Palatino Linotype" w:cs="Palatino Linotype"/>
          <w:i/>
          <w:iCs/>
          <w:color w:val="000000"/>
        </w:rPr>
      </w:pPr>
    </w:p>
    <w:p w:rsidR="006C5232" w:rsidRDefault="00D56692">
      <w:pPr>
        <w:pBdr>
          <w:top w:val="nil"/>
          <w:left w:val="nil"/>
          <w:bottom w:val="nil"/>
          <w:right w:val="nil"/>
          <w:between w:val="nil"/>
        </w:pBdr>
        <w:spacing w:line="360" w:lineRule="auto"/>
        <w:ind w:left="567"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“Requiero que se borre o no se permita la consulta, búsqueda o aparición pública de mi nombre, domicilio, teléfono y cualquier otro dato personal publicado en boletín laboral derivado de mi expediente que lleve numero J.9/277/2018” (Sic).</w:t>
      </w:r>
    </w:p>
    <w:p w:rsidR="006C5232" w:rsidRDefault="006C5232">
      <w:pPr>
        <w:pBdr>
          <w:top w:val="nil"/>
          <w:left w:val="nil"/>
          <w:bottom w:val="nil"/>
          <w:right w:val="nil"/>
          <w:between w:val="nil"/>
        </w:pBdr>
        <w:spacing w:line="360" w:lineRule="auto"/>
        <w:ind w:left="567" w:right="-1071"/>
        <w:jc w:val="both"/>
        <w:rPr>
          <w:rFonts w:ascii="Palatino Linotype" w:eastAsia="Palatino Linotype" w:hAnsi="Palatino Linotype" w:cs="Palatino Linotype"/>
          <w:i/>
          <w:iCs/>
          <w:color w:val="000000"/>
        </w:rPr>
      </w:pPr>
    </w:p>
    <w:p w:rsidR="006C5232" w:rsidRDefault="00D56692">
      <w:pPr>
        <w:numPr>
          <w:ilvl w:val="0"/>
          <w:numId w:val="3"/>
        </w:numPr>
        <w:pBdr>
          <w:top w:val="nil"/>
          <w:left w:val="nil"/>
          <w:bottom w:val="nil"/>
          <w:right w:val="nil"/>
          <w:between w:val="nil"/>
        </w:pBdr>
        <w:tabs>
          <w:tab w:val="left" w:pos="426"/>
        </w:tabs>
        <w:spacing w:line="360" w:lineRule="auto"/>
        <w:ind w:right="-1071"/>
        <w:jc w:val="both"/>
        <w:rPr>
          <w:color w:val="000000"/>
        </w:rPr>
      </w:pPr>
      <w:r>
        <w:rPr>
          <w:rFonts w:ascii="Palatino Linotype" w:eastAsia="Palatino Linotype" w:hAnsi="Palatino Linotype" w:cs="Palatino Linotype"/>
          <w:color w:val="000000"/>
        </w:rPr>
        <w:t>El particular manifestó como razones por las cuales se opone al tratamiento de sus datos, las siguientes:</w:t>
      </w:r>
    </w:p>
    <w:p w:rsidR="006C5232" w:rsidRDefault="00D56692">
      <w:pPr>
        <w:pBdr>
          <w:top w:val="nil"/>
          <w:left w:val="nil"/>
          <w:bottom w:val="nil"/>
          <w:right w:val="nil"/>
          <w:between w:val="nil"/>
        </w:pBdr>
        <w:tabs>
          <w:tab w:val="left" w:pos="851"/>
        </w:tabs>
        <w:spacing w:line="360" w:lineRule="auto"/>
        <w:ind w:left="851"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lastRenderedPageBreak/>
        <w:t>“Lo anterior ya que me está causando perjuicio para encontrar de nueva cuenta trabajo al aparecer boletinada y visible en internet, ante publicaciones del boletín laboral, circunstancia que me han estado diciendo cada vez que acudo a pedir trabajo, haciéndome una afectada doblemente derivado del proceso laboral que llevé. Cabe precisarse que ya había presentado mi solicitud con número 0013/JLCACT/OD/2025 y amablemente me habían dicho que ya habían hecho lo necesario para que mi nombre no apareciera en los boletines indicados; sin embargo sigue apareciendo (adjunto captura), al aún estar publicado el boletín de fecha de 13 de marzo de 2019 en el link: https://juntatexcoco.edomex.gob.mx/sites/juntatexcoco.edomex.gob.mx/files/files/13-03-2019.pdf. De igual manera para el de 16 de noviembre de 2018, donde sigue apareciendo mi nombre, tal y como se observa en la captura. Por lo que de nuevo atentamente solicito su cancelación por los motivos aducidos. Gracias.” (sic)</w:t>
      </w:r>
    </w:p>
    <w:p w:rsidR="006C5232" w:rsidRDefault="006C5232">
      <w:pPr>
        <w:pBdr>
          <w:top w:val="nil"/>
          <w:left w:val="nil"/>
          <w:bottom w:val="nil"/>
          <w:right w:val="nil"/>
          <w:between w:val="nil"/>
        </w:pBdr>
        <w:tabs>
          <w:tab w:val="left" w:pos="426"/>
        </w:tabs>
        <w:spacing w:line="360" w:lineRule="auto"/>
        <w:ind w:right="-1071"/>
        <w:jc w:val="both"/>
        <w:rPr>
          <w:rFonts w:ascii="Palatino Linotype" w:eastAsia="Palatino Linotype" w:hAnsi="Palatino Linotype" w:cs="Palatino Linotype"/>
          <w:color w:val="000000"/>
        </w:rPr>
      </w:pPr>
    </w:p>
    <w:p w:rsidR="006C5232" w:rsidRDefault="00D56692">
      <w:pPr>
        <w:numPr>
          <w:ilvl w:val="0"/>
          <w:numId w:val="3"/>
        </w:numPr>
        <w:pBdr>
          <w:top w:val="nil"/>
          <w:left w:val="nil"/>
          <w:bottom w:val="nil"/>
          <w:right w:val="nil"/>
          <w:between w:val="nil"/>
        </w:pBdr>
        <w:tabs>
          <w:tab w:val="left" w:pos="426"/>
        </w:tabs>
        <w:spacing w:line="360" w:lineRule="auto"/>
        <w:ind w:right="-1071"/>
        <w:jc w:val="both"/>
        <w:rPr>
          <w:color w:val="000000"/>
        </w:rPr>
      </w:pPr>
      <w:r>
        <w:rPr>
          <w:rFonts w:ascii="Palatino Linotype" w:eastAsia="Palatino Linotype" w:hAnsi="Palatino Linotype" w:cs="Palatino Linotype"/>
          <w:color w:val="000000"/>
        </w:rPr>
        <w:t xml:space="preserve">A la solicitud se </w:t>
      </w:r>
      <w:r>
        <w:rPr>
          <w:rFonts w:ascii="Palatino Linotype" w:eastAsia="Palatino Linotype" w:hAnsi="Palatino Linotype" w:cs="Palatino Linotype"/>
        </w:rPr>
        <w:t>adjuntan</w:t>
      </w:r>
      <w:r>
        <w:rPr>
          <w:rFonts w:ascii="Palatino Linotype" w:eastAsia="Palatino Linotype" w:hAnsi="Palatino Linotype" w:cs="Palatino Linotype"/>
          <w:color w:val="000000"/>
        </w:rPr>
        <w:t xml:space="preserve"> los archivos que se describen enseguida:</w:t>
      </w:r>
    </w:p>
    <w:p w:rsidR="006C5232" w:rsidRDefault="009E624D">
      <w:pPr>
        <w:numPr>
          <w:ilvl w:val="0"/>
          <w:numId w:val="5"/>
        </w:numPr>
        <w:spacing w:before="280" w:line="360" w:lineRule="auto"/>
        <w:ind w:right="-1071"/>
        <w:rPr>
          <w:rFonts w:ascii="Palatino Linotype" w:eastAsia="Palatino Linotype" w:hAnsi="Palatino Linotype" w:cs="Palatino Linotype"/>
        </w:rPr>
      </w:pPr>
      <w:hyperlink r:id="rId8">
        <w:r w:rsidR="00D56692">
          <w:rPr>
            <w:rFonts w:ascii="Palatino Linotype" w:eastAsia="Palatino Linotype" w:hAnsi="Palatino Linotype" w:cs="Palatino Linotype"/>
            <w:b/>
            <w:bCs/>
            <w:color w:val="000000"/>
            <w:u w:val="single"/>
          </w:rPr>
          <w:t>BRN94DDF829AACE_004642.pdf</w:t>
        </w:r>
      </w:hyperlink>
      <w:r w:rsidR="00D56692">
        <w:rPr>
          <w:rFonts w:ascii="Palatino Linotype" w:eastAsia="Palatino Linotype" w:hAnsi="Palatino Linotype" w:cs="Palatino Linotype"/>
        </w:rPr>
        <w:t>: acuerdo de radicación.</w:t>
      </w:r>
    </w:p>
    <w:p w:rsidR="006C5232" w:rsidRDefault="009E624D">
      <w:pPr>
        <w:numPr>
          <w:ilvl w:val="0"/>
          <w:numId w:val="5"/>
        </w:numPr>
        <w:spacing w:line="360" w:lineRule="auto"/>
        <w:ind w:right="-1071"/>
        <w:rPr>
          <w:rFonts w:ascii="Palatino Linotype" w:eastAsia="Palatino Linotype" w:hAnsi="Palatino Linotype" w:cs="Palatino Linotype"/>
        </w:rPr>
      </w:pPr>
      <w:hyperlink r:id="rId9">
        <w:r w:rsidR="00D56692">
          <w:rPr>
            <w:rFonts w:ascii="Palatino Linotype" w:eastAsia="Palatino Linotype" w:hAnsi="Palatino Linotype" w:cs="Palatino Linotype"/>
            <w:b/>
            <w:bCs/>
            <w:color w:val="000000"/>
            <w:u w:val="single"/>
          </w:rPr>
          <w:t>06-06-2019 (1).pdf</w:t>
        </w:r>
      </w:hyperlink>
      <w:r w:rsidR="00D56692">
        <w:rPr>
          <w:rFonts w:ascii="Palatino Linotype" w:eastAsia="Palatino Linotype" w:hAnsi="Palatino Linotype" w:cs="Palatino Linotype"/>
        </w:rPr>
        <w:t xml:space="preserve">: boletín laboral de la Junta Local de Conciliación y Arbitraje del Valle de Cuautitlán- Texcoco. </w:t>
      </w:r>
    </w:p>
    <w:p w:rsidR="006C5232" w:rsidRDefault="009E624D">
      <w:pPr>
        <w:numPr>
          <w:ilvl w:val="0"/>
          <w:numId w:val="5"/>
        </w:numPr>
        <w:spacing w:line="360" w:lineRule="auto"/>
        <w:ind w:right="-1071"/>
        <w:rPr>
          <w:rFonts w:ascii="Palatino Linotype" w:eastAsia="Palatino Linotype" w:hAnsi="Palatino Linotype" w:cs="Palatino Linotype"/>
        </w:rPr>
      </w:pPr>
      <w:hyperlink r:id="rId10">
        <w:r w:rsidR="00D56692">
          <w:rPr>
            <w:rFonts w:ascii="Palatino Linotype" w:eastAsia="Palatino Linotype" w:hAnsi="Palatino Linotype" w:cs="Palatino Linotype"/>
            <w:b/>
            <w:bCs/>
            <w:color w:val="000000"/>
            <w:u w:val="single"/>
          </w:rPr>
          <w:t>Image_20250819_0001 (1).pdf</w:t>
        </w:r>
      </w:hyperlink>
      <w:r w:rsidR="00D56692">
        <w:rPr>
          <w:rFonts w:ascii="Palatino Linotype" w:eastAsia="Palatino Linotype" w:hAnsi="Palatino Linotype" w:cs="Palatino Linotype"/>
        </w:rPr>
        <w:t xml:space="preserve">: Identificación Oficial emitida por el Instituto Nacional Electoral de la solicitante. </w:t>
      </w:r>
    </w:p>
    <w:p w:rsidR="006C5232" w:rsidRDefault="009E624D">
      <w:pPr>
        <w:numPr>
          <w:ilvl w:val="0"/>
          <w:numId w:val="5"/>
        </w:numPr>
        <w:spacing w:line="360" w:lineRule="auto"/>
        <w:ind w:right="-1071"/>
        <w:rPr>
          <w:rFonts w:ascii="Palatino Linotype" w:eastAsia="Palatino Linotype" w:hAnsi="Palatino Linotype" w:cs="Palatino Linotype"/>
        </w:rPr>
      </w:pPr>
      <w:hyperlink r:id="rId11">
        <w:r w:rsidR="00D56692">
          <w:rPr>
            <w:rFonts w:ascii="Palatino Linotype" w:eastAsia="Palatino Linotype" w:hAnsi="Palatino Linotype" w:cs="Palatino Linotype"/>
            <w:b/>
            <w:bCs/>
            <w:color w:val="000000"/>
            <w:u w:val="single"/>
          </w:rPr>
          <w:t xml:space="preserve">Captura </w:t>
        </w:r>
      </w:hyperlink>
      <w:hyperlink r:id="rId12">
        <w:r w:rsidR="00D56692">
          <w:rPr>
            <w:rFonts w:ascii="Palatino Linotype" w:eastAsia="Palatino Linotype" w:hAnsi="Palatino Linotype" w:cs="Palatino Linotype"/>
            <w:b/>
            <w:bCs/>
            <w:color w:val="000000"/>
            <w:u w:val="single"/>
          </w:rPr>
          <w:t>busqueda</w:t>
        </w:r>
      </w:hyperlink>
      <w:hyperlink r:id="rId13">
        <w:r w:rsidR="00D56692">
          <w:rPr>
            <w:rFonts w:ascii="Palatino Linotype" w:eastAsia="Palatino Linotype" w:hAnsi="Palatino Linotype" w:cs="Palatino Linotype"/>
            <w:b/>
            <w:bCs/>
            <w:color w:val="000000"/>
            <w:u w:val="single"/>
          </w:rPr>
          <w:t xml:space="preserve"> (1).pdf</w:t>
        </w:r>
      </w:hyperlink>
      <w:r w:rsidR="00D56692">
        <w:rPr>
          <w:rFonts w:ascii="Palatino Linotype" w:eastAsia="Palatino Linotype" w:hAnsi="Palatino Linotype" w:cs="Palatino Linotype"/>
        </w:rPr>
        <w:t xml:space="preserve">: imagen de pantalla de la búsqueda de la Recurrente en Internet. </w:t>
      </w:r>
    </w:p>
    <w:p w:rsidR="006C5232" w:rsidRDefault="009E624D">
      <w:pPr>
        <w:numPr>
          <w:ilvl w:val="0"/>
          <w:numId w:val="5"/>
        </w:numPr>
        <w:spacing w:line="360" w:lineRule="auto"/>
        <w:ind w:right="-1071"/>
        <w:rPr>
          <w:rFonts w:ascii="Palatino Linotype" w:eastAsia="Palatino Linotype" w:hAnsi="Palatino Linotype" w:cs="Palatino Linotype"/>
        </w:rPr>
      </w:pPr>
      <w:hyperlink r:id="rId14">
        <w:r w:rsidR="00D56692">
          <w:rPr>
            <w:rFonts w:ascii="Palatino Linotype" w:eastAsia="Palatino Linotype" w:hAnsi="Palatino Linotype" w:cs="Palatino Linotype"/>
            <w:b/>
            <w:bCs/>
            <w:color w:val="000000"/>
            <w:u w:val="single"/>
          </w:rPr>
          <w:t>Captura de pantalla 2025-10-13 132909.png</w:t>
        </w:r>
      </w:hyperlink>
      <w:r w:rsidR="00D56692">
        <w:rPr>
          <w:rFonts w:ascii="Palatino Linotype" w:eastAsia="Palatino Linotype" w:hAnsi="Palatino Linotype" w:cs="Palatino Linotype"/>
        </w:rPr>
        <w:t>: imagen de pantalla de la búsqueda de la Recurrente en Internet.</w:t>
      </w:r>
    </w:p>
    <w:p w:rsidR="006C5232" w:rsidRDefault="009E624D">
      <w:pPr>
        <w:numPr>
          <w:ilvl w:val="0"/>
          <w:numId w:val="5"/>
        </w:numPr>
        <w:spacing w:line="360" w:lineRule="auto"/>
        <w:ind w:right="-1071"/>
        <w:rPr>
          <w:rFonts w:ascii="Palatino Linotype" w:eastAsia="Palatino Linotype" w:hAnsi="Palatino Linotype" w:cs="Palatino Linotype"/>
        </w:rPr>
      </w:pPr>
      <w:hyperlink r:id="rId15">
        <w:r w:rsidR="00D56692">
          <w:rPr>
            <w:rFonts w:ascii="Palatino Linotype" w:eastAsia="Palatino Linotype" w:hAnsi="Palatino Linotype" w:cs="Palatino Linotype"/>
            <w:b/>
            <w:bCs/>
            <w:color w:val="000000"/>
            <w:u w:val="single"/>
          </w:rPr>
          <w:t>Screenshot_20251013_134205_Chrome.jpg</w:t>
        </w:r>
      </w:hyperlink>
      <w:r w:rsidR="00D56692">
        <w:rPr>
          <w:rFonts w:ascii="Palatino Linotype" w:eastAsia="Palatino Linotype" w:hAnsi="Palatino Linotype" w:cs="Palatino Linotype"/>
        </w:rPr>
        <w:t>: imagen de pantalla de la búsqueda de la Recurrente en Internet.</w:t>
      </w:r>
    </w:p>
    <w:p w:rsidR="006C5232" w:rsidRDefault="009E624D">
      <w:pPr>
        <w:numPr>
          <w:ilvl w:val="0"/>
          <w:numId w:val="5"/>
        </w:numPr>
        <w:spacing w:line="360" w:lineRule="auto"/>
        <w:ind w:right="-1071"/>
        <w:rPr>
          <w:rFonts w:ascii="Palatino Linotype" w:eastAsia="Palatino Linotype" w:hAnsi="Palatino Linotype" w:cs="Palatino Linotype"/>
        </w:rPr>
      </w:pPr>
      <w:hyperlink r:id="rId16">
        <w:r w:rsidR="00D56692">
          <w:rPr>
            <w:rFonts w:ascii="Palatino Linotype" w:eastAsia="Palatino Linotype" w:hAnsi="Palatino Linotype" w:cs="Palatino Linotype"/>
            <w:b/>
            <w:bCs/>
            <w:color w:val="000000"/>
            <w:u w:val="single"/>
          </w:rPr>
          <w:t>13-03-2019 (2).pdf</w:t>
        </w:r>
      </w:hyperlink>
      <w:r w:rsidR="00D56692">
        <w:rPr>
          <w:rFonts w:ascii="Palatino Linotype" w:eastAsia="Palatino Linotype" w:hAnsi="Palatino Linotype" w:cs="Palatino Linotype"/>
        </w:rPr>
        <w:t>: boletín laboral de la Junta Local de Conciliación y Arbitraje del Valle de Cuautitlán- Texcoco</w:t>
      </w:r>
    </w:p>
    <w:p w:rsidR="006C5232" w:rsidRDefault="009E624D">
      <w:pPr>
        <w:numPr>
          <w:ilvl w:val="0"/>
          <w:numId w:val="5"/>
        </w:numPr>
        <w:spacing w:after="280" w:line="360" w:lineRule="auto"/>
        <w:ind w:right="-1071"/>
        <w:rPr>
          <w:rFonts w:ascii="Palatino Linotype" w:eastAsia="Palatino Linotype" w:hAnsi="Palatino Linotype" w:cs="Palatino Linotype"/>
        </w:rPr>
      </w:pPr>
      <w:hyperlink r:id="rId17">
        <w:r w:rsidR="00D56692">
          <w:rPr>
            <w:rFonts w:ascii="Palatino Linotype" w:eastAsia="Palatino Linotype" w:hAnsi="Palatino Linotype" w:cs="Palatino Linotype"/>
            <w:b/>
            <w:bCs/>
            <w:color w:val="000000"/>
            <w:u w:val="single"/>
          </w:rPr>
          <w:t>16-11-2018 (1).pdf</w:t>
        </w:r>
      </w:hyperlink>
      <w:r w:rsidR="00D56692">
        <w:rPr>
          <w:rFonts w:ascii="Palatino Linotype" w:eastAsia="Palatino Linotype" w:hAnsi="Palatino Linotype" w:cs="Palatino Linotype"/>
        </w:rPr>
        <w:t>: boletín laboral de la Junta Local de Conciliación y Arbitraje del Valle de Cuautitlán- Texcoco</w:t>
      </w:r>
    </w:p>
    <w:p w:rsidR="006C5232" w:rsidRDefault="00D56692">
      <w:pPr>
        <w:numPr>
          <w:ilvl w:val="0"/>
          <w:numId w:val="3"/>
        </w:numPr>
        <w:pBdr>
          <w:top w:val="nil"/>
          <w:left w:val="nil"/>
          <w:bottom w:val="nil"/>
          <w:right w:val="nil"/>
          <w:between w:val="nil"/>
        </w:pBdr>
        <w:tabs>
          <w:tab w:val="left" w:pos="426"/>
        </w:tabs>
        <w:spacing w:line="360" w:lineRule="auto"/>
        <w:ind w:right="-1071"/>
        <w:jc w:val="both"/>
        <w:rPr>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diecisiete de octubre de dos mil veinticinco</w:t>
      </w:r>
      <w:r>
        <w:rPr>
          <w:rFonts w:ascii="Palatino Linotype" w:eastAsia="Palatino Linotype" w:hAnsi="Palatino Linotype" w:cs="Palatino Linotype"/>
          <w:color w:val="000000"/>
        </w:rPr>
        <w:t>, el Sujeto Obligado entregó respuesta en los siguientes términos:</w:t>
      </w:r>
    </w:p>
    <w:tbl>
      <w:tblPr>
        <w:tblStyle w:val="a"/>
        <w:tblW w:w="8080" w:type="dxa"/>
        <w:jc w:val="center"/>
        <w:tblInd w:w="0" w:type="dxa"/>
        <w:tblLayout w:type="fixed"/>
        <w:tblLook w:val="0400" w:firstRow="0" w:lastRow="0" w:firstColumn="0" w:lastColumn="0" w:noHBand="0" w:noVBand="1"/>
      </w:tblPr>
      <w:tblGrid>
        <w:gridCol w:w="7513"/>
        <w:gridCol w:w="567"/>
      </w:tblGrid>
      <w:tr w:rsidR="006C5232" w:rsidTr="00F16A92">
        <w:trPr>
          <w:gridAfter w:val="1"/>
          <w:wAfter w:w="567" w:type="dxa"/>
          <w:trHeight w:val="289"/>
          <w:jc w:val="center"/>
        </w:trPr>
        <w:tc>
          <w:tcPr>
            <w:tcW w:w="7513" w:type="dxa"/>
            <w:vAlign w:val="center"/>
          </w:tcPr>
          <w:p w:rsidR="006C5232" w:rsidRDefault="00D56692" w:rsidP="00F16A92">
            <w:pPr>
              <w:ind w:right="-851"/>
              <w:jc w:val="right"/>
              <w:rPr>
                <w:rFonts w:ascii="Palatino Linotype" w:eastAsia="Palatino Linotype" w:hAnsi="Palatino Linotype" w:cs="Palatino Linotype"/>
                <w:i/>
                <w:iCs/>
              </w:rPr>
            </w:pPr>
            <w:r>
              <w:rPr>
                <w:rFonts w:ascii="Palatino Linotype" w:eastAsia="Palatino Linotype" w:hAnsi="Palatino Linotype" w:cs="Palatino Linotype"/>
                <w:i/>
                <w:iCs/>
              </w:rPr>
              <w:t>“Metepec, México a 17 de Octubre de 2025</w:t>
            </w:r>
          </w:p>
        </w:tc>
      </w:tr>
      <w:tr w:rsidR="006C5232" w:rsidTr="00F16A92">
        <w:trPr>
          <w:gridAfter w:val="1"/>
          <w:wAfter w:w="567" w:type="dxa"/>
          <w:trHeight w:val="289"/>
          <w:jc w:val="center"/>
        </w:trPr>
        <w:tc>
          <w:tcPr>
            <w:tcW w:w="7513" w:type="dxa"/>
            <w:vAlign w:val="center"/>
          </w:tcPr>
          <w:p w:rsidR="006C5232" w:rsidRDefault="00D56692" w:rsidP="00F16A92">
            <w:pPr>
              <w:ind w:right="-851"/>
              <w:jc w:val="right"/>
              <w:rPr>
                <w:rFonts w:ascii="Palatino Linotype" w:eastAsia="Palatino Linotype" w:hAnsi="Palatino Linotype" w:cs="Palatino Linotype"/>
                <w:i/>
                <w:iCs/>
              </w:rPr>
            </w:pPr>
            <w:r>
              <w:rPr>
                <w:rFonts w:ascii="Palatino Linotype" w:eastAsia="Palatino Linotype" w:hAnsi="Palatino Linotype" w:cs="Palatino Linotype"/>
                <w:i/>
                <w:iCs/>
              </w:rPr>
              <w:t xml:space="preserve">Nombre del solicitante: </w:t>
            </w:r>
            <w:r w:rsidR="00701CFE">
              <w:rPr>
                <w:rFonts w:ascii="Palatino Linotype" w:eastAsia="Palatino Linotype" w:hAnsi="Palatino Linotype" w:cs="Palatino Linotype"/>
                <w:i/>
                <w:iCs/>
              </w:rPr>
              <w:t>XXXX</w:t>
            </w:r>
            <w:r>
              <w:rPr>
                <w:rFonts w:ascii="Palatino Linotype" w:eastAsia="Palatino Linotype" w:hAnsi="Palatino Linotype" w:cs="Palatino Linotype"/>
                <w:i/>
                <w:iCs/>
              </w:rPr>
              <w:t xml:space="preserve"> ENTES</w:t>
            </w:r>
          </w:p>
        </w:tc>
      </w:tr>
      <w:tr w:rsidR="006C5232" w:rsidTr="00F16A92">
        <w:trPr>
          <w:gridAfter w:val="1"/>
          <w:wAfter w:w="567" w:type="dxa"/>
          <w:trHeight w:val="289"/>
          <w:jc w:val="center"/>
        </w:trPr>
        <w:tc>
          <w:tcPr>
            <w:tcW w:w="7513" w:type="dxa"/>
            <w:vAlign w:val="center"/>
          </w:tcPr>
          <w:p w:rsidR="006C5232" w:rsidRDefault="00D56692" w:rsidP="00F16A92">
            <w:pPr>
              <w:ind w:right="-851"/>
              <w:jc w:val="right"/>
              <w:rPr>
                <w:rFonts w:ascii="Palatino Linotype" w:eastAsia="Palatino Linotype" w:hAnsi="Palatino Linotype" w:cs="Palatino Linotype"/>
                <w:i/>
                <w:iCs/>
              </w:rPr>
            </w:pPr>
            <w:r>
              <w:rPr>
                <w:rFonts w:ascii="Palatino Linotype" w:eastAsia="Palatino Linotype" w:hAnsi="Palatino Linotype" w:cs="Palatino Linotype"/>
                <w:i/>
                <w:iCs/>
              </w:rPr>
              <w:t>Folio de la solicitud: 00015/JLCACT/OD/2025</w:t>
            </w:r>
          </w:p>
        </w:tc>
        <w:bookmarkStart w:id="1" w:name="_GoBack"/>
        <w:bookmarkEnd w:id="1"/>
      </w:tr>
      <w:tr w:rsidR="006C5232" w:rsidTr="00F16A92">
        <w:trPr>
          <w:trHeight w:val="144"/>
          <w:jc w:val="center"/>
        </w:trPr>
        <w:tc>
          <w:tcPr>
            <w:tcW w:w="8080" w:type="dxa"/>
            <w:gridSpan w:val="2"/>
            <w:vAlign w:val="center"/>
          </w:tcPr>
          <w:p w:rsidR="006C5232" w:rsidRDefault="006C5232">
            <w:pPr>
              <w:ind w:right="-1071"/>
              <w:jc w:val="center"/>
              <w:rPr>
                <w:rFonts w:ascii="Palatino Linotype" w:eastAsia="Palatino Linotype" w:hAnsi="Palatino Linotype" w:cs="Palatino Linotype"/>
                <w:i/>
                <w:iCs/>
              </w:rPr>
            </w:pPr>
          </w:p>
        </w:tc>
      </w:tr>
      <w:tr w:rsidR="006C5232" w:rsidTr="00F16A92">
        <w:trPr>
          <w:trHeight w:val="363"/>
          <w:jc w:val="center"/>
        </w:trPr>
        <w:tc>
          <w:tcPr>
            <w:tcW w:w="8080" w:type="dxa"/>
            <w:gridSpan w:val="2"/>
            <w:vAlign w:val="center"/>
          </w:tcPr>
          <w:p w:rsidR="006C5232" w:rsidRDefault="006C5232">
            <w:pPr>
              <w:ind w:right="-1071"/>
              <w:rPr>
                <w:rFonts w:ascii="Palatino Linotype" w:eastAsia="Palatino Linotype" w:hAnsi="Palatino Linotype" w:cs="Palatino Linotype"/>
                <w:i/>
                <w:iCs/>
              </w:rPr>
            </w:pPr>
          </w:p>
        </w:tc>
      </w:tr>
      <w:tr w:rsidR="006C5232" w:rsidTr="00F16A92">
        <w:trPr>
          <w:trHeight w:val="144"/>
          <w:jc w:val="center"/>
        </w:trPr>
        <w:tc>
          <w:tcPr>
            <w:tcW w:w="8080" w:type="dxa"/>
            <w:gridSpan w:val="2"/>
            <w:vAlign w:val="center"/>
          </w:tcPr>
          <w:p w:rsidR="006C5232" w:rsidRDefault="00D56692" w:rsidP="00701CFE">
            <w:pPr>
              <w:ind w:right="-107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Al atender la presente solicitud, SARCOEM 00015/JLCACT/OD/2025, se advierte que la promovente </w:t>
            </w:r>
            <w:r w:rsidR="00701CFE">
              <w:rPr>
                <w:rFonts w:ascii="Palatino Linotype" w:eastAsia="Palatino Linotype" w:hAnsi="Palatino Linotype" w:cs="Palatino Linotype"/>
                <w:i/>
                <w:iCs/>
              </w:rPr>
              <w:t>XXXX</w:t>
            </w:r>
            <w:r>
              <w:rPr>
                <w:rFonts w:ascii="Palatino Linotype" w:eastAsia="Palatino Linotype" w:hAnsi="Palatino Linotype" w:cs="Palatino Linotype"/>
                <w:i/>
                <w:iCs/>
              </w:rPr>
              <w:t xml:space="preserve"> previamente ya ha ejercitado el derecho arco de oposición de datos personales, respecto de la publicación de su nombre en el boletín laboral de fecha 13 de marzo de 2019, respecto del expediente laboral J9/277/2018, tramitado ante la Junta Especial Número Nueve de la Local de Conciliación y Arbitraje del Valle Cuautitlán Texcoco, la cual fue debidamente atendida enviando un oficio a la Unidad de Informática, Estadística y Computo, con el fin de suprimir el nombre de la promovente </w:t>
            </w:r>
            <w:r w:rsidR="00701CFE">
              <w:rPr>
                <w:rFonts w:ascii="Palatino Linotype" w:eastAsia="Palatino Linotype" w:hAnsi="Palatino Linotype" w:cs="Palatino Linotype"/>
                <w:i/>
                <w:iCs/>
              </w:rPr>
              <w:t>XXXX</w:t>
            </w:r>
            <w:r>
              <w:rPr>
                <w:rFonts w:ascii="Palatino Linotype" w:eastAsia="Palatino Linotype" w:hAnsi="Palatino Linotype" w:cs="Palatino Linotype"/>
                <w:i/>
                <w:iCs/>
              </w:rPr>
              <w:t xml:space="preserve">, en el boletín previamente mencionado así como en todos aquellos que aparecía el nombre de la promovente, lo cual ya fue debidamente cumplido, situación que se acredita con los boletines laborales que se anexan en formato PDF. En ese sentido toda vez que la solicitud de la </w:t>
            </w:r>
            <w:r w:rsidR="00701CFE">
              <w:rPr>
                <w:rFonts w:ascii="Palatino Linotype" w:eastAsia="Palatino Linotype" w:hAnsi="Palatino Linotype" w:cs="Palatino Linotype"/>
                <w:i/>
                <w:iCs/>
              </w:rPr>
              <w:t>XXXX</w:t>
            </w:r>
            <w:r>
              <w:rPr>
                <w:rFonts w:ascii="Palatino Linotype" w:eastAsia="Palatino Linotype" w:hAnsi="Palatino Linotype" w:cs="Palatino Linotype"/>
                <w:i/>
                <w:iCs/>
              </w:rPr>
              <w:t xml:space="preserve"> ya fue atendida previamente únicamente se hace su conocimiento que la limpieza de archivos temporales o caché, que se generan en las bases de datos de los motores de búsqueda, puede tardar algunos días posteriores a la acción propia de respuesta a las solicitudes de derechos ARCO, por parte del sujeto obligado, por lo que la solicitante deberá actualizar los motores de búsqueda en los cuales consulte la información. Así mismo se informa que no es posible para el sujeto obligado conocer las políticas internas que las empresas de los motores de búsqueda poseen para realizar sus limpiezas periódicas del caché de sus sistemas de bases de datos. En este sentido, es responsabilidad de las empresas o terceros particulares propietarios o administradores de dichos motores de búsqueda, en el uso de datos </w:t>
            </w:r>
            <w:r>
              <w:rPr>
                <w:rFonts w:ascii="Palatino Linotype" w:eastAsia="Palatino Linotype" w:hAnsi="Palatino Linotype" w:cs="Palatino Linotype"/>
                <w:i/>
                <w:iCs/>
              </w:rPr>
              <w:lastRenderedPageBreak/>
              <w:t xml:space="preserve">personales en posesión de particulares, en la utilización de información, ajena a las funciones sustantivas de este sujeto obligado y fuera de su jurisdicción. Se solicita a los ciudadanos solicitantes de derechos ARCO, que en caso continuar visualizando en un tiempo razonable sus datos personales, se pongan en contacto directamente con las empresas de motores de búsqueda, para que éstas realicen la limpieza de sus cachés de sus bases de datos. En otro orden de ideas, se le reitera a la solicitante que en caso de continuar en trámite el expediente J9/277/2018, deberá presentarse directamente en la Junta Especial Número Nueve de la Local de Conciliación y Arbitraje del Valle Cuautitlán Texcoco, ubicada en: Av. La Súper No. 29, Col. Centro Urbano. C.P. 54700, Cuautitlán Izcalli, Estado de México, y previa acreditación de su personalidad en términos de lo dispuesto por el artículo 692 de la Ley Federal del Trabajo, solicite ante dicha autoridad mediante promoción o comparecencia la supresión de sus datos personales en el expediente a efecto de que dejen de publicarse sus datos personales en boletines laborales subsecuentes. Por otro lado al analizar la liga https://juntatexcoco.edomex.gob.mx/sites/juntatexcoco.edomex.gob.mx/files/files/13-03-2019.pdf que agrega a su solicitud se advierte que la misma ya no se encuentra disponible en la página de este sujeto obligado. Por último y afecto de atender integralmente la presente solicitud se procedió a realizar una búsqueda de los datos personales de la promovente en diversos buscadores como los son Google, Firefox y Bing, resultando que en ninguno de ellos aparece información de la </w:t>
            </w:r>
            <w:r w:rsidR="00701CFE">
              <w:rPr>
                <w:rFonts w:ascii="Palatino Linotype" w:eastAsia="Palatino Linotype" w:hAnsi="Palatino Linotype" w:cs="Palatino Linotype"/>
                <w:i/>
                <w:iCs/>
              </w:rPr>
              <w:t>XXXX</w:t>
            </w:r>
            <w:r>
              <w:rPr>
                <w:rFonts w:ascii="Palatino Linotype" w:eastAsia="Palatino Linotype" w:hAnsi="Palatino Linotype" w:cs="Palatino Linotype"/>
                <w:i/>
                <w:iCs/>
              </w:rPr>
              <w:t xml:space="preserve">  publicada por este sujeto obligado.-</w:t>
            </w:r>
          </w:p>
        </w:tc>
      </w:tr>
      <w:tr w:rsidR="006C5232" w:rsidTr="00F16A92">
        <w:trPr>
          <w:trHeight w:val="363"/>
          <w:jc w:val="center"/>
        </w:trPr>
        <w:tc>
          <w:tcPr>
            <w:tcW w:w="8080" w:type="dxa"/>
            <w:gridSpan w:val="2"/>
            <w:vAlign w:val="center"/>
          </w:tcPr>
          <w:p w:rsidR="006C5232" w:rsidRDefault="006C5232">
            <w:pPr>
              <w:ind w:right="-1071"/>
              <w:rPr>
                <w:rFonts w:ascii="Palatino Linotype" w:eastAsia="Palatino Linotype" w:hAnsi="Palatino Linotype" w:cs="Palatino Linotype"/>
                <w:i/>
                <w:iCs/>
              </w:rPr>
            </w:pPr>
          </w:p>
        </w:tc>
      </w:tr>
      <w:tr w:rsidR="006C5232" w:rsidTr="00F16A92">
        <w:trPr>
          <w:trHeight w:val="144"/>
          <w:jc w:val="center"/>
        </w:trPr>
        <w:tc>
          <w:tcPr>
            <w:tcW w:w="8080" w:type="dxa"/>
            <w:gridSpan w:val="2"/>
            <w:vAlign w:val="center"/>
          </w:tcPr>
          <w:p w:rsidR="006C5232" w:rsidRDefault="006C5232">
            <w:pPr>
              <w:ind w:right="-1071"/>
              <w:jc w:val="center"/>
              <w:rPr>
                <w:rFonts w:ascii="Palatino Linotype" w:eastAsia="Palatino Linotype" w:hAnsi="Palatino Linotype" w:cs="Palatino Linotype"/>
                <w:i/>
                <w:iCs/>
              </w:rPr>
            </w:pPr>
          </w:p>
        </w:tc>
      </w:tr>
      <w:tr w:rsidR="006C5232" w:rsidTr="00F16A92">
        <w:trPr>
          <w:trHeight w:val="144"/>
          <w:jc w:val="center"/>
        </w:trPr>
        <w:tc>
          <w:tcPr>
            <w:tcW w:w="8080" w:type="dxa"/>
            <w:gridSpan w:val="2"/>
            <w:vAlign w:val="center"/>
          </w:tcPr>
          <w:p w:rsidR="006C5232" w:rsidRDefault="006C5232">
            <w:pPr>
              <w:ind w:right="-1071"/>
              <w:rPr>
                <w:rFonts w:ascii="Palatino Linotype" w:eastAsia="Palatino Linotype" w:hAnsi="Palatino Linotype" w:cs="Palatino Linotype"/>
                <w:i/>
                <w:iCs/>
              </w:rPr>
            </w:pPr>
          </w:p>
        </w:tc>
      </w:tr>
      <w:tr w:rsidR="006C5232" w:rsidTr="00F16A92">
        <w:trPr>
          <w:trHeight w:val="144"/>
          <w:jc w:val="center"/>
        </w:trPr>
        <w:tc>
          <w:tcPr>
            <w:tcW w:w="8080" w:type="dxa"/>
            <w:gridSpan w:val="2"/>
            <w:vAlign w:val="center"/>
          </w:tcPr>
          <w:p w:rsidR="006C5232" w:rsidRDefault="00D56692">
            <w:pPr>
              <w:ind w:right="-1071"/>
              <w:rPr>
                <w:rFonts w:ascii="Palatino Linotype" w:eastAsia="Palatino Linotype" w:hAnsi="Palatino Linotype" w:cs="Palatino Linotype"/>
                <w:i/>
                <w:iCs/>
              </w:rPr>
            </w:pPr>
            <w:r>
              <w:rPr>
                <w:rFonts w:ascii="Palatino Linotype" w:eastAsia="Palatino Linotype" w:hAnsi="Palatino Linotype" w:cs="Palatino Linotype"/>
                <w:i/>
                <w:iCs/>
              </w:rPr>
              <w:t>ATENTAMENTE</w:t>
            </w:r>
          </w:p>
        </w:tc>
      </w:tr>
      <w:tr w:rsidR="006C5232" w:rsidTr="00F16A92">
        <w:trPr>
          <w:trHeight w:val="217"/>
          <w:jc w:val="center"/>
        </w:trPr>
        <w:tc>
          <w:tcPr>
            <w:tcW w:w="8080" w:type="dxa"/>
            <w:gridSpan w:val="2"/>
            <w:vAlign w:val="center"/>
          </w:tcPr>
          <w:p w:rsidR="006C5232" w:rsidRDefault="006C5232">
            <w:pPr>
              <w:ind w:right="-1071"/>
              <w:rPr>
                <w:rFonts w:ascii="Palatino Linotype" w:eastAsia="Palatino Linotype" w:hAnsi="Palatino Linotype" w:cs="Palatino Linotype"/>
                <w:i/>
                <w:iCs/>
              </w:rPr>
            </w:pPr>
          </w:p>
        </w:tc>
      </w:tr>
      <w:tr w:rsidR="006C5232" w:rsidTr="00F16A92">
        <w:trPr>
          <w:trHeight w:val="144"/>
          <w:jc w:val="center"/>
        </w:trPr>
        <w:tc>
          <w:tcPr>
            <w:tcW w:w="8080" w:type="dxa"/>
            <w:gridSpan w:val="2"/>
            <w:vAlign w:val="center"/>
          </w:tcPr>
          <w:p w:rsidR="006C5232" w:rsidRDefault="00D56692">
            <w:pPr>
              <w:ind w:right="-1071"/>
              <w:rPr>
                <w:rFonts w:ascii="Palatino Linotype" w:eastAsia="Palatino Linotype" w:hAnsi="Palatino Linotype" w:cs="Palatino Linotype"/>
                <w:i/>
                <w:iCs/>
              </w:rPr>
            </w:pPr>
            <w:r>
              <w:rPr>
                <w:rFonts w:ascii="Palatino Linotype" w:eastAsia="Palatino Linotype" w:hAnsi="Palatino Linotype" w:cs="Palatino Linotype"/>
                <w:i/>
                <w:iCs/>
              </w:rPr>
              <w:t>M. en D. Erika Gabriela Esmeralda Ledesma Chávez Nava”</w:t>
            </w:r>
          </w:p>
        </w:tc>
      </w:tr>
    </w:tbl>
    <w:p w:rsidR="006C5232" w:rsidRDefault="006C5232">
      <w:pPr>
        <w:pBdr>
          <w:top w:val="nil"/>
          <w:left w:val="nil"/>
          <w:bottom w:val="nil"/>
          <w:right w:val="nil"/>
          <w:between w:val="nil"/>
        </w:pBdr>
        <w:tabs>
          <w:tab w:val="left" w:pos="426"/>
        </w:tabs>
        <w:spacing w:line="360" w:lineRule="auto"/>
        <w:ind w:right="-1071"/>
        <w:jc w:val="both"/>
        <w:rPr>
          <w:rFonts w:ascii="Palatino Linotype" w:eastAsia="Palatino Linotype" w:hAnsi="Palatino Linotype" w:cs="Palatino Linotype"/>
          <w:color w:val="000000"/>
        </w:rPr>
      </w:pPr>
    </w:p>
    <w:p w:rsidR="009E0079" w:rsidRDefault="009E0079">
      <w:pPr>
        <w:pBdr>
          <w:top w:val="nil"/>
          <w:left w:val="nil"/>
          <w:bottom w:val="nil"/>
          <w:right w:val="nil"/>
          <w:between w:val="nil"/>
        </w:pBdr>
        <w:tabs>
          <w:tab w:val="left" w:pos="426"/>
        </w:tabs>
        <w:spacing w:line="360" w:lineRule="auto"/>
        <w:ind w:right="-1071"/>
        <w:jc w:val="both"/>
        <w:rPr>
          <w:rFonts w:ascii="Palatino Linotype" w:eastAsia="Palatino Linotype" w:hAnsi="Palatino Linotype" w:cs="Palatino Linotype"/>
          <w:color w:val="000000"/>
        </w:rPr>
      </w:pPr>
    </w:p>
    <w:p w:rsidR="006C5232" w:rsidRDefault="00D56692">
      <w:pPr>
        <w:numPr>
          <w:ilvl w:val="0"/>
          <w:numId w:val="3"/>
        </w:numPr>
        <w:pBdr>
          <w:top w:val="nil"/>
          <w:left w:val="nil"/>
          <w:bottom w:val="nil"/>
          <w:right w:val="nil"/>
          <w:between w:val="nil"/>
        </w:pBdr>
        <w:tabs>
          <w:tab w:val="left" w:pos="426"/>
        </w:tabs>
        <w:spacing w:line="360" w:lineRule="auto"/>
        <w:ind w:right="-1071"/>
        <w:jc w:val="both"/>
        <w:rPr>
          <w:color w:val="000000"/>
        </w:rPr>
      </w:pPr>
      <w:r>
        <w:rPr>
          <w:rFonts w:ascii="Palatino Linotype" w:eastAsia="Palatino Linotype" w:hAnsi="Palatino Linotype" w:cs="Palatino Linotype"/>
          <w:color w:val="000000"/>
        </w:rPr>
        <w:t xml:space="preserve">El Sujeto Obligado adjuntó el documento electrónico denominado </w:t>
      </w:r>
      <w:hyperlink r:id="rId18">
        <w:r>
          <w:rPr>
            <w:rFonts w:ascii="Palatino Linotype" w:eastAsia="Palatino Linotype" w:hAnsi="Palatino Linotype" w:cs="Palatino Linotype"/>
            <w:b/>
            <w:bCs/>
            <w:i/>
            <w:iCs/>
            <w:color w:val="0563C1"/>
            <w:u w:val="single"/>
          </w:rPr>
          <w:t xml:space="preserve">SOLICITUD </w:t>
        </w:r>
      </w:hyperlink>
      <w:hyperlink r:id="rId19">
        <w:r>
          <w:rPr>
            <w:rFonts w:ascii="Palatino Linotype" w:eastAsia="Palatino Linotype" w:hAnsi="Palatino Linotype" w:cs="Palatino Linotype"/>
            <w:b/>
            <w:bCs/>
            <w:i/>
            <w:iCs/>
            <w:color w:val="0563C1"/>
            <w:u w:val="single"/>
          </w:rPr>
          <w:t>SARCOEM</w:t>
        </w:r>
      </w:hyperlink>
      <w:hyperlink r:id="rId20">
        <w:r>
          <w:rPr>
            <w:rFonts w:ascii="Palatino Linotype" w:eastAsia="Palatino Linotype" w:hAnsi="Palatino Linotype" w:cs="Palatino Linotype"/>
            <w:b/>
            <w:bCs/>
            <w:i/>
            <w:iCs/>
            <w:color w:val="0563C1"/>
            <w:u w:val="single"/>
          </w:rPr>
          <w:t xml:space="preserve"> 19-2025.pdf</w:t>
        </w:r>
      </w:hyperlink>
      <w:r>
        <w:rPr>
          <w:rFonts w:ascii="Palatino Linotype" w:eastAsia="Palatino Linotype" w:hAnsi="Palatino Linotype" w:cs="Palatino Linotype"/>
          <w:b/>
          <w:bCs/>
          <w:i/>
          <w:iCs/>
          <w:color w:val="000000"/>
        </w:rPr>
        <w:t xml:space="preserve">, </w:t>
      </w:r>
      <w:r>
        <w:rPr>
          <w:rFonts w:ascii="Palatino Linotype" w:eastAsia="Palatino Linotype" w:hAnsi="Palatino Linotype" w:cs="Palatino Linotype"/>
          <w:color w:val="000000"/>
        </w:rPr>
        <w:t xml:space="preserve">en el que se </w:t>
      </w:r>
      <w:r>
        <w:rPr>
          <w:rFonts w:ascii="Palatino Linotype" w:eastAsia="Palatino Linotype" w:hAnsi="Palatino Linotype" w:cs="Palatino Linotype"/>
        </w:rPr>
        <w:t>adjuntan</w:t>
      </w:r>
      <w:r>
        <w:rPr>
          <w:rFonts w:ascii="Palatino Linotype" w:eastAsia="Palatino Linotype" w:hAnsi="Palatino Linotype" w:cs="Palatino Linotype"/>
          <w:color w:val="000000"/>
        </w:rPr>
        <w:t xml:space="preserve"> diversos documentos que de forma medular, señalan que ya se llevó a cabo la cancelación del nombre de la solicitante en los boletines laborales. </w:t>
      </w:r>
    </w:p>
    <w:p w:rsidR="006C5232" w:rsidRDefault="006C5232">
      <w:pPr>
        <w:pBdr>
          <w:top w:val="nil"/>
          <w:left w:val="nil"/>
          <w:bottom w:val="nil"/>
          <w:right w:val="nil"/>
          <w:between w:val="nil"/>
        </w:pBdr>
        <w:tabs>
          <w:tab w:val="left" w:pos="426"/>
        </w:tabs>
        <w:spacing w:line="360" w:lineRule="auto"/>
        <w:ind w:right="-1071"/>
        <w:jc w:val="both"/>
        <w:rPr>
          <w:rFonts w:ascii="Palatino Linotype" w:eastAsia="Palatino Linotype" w:hAnsi="Palatino Linotype" w:cs="Palatino Linotype"/>
          <w:color w:val="000000"/>
        </w:rPr>
      </w:pPr>
    </w:p>
    <w:p w:rsidR="006C5232" w:rsidRDefault="00D56692">
      <w:pPr>
        <w:numPr>
          <w:ilvl w:val="0"/>
          <w:numId w:val="3"/>
        </w:numPr>
        <w:pBdr>
          <w:top w:val="nil"/>
          <w:left w:val="nil"/>
          <w:bottom w:val="nil"/>
          <w:right w:val="nil"/>
          <w:between w:val="nil"/>
        </w:pBdr>
        <w:tabs>
          <w:tab w:val="left" w:pos="426"/>
        </w:tabs>
        <w:spacing w:line="360" w:lineRule="auto"/>
        <w:ind w:right="-1071"/>
        <w:jc w:val="both"/>
        <w:rPr>
          <w:color w:val="000000"/>
        </w:rPr>
      </w:pPr>
      <w:r>
        <w:rPr>
          <w:rFonts w:ascii="Palatino Linotype" w:eastAsia="Palatino Linotype" w:hAnsi="Palatino Linotype" w:cs="Palatino Linotype"/>
          <w:color w:val="000000"/>
        </w:rPr>
        <w:lastRenderedPageBreak/>
        <w:t xml:space="preserve">El </w:t>
      </w:r>
      <w:r>
        <w:rPr>
          <w:rFonts w:ascii="Palatino Linotype" w:eastAsia="Palatino Linotype" w:hAnsi="Palatino Linotype" w:cs="Palatino Linotype"/>
          <w:b/>
          <w:bCs/>
          <w:color w:val="000000"/>
        </w:rPr>
        <w:t>veintitrés de octubre de dos mil veinticinco,</w:t>
      </w:r>
      <w:r>
        <w:rPr>
          <w:rFonts w:ascii="Palatino Linotype" w:eastAsia="Palatino Linotype" w:hAnsi="Palatino Linotype" w:cs="Palatino Linotype"/>
          <w:color w:val="000000"/>
        </w:rPr>
        <w:t xml:space="preserve"> derivado de la respuesta emitida por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el particular interpuso el recurso de revisión </w:t>
      </w:r>
      <w:r>
        <w:rPr>
          <w:rFonts w:ascii="Palatino Linotype" w:eastAsia="Palatino Linotype" w:hAnsi="Palatino Linotype" w:cs="Palatino Linotype"/>
          <w:b/>
          <w:bCs/>
          <w:color w:val="000000"/>
        </w:rPr>
        <w:t>12153/INFOEM/OD/RR/2022;</w:t>
      </w:r>
      <w:r>
        <w:rPr>
          <w:rFonts w:ascii="Palatino Linotype" w:eastAsia="Palatino Linotype" w:hAnsi="Palatino Linotype" w:cs="Palatino Linotype"/>
          <w:color w:val="000000"/>
        </w:rPr>
        <w:t xml:space="preserve"> impugnación en la que refirió lo siguiente:</w:t>
      </w:r>
    </w:p>
    <w:p w:rsidR="006C5232" w:rsidRDefault="006C5232">
      <w:pPr>
        <w:pBdr>
          <w:top w:val="nil"/>
          <w:left w:val="nil"/>
          <w:bottom w:val="nil"/>
          <w:right w:val="nil"/>
          <w:between w:val="nil"/>
        </w:pBdr>
        <w:tabs>
          <w:tab w:val="left" w:pos="426"/>
        </w:tabs>
        <w:spacing w:line="360" w:lineRule="auto"/>
        <w:ind w:right="-1071"/>
        <w:jc w:val="both"/>
        <w:rPr>
          <w:rFonts w:ascii="Palatino Linotype" w:eastAsia="Palatino Linotype" w:hAnsi="Palatino Linotype" w:cs="Palatino Linotype"/>
          <w:color w:val="000000"/>
        </w:rPr>
      </w:pPr>
    </w:p>
    <w:p w:rsidR="006C5232" w:rsidRDefault="00D56692">
      <w:pPr>
        <w:numPr>
          <w:ilvl w:val="0"/>
          <w:numId w:val="2"/>
        </w:numPr>
        <w:pBdr>
          <w:top w:val="nil"/>
          <w:left w:val="nil"/>
          <w:bottom w:val="nil"/>
          <w:right w:val="nil"/>
          <w:between w:val="nil"/>
        </w:pBdr>
        <w:tabs>
          <w:tab w:val="left" w:pos="426"/>
        </w:tabs>
        <w:spacing w:line="360" w:lineRule="auto"/>
        <w:ind w:left="425" w:right="-504"/>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Acto impugnado:</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i/>
          <w:iCs/>
          <w:color w:val="000000"/>
        </w:rPr>
        <w:t>Siguen apareciendo mis datos personales”</w:t>
      </w:r>
      <w:r>
        <w:rPr>
          <w:rFonts w:ascii="Palatino Linotype" w:eastAsia="Palatino Linotype" w:hAnsi="Palatino Linotype" w:cs="Palatino Linotype"/>
          <w:color w:val="000000"/>
        </w:rPr>
        <w:t xml:space="preserve"> (Sic).</w:t>
      </w:r>
    </w:p>
    <w:p w:rsidR="006C5232" w:rsidRDefault="006C5232">
      <w:pPr>
        <w:pBdr>
          <w:top w:val="nil"/>
          <w:left w:val="nil"/>
          <w:bottom w:val="nil"/>
          <w:right w:val="nil"/>
          <w:between w:val="nil"/>
        </w:pBdr>
        <w:tabs>
          <w:tab w:val="left" w:pos="426"/>
        </w:tabs>
        <w:spacing w:line="360" w:lineRule="auto"/>
        <w:ind w:left="425" w:right="-504" w:hanging="360"/>
        <w:jc w:val="both"/>
        <w:rPr>
          <w:rFonts w:ascii="Palatino Linotype" w:eastAsia="Palatino Linotype" w:hAnsi="Palatino Linotype" w:cs="Palatino Linotype"/>
          <w:color w:val="000000"/>
        </w:rPr>
      </w:pPr>
    </w:p>
    <w:p w:rsidR="006C5232" w:rsidRDefault="00D56692">
      <w:pPr>
        <w:numPr>
          <w:ilvl w:val="0"/>
          <w:numId w:val="1"/>
        </w:numPr>
        <w:pBdr>
          <w:top w:val="nil"/>
          <w:left w:val="nil"/>
          <w:bottom w:val="nil"/>
          <w:right w:val="nil"/>
          <w:between w:val="nil"/>
        </w:pBdr>
        <w:tabs>
          <w:tab w:val="left" w:pos="426"/>
        </w:tabs>
        <w:spacing w:line="360" w:lineRule="auto"/>
        <w:ind w:left="425" w:right="-504"/>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Motivos o razones de inconformidad:</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i/>
          <w:iCs/>
          <w:color w:val="000000"/>
        </w:rPr>
        <w:t>“Al consultarse los boletines laborales en los que aparezco, sigue apareciendo en todos los buscadores los boletines laborales de 13 de marzo de 2019 y 16 de noviembre de 2018. De igual manera, adjunto capturas. Basta con hacer la búsqueda en cualquier buscador de internet de la siguiente forma "</w:t>
      </w:r>
      <w:r w:rsidR="00701CFE">
        <w:rPr>
          <w:rFonts w:ascii="Palatino Linotype" w:eastAsia="Palatino Linotype" w:hAnsi="Palatino Linotype" w:cs="Palatino Linotype"/>
          <w:i/>
          <w:iCs/>
          <w:color w:val="000000"/>
        </w:rPr>
        <w:t xml:space="preserve">XXXX </w:t>
      </w:r>
      <w:r>
        <w:rPr>
          <w:rFonts w:ascii="Palatino Linotype" w:eastAsia="Palatino Linotype" w:hAnsi="Palatino Linotype" w:cs="Palatino Linotype"/>
          <w:i/>
          <w:iCs/>
          <w:color w:val="000000"/>
        </w:rPr>
        <w:t xml:space="preserve"> boletín laboral 2018 2019" o "</w:t>
      </w:r>
      <w:r w:rsidR="00701CFE">
        <w:rPr>
          <w:rFonts w:ascii="Palatino Linotype" w:eastAsia="Palatino Linotype" w:hAnsi="Palatino Linotype" w:cs="Palatino Linotype"/>
          <w:i/>
          <w:iCs/>
          <w:color w:val="000000"/>
        </w:rPr>
        <w:t>XXXX</w:t>
      </w:r>
      <w:r>
        <w:rPr>
          <w:rFonts w:ascii="Palatino Linotype" w:eastAsia="Palatino Linotype" w:hAnsi="Palatino Linotype" w:cs="Palatino Linotype"/>
          <w:i/>
          <w:iCs/>
          <w:color w:val="000000"/>
        </w:rPr>
        <w:t xml:space="preserve"> boletin laboral 2018 2019" "</w:t>
      </w:r>
      <w:r w:rsidR="00701CFE">
        <w:rPr>
          <w:rFonts w:ascii="Palatino Linotype" w:eastAsia="Palatino Linotype" w:hAnsi="Palatino Linotype" w:cs="Palatino Linotype"/>
          <w:i/>
          <w:iCs/>
          <w:color w:val="000000"/>
        </w:rPr>
        <w:t>XXXX</w:t>
      </w:r>
      <w:r>
        <w:rPr>
          <w:rFonts w:ascii="Palatino Linotype" w:eastAsia="Palatino Linotype" w:hAnsi="Palatino Linotype" w:cs="Palatino Linotype"/>
          <w:i/>
          <w:iCs/>
          <w:color w:val="000000"/>
        </w:rPr>
        <w:t xml:space="preserve"> boletín laboral", etc. Las ligas son: https://juntatexcoco.edomex.gob.mx/sites/juntatexcoco.edomex.gob.mx/files/files/16-11-2018.pdf https://juntatexcoco.edomex.gob.mx/sites/juntatexcoco.edomex.gob.mx/files/files/13-03-2019.pdf https://juntatexcoco.edomex.gob.mx/sites/juntatexcoco.edomex.gob.mx/files/files/16-11-2018.pdf?utm_source=chatgpt.com https://juntatexcoco.edomex.gob.mx/sites/juntatexcoco.edomex.gob.mx/files/files/13-03-2019.pdf?utm_source=chatgpt.com Considero que si los resultados siguen apareciendo tanto en inteligencia artificial como en buscadores de internet convencionales es porque sigue estando disponible la publicación por parte del sujeto obligado, ya que es de la misma de donde se extrae la información, y no así de búsquedas antiguas o de cookies. Puede hacerse el ejercicio en cualquier momento y dirige al sitio electrónico oficial del la Junta Local en comento en todos los casos. https://chatgpt.com/share/68fa806b-a7dc-8012-a220-e2684bb1f001”</w:t>
      </w:r>
    </w:p>
    <w:p w:rsidR="006C5232" w:rsidRDefault="006C5232">
      <w:pPr>
        <w:pBdr>
          <w:top w:val="nil"/>
          <w:left w:val="nil"/>
          <w:bottom w:val="nil"/>
          <w:right w:val="nil"/>
          <w:between w:val="nil"/>
        </w:pBdr>
        <w:tabs>
          <w:tab w:val="left" w:pos="426"/>
        </w:tabs>
        <w:spacing w:line="360" w:lineRule="auto"/>
        <w:ind w:left="1004" w:right="-1071"/>
        <w:jc w:val="both"/>
        <w:rPr>
          <w:rFonts w:ascii="Palatino Linotype" w:eastAsia="Palatino Linotype" w:hAnsi="Palatino Linotype" w:cs="Palatino Linotype"/>
          <w:color w:val="000000"/>
        </w:rPr>
      </w:pPr>
    </w:p>
    <w:p w:rsidR="006C5232" w:rsidRDefault="00D56692">
      <w:pPr>
        <w:numPr>
          <w:ilvl w:val="0"/>
          <w:numId w:val="6"/>
        </w:numPr>
        <w:pBdr>
          <w:top w:val="nil"/>
          <w:left w:val="nil"/>
          <w:bottom w:val="nil"/>
          <w:right w:val="nil"/>
          <w:between w:val="nil"/>
        </w:pBdr>
        <w:tabs>
          <w:tab w:val="left" w:pos="426"/>
        </w:tabs>
        <w:spacing w:line="360" w:lineRule="auto"/>
        <w:ind w:right="-107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 la interposición del recurso de revisión adjuntó los documentos </w:t>
      </w:r>
      <w:r>
        <w:rPr>
          <w:rFonts w:ascii="Palatino Linotype" w:eastAsia="Palatino Linotype" w:hAnsi="Palatino Linotype" w:cs="Palatino Linotype"/>
          <w:color w:val="000000"/>
        </w:rPr>
        <w:tab/>
        <w:t>que se describen enseguida:</w:t>
      </w:r>
    </w:p>
    <w:p w:rsidR="006C5232" w:rsidRDefault="006C5232">
      <w:pPr>
        <w:pBdr>
          <w:top w:val="nil"/>
          <w:left w:val="nil"/>
          <w:bottom w:val="nil"/>
          <w:right w:val="nil"/>
          <w:between w:val="nil"/>
        </w:pBdr>
        <w:tabs>
          <w:tab w:val="left" w:pos="426"/>
        </w:tabs>
        <w:spacing w:line="360" w:lineRule="auto"/>
        <w:ind w:left="720" w:right="-1071"/>
        <w:jc w:val="both"/>
        <w:rPr>
          <w:rFonts w:ascii="Palatino Linotype" w:eastAsia="Palatino Linotype" w:hAnsi="Palatino Linotype" w:cs="Palatino Linotype"/>
          <w:color w:val="000000"/>
        </w:rPr>
      </w:pPr>
    </w:p>
    <w:p w:rsidR="006C5232" w:rsidRDefault="009E624D">
      <w:pPr>
        <w:numPr>
          <w:ilvl w:val="1"/>
          <w:numId w:val="7"/>
        </w:numPr>
        <w:pBdr>
          <w:top w:val="nil"/>
          <w:left w:val="nil"/>
          <w:bottom w:val="nil"/>
          <w:right w:val="nil"/>
          <w:between w:val="nil"/>
        </w:pBdr>
        <w:spacing w:line="360" w:lineRule="auto"/>
        <w:ind w:left="851" w:right="-1071" w:firstLine="0"/>
        <w:rPr>
          <w:rFonts w:ascii="Palatino Linotype" w:eastAsia="Palatino Linotype" w:hAnsi="Palatino Linotype" w:cs="Palatino Linotype"/>
          <w:color w:val="000000"/>
        </w:rPr>
      </w:pPr>
      <w:hyperlink r:id="rId21">
        <w:r w:rsidR="00D56692">
          <w:rPr>
            <w:rFonts w:ascii="Palatino Linotype" w:eastAsia="Palatino Linotype" w:hAnsi="Palatino Linotype" w:cs="Palatino Linotype"/>
            <w:b/>
            <w:bCs/>
            <w:color w:val="000000"/>
            <w:u w:val="single"/>
          </w:rPr>
          <w:t>13-03-2019 (1).pdf</w:t>
        </w:r>
      </w:hyperlink>
      <w:r w:rsidR="00D56692">
        <w:rPr>
          <w:rFonts w:ascii="Palatino Linotype" w:eastAsia="Palatino Linotype" w:hAnsi="Palatino Linotype" w:cs="Palatino Linotype"/>
          <w:color w:val="000000"/>
        </w:rPr>
        <w:t xml:space="preserve">: boletín laboral de la Junta Local de Conciliación y Arbitraje del Valle de Cuautitlán- Texcoco. </w:t>
      </w:r>
    </w:p>
    <w:bookmarkStart w:id="2" w:name="_heading=h.u86ua71g8bng" w:colFirst="0" w:colLast="0"/>
    <w:bookmarkEnd w:id="2"/>
    <w:p w:rsidR="006C5232" w:rsidRDefault="00D56692">
      <w:pPr>
        <w:numPr>
          <w:ilvl w:val="1"/>
          <w:numId w:val="7"/>
        </w:numPr>
        <w:pBdr>
          <w:top w:val="nil"/>
          <w:left w:val="nil"/>
          <w:bottom w:val="nil"/>
          <w:right w:val="nil"/>
          <w:between w:val="nil"/>
        </w:pBdr>
        <w:spacing w:line="360" w:lineRule="auto"/>
        <w:ind w:left="851" w:right="-1071" w:firstLine="0"/>
        <w:rPr>
          <w:rFonts w:ascii="Palatino Linotype" w:eastAsia="Palatino Linotype" w:hAnsi="Palatino Linotype" w:cs="Palatino Linotype"/>
          <w:color w:val="000000"/>
        </w:rPr>
      </w:pPr>
      <w:r>
        <w:rPr>
          <w:rFonts w:ascii="Palatino Linotype" w:eastAsia="Palatino Linotype" w:hAnsi="Palatino Linotype" w:cs="Palatino Linotype"/>
          <w:b/>
          <w:bCs/>
          <w:color w:val="000000"/>
          <w:u w:val="single"/>
        </w:rPr>
        <w:fldChar w:fldCharType="begin"/>
      </w:r>
      <w:r>
        <w:rPr>
          <w:rFonts w:ascii="Palatino Linotype" w:eastAsia="Palatino Linotype" w:hAnsi="Palatino Linotype" w:cs="Palatino Linotype"/>
          <w:b/>
          <w:bCs/>
          <w:color w:val="000000"/>
          <w:u w:val="single"/>
        </w:rPr>
        <w:instrText xml:space="preserve"> HYPERLINK "https://sarcoem.org.mx/sarcoem/solicitud/descarga/2600077/000152025068134332003/716432.page" \h </w:instrText>
      </w:r>
      <w:r>
        <w:rPr>
          <w:rFonts w:ascii="Palatino Linotype" w:eastAsia="Palatino Linotype" w:hAnsi="Palatino Linotype" w:cs="Palatino Linotype"/>
          <w:b/>
          <w:bCs/>
          <w:color w:val="000000"/>
          <w:u w:val="single"/>
        </w:rPr>
        <w:fldChar w:fldCharType="separate"/>
      </w:r>
      <w:r>
        <w:rPr>
          <w:rFonts w:ascii="Palatino Linotype" w:eastAsia="Palatino Linotype" w:hAnsi="Palatino Linotype" w:cs="Palatino Linotype"/>
          <w:b/>
          <w:bCs/>
          <w:color w:val="000000"/>
          <w:u w:val="single"/>
        </w:rPr>
        <w:t>rr.docx</w:t>
      </w:r>
      <w:r>
        <w:rPr>
          <w:rFonts w:ascii="Palatino Linotype" w:eastAsia="Palatino Linotype" w:hAnsi="Palatino Linotype" w:cs="Palatino Linotype"/>
          <w:b/>
          <w:bCs/>
          <w:color w:val="000000"/>
          <w:u w:val="single"/>
        </w:rPr>
        <w:fldChar w:fldCharType="end"/>
      </w:r>
      <w:r>
        <w:rPr>
          <w:rFonts w:ascii="Palatino Linotype" w:eastAsia="Palatino Linotype" w:hAnsi="Palatino Linotype" w:cs="Palatino Linotype"/>
          <w:color w:val="000000"/>
        </w:rPr>
        <w:t xml:space="preserve">: documento en formato Word con diversas ligas electrónicas que señaló la Recurrente y en las que refiere siguen apareciendo sus datos. </w:t>
      </w:r>
    </w:p>
    <w:p w:rsidR="006C5232" w:rsidRDefault="009E624D">
      <w:pPr>
        <w:numPr>
          <w:ilvl w:val="1"/>
          <w:numId w:val="7"/>
        </w:numPr>
        <w:pBdr>
          <w:top w:val="nil"/>
          <w:left w:val="nil"/>
          <w:bottom w:val="nil"/>
          <w:right w:val="nil"/>
          <w:between w:val="nil"/>
        </w:pBdr>
        <w:spacing w:line="360" w:lineRule="auto"/>
        <w:ind w:left="851" w:right="-1071" w:firstLine="0"/>
        <w:rPr>
          <w:rFonts w:ascii="Palatino Linotype" w:eastAsia="Palatino Linotype" w:hAnsi="Palatino Linotype" w:cs="Palatino Linotype"/>
          <w:color w:val="000000"/>
        </w:rPr>
      </w:pPr>
      <w:hyperlink r:id="rId22">
        <w:r w:rsidR="00D56692">
          <w:rPr>
            <w:rFonts w:ascii="Palatino Linotype" w:eastAsia="Palatino Linotype" w:hAnsi="Palatino Linotype" w:cs="Palatino Linotype"/>
            <w:b/>
            <w:bCs/>
            <w:color w:val="000000"/>
            <w:u w:val="single"/>
          </w:rPr>
          <w:t>16-11-2018.pdf</w:t>
        </w:r>
      </w:hyperlink>
      <w:r w:rsidR="00D56692">
        <w:rPr>
          <w:rFonts w:ascii="Palatino Linotype" w:eastAsia="Palatino Linotype" w:hAnsi="Palatino Linotype" w:cs="Palatino Linotype"/>
          <w:color w:val="000000"/>
        </w:rPr>
        <w:t>: boletín laboral de la Junta Local de Conciliación y Arbitraje del Valle de Cuautitlán- Texcoco.</w:t>
      </w:r>
    </w:p>
    <w:p w:rsidR="006C5232" w:rsidRDefault="009E624D">
      <w:pPr>
        <w:numPr>
          <w:ilvl w:val="1"/>
          <w:numId w:val="7"/>
        </w:numPr>
        <w:pBdr>
          <w:top w:val="nil"/>
          <w:left w:val="nil"/>
          <w:bottom w:val="nil"/>
          <w:right w:val="nil"/>
          <w:between w:val="nil"/>
        </w:pBdr>
        <w:spacing w:line="360" w:lineRule="auto"/>
        <w:ind w:left="851" w:right="-1071" w:firstLine="0"/>
        <w:rPr>
          <w:rFonts w:ascii="Palatino Linotype" w:eastAsia="Palatino Linotype" w:hAnsi="Palatino Linotype" w:cs="Palatino Linotype"/>
          <w:color w:val="000000"/>
        </w:rPr>
      </w:pPr>
      <w:hyperlink r:id="rId23">
        <w:r w:rsidR="00D56692">
          <w:rPr>
            <w:rFonts w:ascii="Palatino Linotype" w:eastAsia="Palatino Linotype" w:hAnsi="Palatino Linotype" w:cs="Palatino Linotype"/>
            <w:b/>
            <w:bCs/>
            <w:color w:val="000000"/>
            <w:u w:val="single"/>
          </w:rPr>
          <w:t>captura.jpg</w:t>
        </w:r>
      </w:hyperlink>
      <w:r w:rsidR="00D56692">
        <w:rPr>
          <w:rFonts w:ascii="Palatino Linotype" w:eastAsia="Palatino Linotype" w:hAnsi="Palatino Linotype" w:cs="Palatino Linotype"/>
          <w:color w:val="000000"/>
        </w:rPr>
        <w:t xml:space="preserve">: imagen de pantalla de la búsqueda de la Recurrente en Internet. </w:t>
      </w:r>
    </w:p>
    <w:p w:rsidR="006C5232" w:rsidRDefault="009E624D">
      <w:pPr>
        <w:numPr>
          <w:ilvl w:val="1"/>
          <w:numId w:val="7"/>
        </w:numPr>
        <w:pBdr>
          <w:top w:val="nil"/>
          <w:left w:val="nil"/>
          <w:bottom w:val="nil"/>
          <w:right w:val="nil"/>
          <w:between w:val="nil"/>
        </w:pBdr>
        <w:spacing w:line="360" w:lineRule="auto"/>
        <w:ind w:left="851" w:right="-1071" w:firstLine="0"/>
        <w:rPr>
          <w:rFonts w:ascii="Palatino Linotype" w:eastAsia="Palatino Linotype" w:hAnsi="Palatino Linotype" w:cs="Palatino Linotype"/>
          <w:color w:val="000000"/>
        </w:rPr>
      </w:pPr>
      <w:hyperlink r:id="rId24">
        <w:r w:rsidR="00D56692">
          <w:rPr>
            <w:rFonts w:ascii="Palatino Linotype" w:eastAsia="Palatino Linotype" w:hAnsi="Palatino Linotype" w:cs="Palatino Linotype"/>
            <w:b/>
            <w:bCs/>
            <w:color w:val="000000"/>
            <w:u w:val="single"/>
          </w:rPr>
          <w:t>captura 2.jpg</w:t>
        </w:r>
      </w:hyperlink>
      <w:r w:rsidR="00D56692">
        <w:rPr>
          <w:rFonts w:ascii="Palatino Linotype" w:eastAsia="Palatino Linotype" w:hAnsi="Palatino Linotype" w:cs="Palatino Linotype"/>
          <w:color w:val="000000"/>
        </w:rPr>
        <w:t>: imagen de pantalla de la búsqueda de la Recurrente en Internet.</w:t>
      </w:r>
    </w:p>
    <w:p w:rsidR="006C5232" w:rsidRDefault="009E624D">
      <w:pPr>
        <w:numPr>
          <w:ilvl w:val="1"/>
          <w:numId w:val="7"/>
        </w:numPr>
        <w:pBdr>
          <w:top w:val="nil"/>
          <w:left w:val="nil"/>
          <w:bottom w:val="nil"/>
          <w:right w:val="nil"/>
          <w:between w:val="nil"/>
        </w:pBdr>
        <w:spacing w:line="360" w:lineRule="auto"/>
        <w:ind w:left="851" w:right="-1071" w:firstLine="0"/>
        <w:rPr>
          <w:rFonts w:ascii="Palatino Linotype" w:eastAsia="Palatino Linotype" w:hAnsi="Palatino Linotype" w:cs="Palatino Linotype"/>
          <w:color w:val="000000"/>
        </w:rPr>
      </w:pPr>
      <w:hyperlink r:id="rId25">
        <w:r w:rsidR="00D56692">
          <w:rPr>
            <w:rFonts w:ascii="Palatino Linotype" w:eastAsia="Palatino Linotype" w:hAnsi="Palatino Linotype" w:cs="Palatino Linotype"/>
            <w:b/>
            <w:bCs/>
            <w:color w:val="000000"/>
            <w:u w:val="single"/>
          </w:rPr>
          <w:t>Image_20250819_0001 (1) (1).pdf</w:t>
        </w:r>
      </w:hyperlink>
      <w:r w:rsidR="00D56692">
        <w:rPr>
          <w:rFonts w:ascii="Palatino Linotype" w:eastAsia="Palatino Linotype" w:hAnsi="Palatino Linotype" w:cs="Palatino Linotype"/>
          <w:color w:val="000000"/>
        </w:rPr>
        <w:t>: Identificación Oficial emitida por el Instituto Nacional Electoral de la solicitante.</w:t>
      </w:r>
    </w:p>
    <w:p w:rsidR="006C5232" w:rsidRDefault="006C5232">
      <w:pPr>
        <w:pBdr>
          <w:top w:val="nil"/>
          <w:left w:val="nil"/>
          <w:bottom w:val="nil"/>
          <w:right w:val="nil"/>
          <w:between w:val="nil"/>
        </w:pBdr>
        <w:tabs>
          <w:tab w:val="left" w:pos="426"/>
        </w:tabs>
        <w:spacing w:line="360" w:lineRule="auto"/>
        <w:ind w:right="-1071"/>
        <w:jc w:val="both"/>
        <w:rPr>
          <w:rFonts w:ascii="Palatino Linotype" w:eastAsia="Palatino Linotype" w:hAnsi="Palatino Linotype" w:cs="Palatino Linotype"/>
          <w:color w:val="000000"/>
        </w:rPr>
      </w:pPr>
    </w:p>
    <w:p w:rsidR="006C5232" w:rsidRPr="00701CFE" w:rsidRDefault="00D56692">
      <w:pPr>
        <w:numPr>
          <w:ilvl w:val="0"/>
          <w:numId w:val="3"/>
        </w:numPr>
        <w:pBdr>
          <w:top w:val="nil"/>
          <w:left w:val="nil"/>
          <w:bottom w:val="nil"/>
          <w:right w:val="nil"/>
          <w:between w:val="nil"/>
        </w:pBdr>
        <w:tabs>
          <w:tab w:val="left" w:pos="426"/>
        </w:tabs>
        <w:spacing w:line="360" w:lineRule="auto"/>
        <w:ind w:right="-1071"/>
        <w:jc w:val="both"/>
        <w:rPr>
          <w:color w:val="000000"/>
        </w:rPr>
      </w:pPr>
      <w:r>
        <w:rPr>
          <w:rFonts w:ascii="Palatino Linotype" w:eastAsia="Palatino Linotype" w:hAnsi="Palatino Linotype" w:cs="Palatino Linotype"/>
          <w:color w:val="000000"/>
        </w:rPr>
        <w:t xml:space="preserve">Se registró el recurso de revisión bajo el número de expediente al rubro indicado, asimismo, con fundamento en lo dispuesto por el artículo 185 fracción I de la Ley de Transparencia y Acceso a la Información Pública del Estado de México y Municipios de aplicación supletoria, se </w:t>
      </w:r>
      <w:r>
        <w:rPr>
          <w:rFonts w:ascii="Palatino Linotype" w:eastAsia="Palatino Linotype" w:hAnsi="Palatino Linotype" w:cs="Palatino Linotype"/>
        </w:rPr>
        <w:t>turna</w:t>
      </w:r>
      <w:r>
        <w:rPr>
          <w:rFonts w:ascii="Palatino Linotype" w:eastAsia="Palatino Linotype" w:hAnsi="Palatino Linotype" w:cs="Palatino Linotype"/>
          <w:color w:val="000000"/>
        </w:rPr>
        <w:t xml:space="preserve"> a la </w:t>
      </w:r>
      <w:r>
        <w:rPr>
          <w:rFonts w:ascii="Palatino Linotype" w:eastAsia="Palatino Linotype" w:hAnsi="Palatino Linotype" w:cs="Palatino Linotype"/>
          <w:b/>
          <w:bCs/>
          <w:color w:val="000000"/>
        </w:rPr>
        <w:t>Comisionada María del Rosario Mejía Ayala</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rPr>
        <w:t>para</w:t>
      </w:r>
      <w:r>
        <w:rPr>
          <w:rFonts w:ascii="Palatino Linotype" w:eastAsia="Palatino Linotype" w:hAnsi="Palatino Linotype" w:cs="Palatino Linotype"/>
          <w:color w:val="000000"/>
        </w:rPr>
        <w:t xml:space="preserve"> su análisis.</w:t>
      </w:r>
    </w:p>
    <w:p w:rsidR="00701CFE" w:rsidRDefault="00701CFE" w:rsidP="00701CFE">
      <w:pPr>
        <w:pBdr>
          <w:top w:val="nil"/>
          <w:left w:val="nil"/>
          <w:bottom w:val="nil"/>
          <w:right w:val="nil"/>
          <w:between w:val="nil"/>
        </w:pBdr>
        <w:tabs>
          <w:tab w:val="left" w:pos="426"/>
        </w:tabs>
        <w:spacing w:line="360" w:lineRule="auto"/>
        <w:ind w:right="-1071"/>
        <w:jc w:val="both"/>
        <w:rPr>
          <w:color w:val="000000"/>
        </w:rPr>
      </w:pPr>
    </w:p>
    <w:p w:rsidR="006C5232" w:rsidRDefault="00D56692">
      <w:pPr>
        <w:numPr>
          <w:ilvl w:val="0"/>
          <w:numId w:val="3"/>
        </w:numPr>
        <w:pBdr>
          <w:top w:val="nil"/>
          <w:left w:val="nil"/>
          <w:bottom w:val="nil"/>
          <w:right w:val="nil"/>
          <w:between w:val="nil"/>
        </w:pBdr>
        <w:tabs>
          <w:tab w:val="left" w:pos="426"/>
        </w:tabs>
        <w:spacing w:line="360" w:lineRule="auto"/>
        <w:ind w:right="-1071"/>
        <w:jc w:val="both"/>
        <w:rPr>
          <w:color w:val="000000"/>
        </w:rPr>
      </w:pPr>
      <w:r>
        <w:rPr>
          <w:rFonts w:ascii="Palatino Linotype" w:eastAsia="Palatino Linotype" w:hAnsi="Palatino Linotype" w:cs="Palatino Linotype"/>
          <w:color w:val="000000"/>
        </w:rPr>
        <w:t xml:space="preserve">La Comisionada Ponente, con fundamento en lo dispuesto por el atento a lo dispuesto en los artículos 11, 127 y 131, de la Ley de Protección de Datos Personales en Posesión de Sujetos Obligados del Estado de México y Municipios, y el artículo 185, fracción II, de la Ley de </w:t>
      </w:r>
      <w:r>
        <w:rPr>
          <w:rFonts w:ascii="Palatino Linotype" w:eastAsia="Palatino Linotype" w:hAnsi="Palatino Linotype" w:cs="Palatino Linotype"/>
          <w:color w:val="000000"/>
        </w:rPr>
        <w:lastRenderedPageBreak/>
        <w:t xml:space="preserve">Transparencia y Acceso a la Información Pública del Estado de México y Municipios de aplicación supletoria, a través del acuerdo de admisión de fecha </w:t>
      </w:r>
      <w:r>
        <w:rPr>
          <w:rFonts w:ascii="Palatino Linotype" w:eastAsia="Palatino Linotype" w:hAnsi="Palatino Linotype" w:cs="Palatino Linotype"/>
          <w:b/>
          <w:bCs/>
          <w:color w:val="000000"/>
        </w:rPr>
        <w:t>veintinueve de octubre de dos mil veinticinco</w:t>
      </w:r>
      <w:r>
        <w:rPr>
          <w:rFonts w:ascii="Palatino Linotype" w:eastAsia="Palatino Linotype" w:hAnsi="Palatino Linotype" w:cs="Palatino Linotype"/>
          <w:color w:val="000000"/>
        </w:rPr>
        <w:t>, puso a disposición de las partes el expediente electrónico vía Sistema de Acceso, Rectificación, Cancelación y Oposición de Personales del Estado de México (SARCOEM)</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a efecto de que en un plazo máximo de siete días </w:t>
      </w:r>
      <w:r>
        <w:rPr>
          <w:rFonts w:ascii="Palatino Linotype" w:eastAsia="Palatino Linotype" w:hAnsi="Palatino Linotype" w:cs="Palatino Linotype"/>
        </w:rPr>
        <w:t>manifestara</w:t>
      </w:r>
      <w:r>
        <w:rPr>
          <w:rFonts w:ascii="Palatino Linotype" w:eastAsia="Palatino Linotype" w:hAnsi="Palatino Linotype" w:cs="Palatino Linotype"/>
          <w:color w:val="000000"/>
        </w:rPr>
        <w:t xml:space="preserve"> lo que a su derecho </w:t>
      </w:r>
      <w:r>
        <w:rPr>
          <w:rFonts w:ascii="Palatino Linotype" w:eastAsia="Palatino Linotype" w:hAnsi="Palatino Linotype" w:cs="Palatino Linotype"/>
        </w:rPr>
        <w:t>conviniera</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rPr>
        <w:t>ofreciera</w:t>
      </w:r>
      <w:r>
        <w:rPr>
          <w:rFonts w:ascii="Palatino Linotype" w:eastAsia="Palatino Linotype" w:hAnsi="Palatino Linotype" w:cs="Palatino Linotype"/>
          <w:color w:val="000000"/>
        </w:rPr>
        <w:t xml:space="preserve"> pruebas y alegatos según corresponda a los casos concretos, de esta forma para que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rPr>
        <w:t>presentará</w:t>
      </w:r>
      <w:r>
        <w:rPr>
          <w:rFonts w:ascii="Palatino Linotype" w:eastAsia="Palatino Linotype" w:hAnsi="Palatino Linotype" w:cs="Palatino Linotype"/>
          <w:color w:val="000000"/>
        </w:rPr>
        <w:t xml:space="preserve"> el informe justificado procedente.</w:t>
      </w:r>
    </w:p>
    <w:p w:rsidR="006C5232" w:rsidRDefault="006C5232">
      <w:pPr>
        <w:pBdr>
          <w:top w:val="nil"/>
          <w:left w:val="nil"/>
          <w:bottom w:val="nil"/>
          <w:right w:val="nil"/>
          <w:between w:val="nil"/>
        </w:pBdr>
        <w:ind w:left="720" w:right="-1071"/>
        <w:rPr>
          <w:rFonts w:ascii="Palatino Linotype" w:eastAsia="Palatino Linotype" w:hAnsi="Palatino Linotype" w:cs="Palatino Linotype"/>
          <w:color w:val="000000"/>
        </w:rPr>
      </w:pPr>
    </w:p>
    <w:p w:rsidR="006C5232" w:rsidRDefault="00D56692">
      <w:pPr>
        <w:numPr>
          <w:ilvl w:val="0"/>
          <w:numId w:val="3"/>
        </w:numPr>
        <w:pBdr>
          <w:top w:val="nil"/>
          <w:left w:val="nil"/>
          <w:bottom w:val="nil"/>
          <w:right w:val="nil"/>
          <w:between w:val="nil"/>
        </w:pBdr>
        <w:tabs>
          <w:tab w:val="left" w:pos="426"/>
        </w:tabs>
        <w:spacing w:line="360" w:lineRule="auto"/>
        <w:ind w:right="-1071"/>
        <w:jc w:val="both"/>
        <w:rPr>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veintinueve de octubre de dos mil veinticinco</w:t>
      </w:r>
      <w:r>
        <w:rPr>
          <w:rFonts w:ascii="Palatino Linotype" w:eastAsia="Palatino Linotype" w:hAnsi="Palatino Linotype" w:cs="Palatino Linotype"/>
          <w:color w:val="000000"/>
        </w:rPr>
        <w:t>, se exhortó a las partes que en un plazo de siete días hábiles manifestaran su voluntad para conciliar.</w:t>
      </w:r>
    </w:p>
    <w:p w:rsidR="006C5232" w:rsidRDefault="006C5232">
      <w:pPr>
        <w:pBdr>
          <w:top w:val="nil"/>
          <w:left w:val="nil"/>
          <w:bottom w:val="nil"/>
          <w:right w:val="nil"/>
          <w:between w:val="nil"/>
        </w:pBdr>
        <w:ind w:left="720" w:right="-1071"/>
        <w:rPr>
          <w:rFonts w:ascii="Palatino Linotype" w:eastAsia="Palatino Linotype" w:hAnsi="Palatino Linotype" w:cs="Palatino Linotype"/>
          <w:color w:val="000000"/>
        </w:rPr>
      </w:pPr>
    </w:p>
    <w:p w:rsidR="006C5232" w:rsidRDefault="00D56692">
      <w:pPr>
        <w:numPr>
          <w:ilvl w:val="0"/>
          <w:numId w:val="3"/>
        </w:numPr>
        <w:pBdr>
          <w:top w:val="nil"/>
          <w:left w:val="nil"/>
          <w:bottom w:val="nil"/>
          <w:right w:val="nil"/>
          <w:between w:val="nil"/>
        </w:pBdr>
        <w:tabs>
          <w:tab w:val="left" w:pos="426"/>
        </w:tabs>
        <w:spacing w:line="360" w:lineRule="auto"/>
        <w:ind w:right="-1071"/>
        <w:jc w:val="both"/>
        <w:rPr>
          <w:color w:val="000000"/>
        </w:rPr>
      </w:pPr>
      <w:r>
        <w:rPr>
          <w:rFonts w:ascii="Palatino Linotype" w:eastAsia="Palatino Linotype" w:hAnsi="Palatino Linotype" w:cs="Palatino Linotype"/>
          <w:color w:val="000000"/>
        </w:rPr>
        <w:t xml:space="preserve">De las constancias que obran en el expediente electrónico SARCOEM, se aprecia que, tanto el Recurrente como el Sujeto Obligado fueron omisos en manifestar su voluntad para conciliar, sin embargo, el cinco de noviembre de dos mil veinticinco, el Sujeto Obligado adjuntó el archivo </w:t>
      </w:r>
      <w:hyperlink r:id="rId26">
        <w:r>
          <w:rPr>
            <w:rFonts w:ascii="Palatino Linotype" w:eastAsia="Palatino Linotype" w:hAnsi="Palatino Linotype" w:cs="Palatino Linotype"/>
            <w:b/>
            <w:bCs/>
            <w:color w:val="000000"/>
            <w:u w:val="single"/>
          </w:rPr>
          <w:t>RR-SARCOEM 01-2025.PDF</w:t>
        </w:r>
      </w:hyperlink>
      <w:r>
        <w:rPr>
          <w:rFonts w:ascii="Palatino Linotype" w:eastAsia="Palatino Linotype" w:hAnsi="Palatino Linotype" w:cs="Palatino Linotype"/>
          <w:color w:val="000000"/>
        </w:rPr>
        <w:t>, en el que señaló que el nombre de la Recurrente fue cancelado de los boletines laborales y señaló que ya no aparece en las ligas electrónicas que señaló la Recurrente.</w:t>
      </w:r>
      <w:r>
        <w:rPr>
          <w:color w:val="000000"/>
        </w:rPr>
        <w:t xml:space="preserve"> </w:t>
      </w:r>
    </w:p>
    <w:p w:rsidR="006C5232" w:rsidRDefault="006C5232">
      <w:pPr>
        <w:pBdr>
          <w:top w:val="nil"/>
          <w:left w:val="nil"/>
          <w:bottom w:val="nil"/>
          <w:right w:val="nil"/>
          <w:between w:val="nil"/>
        </w:pBdr>
        <w:ind w:left="720" w:right="-1071"/>
        <w:rPr>
          <w:rFonts w:ascii="Palatino Linotype" w:eastAsia="Palatino Linotype" w:hAnsi="Palatino Linotype" w:cs="Palatino Linotype"/>
          <w:color w:val="000000"/>
        </w:rPr>
      </w:pPr>
    </w:p>
    <w:p w:rsidR="006C5232" w:rsidRDefault="00D56692">
      <w:pPr>
        <w:numPr>
          <w:ilvl w:val="0"/>
          <w:numId w:val="3"/>
        </w:numPr>
        <w:pBdr>
          <w:top w:val="nil"/>
          <w:left w:val="nil"/>
          <w:bottom w:val="nil"/>
          <w:right w:val="nil"/>
          <w:between w:val="nil"/>
        </w:pBdr>
        <w:tabs>
          <w:tab w:val="left" w:pos="426"/>
        </w:tabs>
        <w:spacing w:line="360" w:lineRule="auto"/>
        <w:ind w:right="-1071"/>
        <w:jc w:val="both"/>
        <w:rPr>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veinticuatro de noviembre de dos mil veinticinco</w:t>
      </w:r>
      <w:r>
        <w:rPr>
          <w:rFonts w:ascii="Palatino Linotype" w:eastAsia="Palatino Linotype" w:hAnsi="Palatino Linotype" w:cs="Palatino Linotype"/>
          <w:color w:val="000000"/>
        </w:rPr>
        <w:t>, se decretó el cierre de la etapa de conciliación y la apertura de la etapa de manifestaciones, mediante el cual se les otorga un plazo de siete días hábiles para que las partes presenten lo que a su derecho convenga.</w:t>
      </w:r>
    </w:p>
    <w:p w:rsidR="006C5232" w:rsidRDefault="00D56692">
      <w:pPr>
        <w:numPr>
          <w:ilvl w:val="0"/>
          <w:numId w:val="3"/>
        </w:numPr>
        <w:pBdr>
          <w:top w:val="nil"/>
          <w:left w:val="nil"/>
          <w:bottom w:val="nil"/>
          <w:right w:val="nil"/>
          <w:between w:val="nil"/>
        </w:pBdr>
        <w:tabs>
          <w:tab w:val="left" w:pos="426"/>
        </w:tabs>
        <w:spacing w:line="360" w:lineRule="auto"/>
        <w:ind w:right="-1071"/>
        <w:jc w:val="both"/>
        <w:rPr>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primero de diciembre de dos mil veinticinco</w:t>
      </w:r>
      <w:r>
        <w:rPr>
          <w:rFonts w:ascii="Palatino Linotype" w:eastAsia="Palatino Linotype" w:hAnsi="Palatino Linotype" w:cs="Palatino Linotype"/>
          <w:color w:val="000000"/>
        </w:rPr>
        <w:t>, el Sujeto Obligado rindió su informe justificado a través de los documentos electrónicos denominados</w:t>
      </w:r>
      <w:r>
        <w:rPr>
          <w:color w:val="000000"/>
        </w:rPr>
        <w:t xml:space="preserve"> </w:t>
      </w:r>
      <w:hyperlink r:id="rId27">
        <w:r>
          <w:rPr>
            <w:rFonts w:ascii="Palatino Linotype" w:eastAsia="Palatino Linotype" w:hAnsi="Palatino Linotype" w:cs="Palatino Linotype"/>
            <w:b/>
            <w:bCs/>
            <w:color w:val="0563C1"/>
            <w:u w:val="single"/>
          </w:rPr>
          <w:t xml:space="preserve">SOLICITUD </w:t>
        </w:r>
      </w:hyperlink>
      <w:hyperlink r:id="rId28">
        <w:r>
          <w:rPr>
            <w:rFonts w:ascii="Palatino Linotype" w:eastAsia="Palatino Linotype" w:hAnsi="Palatino Linotype" w:cs="Palatino Linotype"/>
            <w:b/>
            <w:bCs/>
            <w:color w:val="0563C1"/>
            <w:u w:val="single"/>
          </w:rPr>
          <w:t>SARCOEM</w:t>
        </w:r>
      </w:hyperlink>
      <w:hyperlink r:id="rId29">
        <w:r>
          <w:rPr>
            <w:rFonts w:ascii="Palatino Linotype" w:eastAsia="Palatino Linotype" w:hAnsi="Palatino Linotype" w:cs="Palatino Linotype"/>
            <w:b/>
            <w:bCs/>
            <w:color w:val="0563C1"/>
            <w:u w:val="single"/>
          </w:rPr>
          <w:t xml:space="preserve"> 18-2025.pdf</w:t>
        </w:r>
      </w:hyperlink>
      <w:r>
        <w:rPr>
          <w:rFonts w:ascii="Palatino Linotype" w:eastAsia="Palatino Linotype" w:hAnsi="Palatino Linotype" w:cs="Palatino Linotype"/>
          <w:color w:val="000000"/>
        </w:rPr>
        <w:t xml:space="preserve">, </w:t>
      </w:r>
      <w:hyperlink r:id="rId30">
        <w:r>
          <w:rPr>
            <w:rFonts w:ascii="Palatino Linotype" w:eastAsia="Palatino Linotype" w:hAnsi="Palatino Linotype" w:cs="Palatino Linotype"/>
            <w:b/>
            <w:bCs/>
            <w:color w:val="0563C1"/>
            <w:u w:val="single"/>
          </w:rPr>
          <w:t xml:space="preserve">SOLICITUD </w:t>
        </w:r>
      </w:hyperlink>
      <w:hyperlink r:id="rId31">
        <w:r>
          <w:rPr>
            <w:rFonts w:ascii="Palatino Linotype" w:eastAsia="Palatino Linotype" w:hAnsi="Palatino Linotype" w:cs="Palatino Linotype"/>
            <w:b/>
            <w:bCs/>
            <w:color w:val="0563C1"/>
            <w:u w:val="single"/>
          </w:rPr>
          <w:t>SARCOEM</w:t>
        </w:r>
      </w:hyperlink>
      <w:hyperlink r:id="rId32">
        <w:r>
          <w:rPr>
            <w:rFonts w:ascii="Palatino Linotype" w:eastAsia="Palatino Linotype" w:hAnsi="Palatino Linotype" w:cs="Palatino Linotype"/>
            <w:b/>
            <w:bCs/>
            <w:color w:val="0563C1"/>
            <w:u w:val="single"/>
          </w:rPr>
          <w:t xml:space="preserve"> 19-2025.pdf</w:t>
        </w:r>
      </w:hyperlink>
      <w:r>
        <w:rPr>
          <w:rFonts w:ascii="Palatino Linotype" w:eastAsia="Palatino Linotype" w:hAnsi="Palatino Linotype" w:cs="Palatino Linotype"/>
          <w:color w:val="000000"/>
        </w:rPr>
        <w:t xml:space="preserve">, </w:t>
      </w:r>
      <w:hyperlink r:id="rId33">
        <w:r>
          <w:rPr>
            <w:rFonts w:ascii="Palatino Linotype" w:eastAsia="Palatino Linotype" w:hAnsi="Palatino Linotype" w:cs="Palatino Linotype"/>
            <w:b/>
            <w:bCs/>
            <w:color w:val="0563C1"/>
            <w:u w:val="single"/>
          </w:rPr>
          <w:t xml:space="preserve">Informe Justificado </w:t>
        </w:r>
      </w:hyperlink>
      <w:hyperlink r:id="rId34">
        <w:r>
          <w:rPr>
            <w:rFonts w:ascii="Palatino Linotype" w:eastAsia="Palatino Linotype" w:hAnsi="Palatino Linotype" w:cs="Palatino Linotype"/>
            <w:b/>
            <w:bCs/>
            <w:color w:val="0563C1"/>
            <w:u w:val="single"/>
          </w:rPr>
          <w:t>SARCOEM</w:t>
        </w:r>
      </w:hyperlink>
      <w:hyperlink r:id="rId35">
        <w:r>
          <w:rPr>
            <w:rFonts w:ascii="Palatino Linotype" w:eastAsia="Palatino Linotype" w:hAnsi="Palatino Linotype" w:cs="Palatino Linotype"/>
            <w:b/>
            <w:bCs/>
            <w:color w:val="0563C1"/>
            <w:u w:val="single"/>
          </w:rPr>
          <w:t xml:space="preserve"> 01-</w:t>
        </w:r>
        <w:r>
          <w:rPr>
            <w:rFonts w:ascii="Palatino Linotype" w:eastAsia="Palatino Linotype" w:hAnsi="Palatino Linotype" w:cs="Palatino Linotype"/>
            <w:b/>
            <w:bCs/>
            <w:color w:val="0563C1"/>
            <w:u w:val="single"/>
          </w:rPr>
          <w:lastRenderedPageBreak/>
          <w:t>2025.PDF</w:t>
        </w:r>
      </w:hyperlink>
      <w:r>
        <w:rPr>
          <w:rFonts w:ascii="Palatino Linotype" w:eastAsia="Palatino Linotype" w:hAnsi="Palatino Linotype" w:cs="Palatino Linotype"/>
          <w:color w:val="000000"/>
        </w:rPr>
        <w:t xml:space="preserve">, </w:t>
      </w:r>
      <w:hyperlink r:id="rId36">
        <w:r>
          <w:rPr>
            <w:rFonts w:ascii="Palatino Linotype" w:eastAsia="Palatino Linotype" w:hAnsi="Palatino Linotype" w:cs="Palatino Linotype"/>
            <w:b/>
            <w:bCs/>
            <w:color w:val="0563C1"/>
            <w:u w:val="single"/>
          </w:rPr>
          <w:t xml:space="preserve">Pruebas Recurso de Revision </w:t>
        </w:r>
      </w:hyperlink>
      <w:hyperlink r:id="rId37">
        <w:r>
          <w:rPr>
            <w:rFonts w:ascii="Palatino Linotype" w:eastAsia="Palatino Linotype" w:hAnsi="Palatino Linotype" w:cs="Palatino Linotype"/>
            <w:b/>
            <w:bCs/>
            <w:color w:val="0563C1"/>
            <w:u w:val="single"/>
          </w:rPr>
          <w:t>SARCOEM</w:t>
        </w:r>
      </w:hyperlink>
      <w:hyperlink r:id="rId38">
        <w:r>
          <w:rPr>
            <w:rFonts w:ascii="Palatino Linotype" w:eastAsia="Palatino Linotype" w:hAnsi="Palatino Linotype" w:cs="Palatino Linotype"/>
            <w:b/>
            <w:bCs/>
            <w:color w:val="0563C1"/>
            <w:u w:val="single"/>
          </w:rPr>
          <w:t xml:space="preserve"> 01-2025.PDF</w:t>
        </w:r>
      </w:hyperlink>
      <w:r>
        <w:rPr>
          <w:rFonts w:ascii="Palatino Linotype" w:eastAsia="Palatino Linotype" w:hAnsi="Palatino Linotype" w:cs="Palatino Linotype"/>
          <w:color w:val="000000"/>
        </w:rPr>
        <w:t xml:space="preserve"> y </w:t>
      </w:r>
      <w:r>
        <w:rPr>
          <w:rFonts w:ascii="Palatino Linotype" w:eastAsia="Palatino Linotype" w:hAnsi="Palatino Linotype" w:cs="Palatino Linotype"/>
          <w:b/>
          <w:bCs/>
          <w:i/>
          <w:iCs/>
          <w:color w:val="000000"/>
        </w:rPr>
        <w:t xml:space="preserve"> </w:t>
      </w:r>
      <w:hyperlink r:id="rId39">
        <w:r>
          <w:rPr>
            <w:rFonts w:ascii="Palatino Linotype" w:eastAsia="Palatino Linotype" w:hAnsi="Palatino Linotype" w:cs="Palatino Linotype"/>
            <w:b/>
            <w:bCs/>
            <w:color w:val="0563C1"/>
            <w:u w:val="single"/>
          </w:rPr>
          <w:t xml:space="preserve">SOLICITUD </w:t>
        </w:r>
      </w:hyperlink>
      <w:hyperlink r:id="rId40">
        <w:r>
          <w:rPr>
            <w:rFonts w:ascii="Palatino Linotype" w:eastAsia="Palatino Linotype" w:hAnsi="Palatino Linotype" w:cs="Palatino Linotype"/>
            <w:b/>
            <w:bCs/>
            <w:color w:val="0563C1"/>
            <w:u w:val="single"/>
          </w:rPr>
          <w:t>SARCOEM</w:t>
        </w:r>
      </w:hyperlink>
      <w:hyperlink r:id="rId41">
        <w:r>
          <w:rPr>
            <w:rFonts w:ascii="Palatino Linotype" w:eastAsia="Palatino Linotype" w:hAnsi="Palatino Linotype" w:cs="Palatino Linotype"/>
            <w:b/>
            <w:bCs/>
            <w:color w:val="0563C1"/>
            <w:u w:val="single"/>
          </w:rPr>
          <w:t xml:space="preserve"> 17-2025.PDF</w:t>
        </w:r>
      </w:hyperlink>
      <w:r>
        <w:rPr>
          <w:rFonts w:ascii="Palatino Linotype" w:eastAsia="Palatino Linotype" w:hAnsi="Palatino Linotype" w:cs="Palatino Linotype"/>
          <w:b/>
          <w:bCs/>
          <w:i/>
          <w:iCs/>
          <w:color w:val="000000"/>
        </w:rPr>
        <w:t xml:space="preserve">, </w:t>
      </w:r>
      <w:r>
        <w:rPr>
          <w:rFonts w:ascii="Palatino Linotype" w:eastAsia="Palatino Linotype" w:hAnsi="Palatino Linotype" w:cs="Palatino Linotype"/>
          <w:color w:val="000000"/>
        </w:rPr>
        <w:t xml:space="preserve">en los que ratificó su respuesta, aunado a ello señaló que </w:t>
      </w:r>
    </w:p>
    <w:p w:rsidR="006C5232" w:rsidRDefault="006C5232">
      <w:pPr>
        <w:pBdr>
          <w:top w:val="nil"/>
          <w:left w:val="nil"/>
          <w:bottom w:val="nil"/>
          <w:right w:val="nil"/>
          <w:between w:val="nil"/>
        </w:pBdr>
        <w:ind w:left="720" w:right="-1071"/>
        <w:rPr>
          <w:rFonts w:ascii="Palatino Linotype" w:eastAsia="Palatino Linotype" w:hAnsi="Palatino Linotype" w:cs="Palatino Linotype"/>
          <w:b/>
          <w:bCs/>
          <w:i/>
          <w:iCs/>
          <w:color w:val="000000"/>
        </w:rPr>
      </w:pPr>
    </w:p>
    <w:p w:rsidR="006C5232" w:rsidRDefault="00D56692">
      <w:pPr>
        <w:numPr>
          <w:ilvl w:val="0"/>
          <w:numId w:val="3"/>
        </w:numPr>
        <w:pBdr>
          <w:top w:val="nil"/>
          <w:left w:val="nil"/>
          <w:bottom w:val="nil"/>
          <w:right w:val="nil"/>
          <w:between w:val="nil"/>
        </w:pBdr>
        <w:tabs>
          <w:tab w:val="left" w:pos="426"/>
        </w:tabs>
        <w:spacing w:line="360" w:lineRule="auto"/>
        <w:ind w:right="-1071"/>
        <w:jc w:val="both"/>
        <w:rPr>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trece de mayo de dos mil veinticinco</w:t>
      </w:r>
      <w:r>
        <w:rPr>
          <w:rFonts w:ascii="Palatino Linotype" w:eastAsia="Palatino Linotype" w:hAnsi="Palatino Linotype" w:cs="Palatino Linotype"/>
          <w:color w:val="000000"/>
        </w:rPr>
        <w:t>, la Comisionada Ponente notificó el acuerdo mediante el cual se amplió el plazo para emitir resolución.</w:t>
      </w:r>
    </w:p>
    <w:p w:rsidR="006C5232" w:rsidRDefault="006C5232">
      <w:pPr>
        <w:pBdr>
          <w:top w:val="nil"/>
          <w:left w:val="nil"/>
          <w:bottom w:val="nil"/>
          <w:right w:val="nil"/>
          <w:between w:val="nil"/>
        </w:pBdr>
        <w:ind w:left="720" w:right="-1071"/>
        <w:rPr>
          <w:rFonts w:ascii="Palatino Linotype" w:eastAsia="Palatino Linotype" w:hAnsi="Palatino Linotype" w:cs="Palatino Linotype"/>
          <w:color w:val="000000"/>
        </w:rPr>
      </w:pPr>
    </w:p>
    <w:p w:rsidR="006C5232" w:rsidRDefault="00D56692">
      <w:pPr>
        <w:numPr>
          <w:ilvl w:val="0"/>
          <w:numId w:val="3"/>
        </w:numPr>
        <w:pBdr>
          <w:top w:val="nil"/>
          <w:left w:val="nil"/>
          <w:bottom w:val="nil"/>
          <w:right w:val="nil"/>
          <w:between w:val="nil"/>
        </w:pBdr>
        <w:tabs>
          <w:tab w:val="left" w:pos="426"/>
        </w:tabs>
        <w:spacing w:line="360" w:lineRule="auto"/>
        <w:ind w:right="-1071"/>
        <w:jc w:val="both"/>
        <w:rPr>
          <w:color w:val="000000"/>
        </w:rPr>
      </w:pPr>
      <w:bookmarkStart w:id="3" w:name="_heading=h.jpcrbtj0408u" w:colFirst="0" w:colLast="0"/>
      <w:bookmarkEnd w:id="3"/>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diecinueve de mayo de dos mil veinticinco</w:t>
      </w:r>
      <w:r>
        <w:rPr>
          <w:rFonts w:ascii="Palatino Linotype" w:eastAsia="Palatino Linotype" w:hAnsi="Palatino Linotype" w:cs="Palatino Linotype"/>
          <w:color w:val="000000"/>
        </w:rPr>
        <w:t xml:space="preserve">, la Comisionada Ponente decretó el cierre del periodo de instrucción, por lo que ordenó turnar el expediente para su resolución, misma que ahora se pronuncia; </w:t>
      </w:r>
    </w:p>
    <w:p w:rsidR="006C5232" w:rsidRDefault="006C5232">
      <w:pPr>
        <w:pBdr>
          <w:top w:val="nil"/>
          <w:left w:val="nil"/>
          <w:bottom w:val="nil"/>
          <w:right w:val="nil"/>
          <w:between w:val="nil"/>
        </w:pBdr>
        <w:tabs>
          <w:tab w:val="left" w:pos="426"/>
        </w:tabs>
        <w:spacing w:line="360" w:lineRule="auto"/>
        <w:ind w:right="-1071"/>
        <w:jc w:val="both"/>
        <w:rPr>
          <w:rFonts w:ascii="Palatino Linotype" w:eastAsia="Palatino Linotype" w:hAnsi="Palatino Linotype" w:cs="Palatino Linotype"/>
          <w:color w:val="000000"/>
        </w:rPr>
      </w:pPr>
    </w:p>
    <w:p w:rsidR="006C5232" w:rsidRDefault="00D56692">
      <w:pPr>
        <w:pStyle w:val="Ttulo1"/>
        <w:spacing w:before="0" w:line="360" w:lineRule="auto"/>
        <w:ind w:right="-1071"/>
        <w:jc w:val="center"/>
        <w:rPr>
          <w:b/>
          <w:bCs/>
          <w:color w:val="000000"/>
        </w:rPr>
      </w:pPr>
      <w:bookmarkStart w:id="4" w:name="_heading=h.xbs6tu6lw9dh" w:colFirst="0" w:colLast="0"/>
      <w:bookmarkEnd w:id="4"/>
      <w:r>
        <w:rPr>
          <w:b/>
          <w:bCs/>
          <w:color w:val="000000"/>
        </w:rPr>
        <w:t xml:space="preserve">C O N S I D E R A N D O </w:t>
      </w:r>
    </w:p>
    <w:p w:rsidR="006C5232" w:rsidRDefault="00D56692">
      <w:pPr>
        <w:pStyle w:val="Ttulo2"/>
        <w:spacing w:before="0" w:line="360" w:lineRule="auto"/>
        <w:ind w:right="-1071"/>
        <w:rPr>
          <w:rFonts w:ascii="Palatino Linotype" w:eastAsia="Palatino Linotype" w:hAnsi="Palatino Linotype" w:cs="Palatino Linotype"/>
          <w:b/>
          <w:bCs/>
          <w:color w:val="000000"/>
          <w:sz w:val="24"/>
          <w:szCs w:val="24"/>
        </w:rPr>
      </w:pPr>
      <w:bookmarkStart w:id="5" w:name="_heading=h.b2tku5w31rvv" w:colFirst="0" w:colLast="0"/>
      <w:bookmarkEnd w:id="5"/>
      <w:r>
        <w:rPr>
          <w:rFonts w:ascii="Palatino Linotype" w:eastAsia="Palatino Linotype" w:hAnsi="Palatino Linotype" w:cs="Palatino Linotype"/>
          <w:b/>
          <w:bCs/>
          <w:color w:val="000000"/>
          <w:sz w:val="24"/>
          <w:szCs w:val="24"/>
        </w:rPr>
        <w:t>PRIMERO. De la competencia</w:t>
      </w:r>
    </w:p>
    <w:p w:rsidR="006C5232" w:rsidRDefault="00D56692">
      <w:pPr>
        <w:numPr>
          <w:ilvl w:val="0"/>
          <w:numId w:val="3"/>
        </w:numPr>
        <w:pBdr>
          <w:top w:val="nil"/>
          <w:left w:val="nil"/>
          <w:bottom w:val="nil"/>
          <w:right w:val="nil"/>
          <w:between w:val="nil"/>
        </w:pBdr>
        <w:tabs>
          <w:tab w:val="left" w:pos="426"/>
        </w:tabs>
        <w:spacing w:line="360" w:lineRule="auto"/>
        <w:ind w:right="-1071"/>
        <w:jc w:val="both"/>
        <w:rPr>
          <w:color w:val="000000"/>
        </w:rPr>
      </w:pPr>
      <w:r>
        <w:rPr>
          <w:rFonts w:ascii="Palatino Linotype" w:eastAsia="Palatino Linotype" w:hAnsi="Palatino Linotype" w:cs="Palatino Linotype"/>
          <w:b/>
          <w:bCs/>
          <w:color w:val="000000"/>
        </w:rPr>
        <w:t>E</w:t>
      </w:r>
      <w:r>
        <w:rPr>
          <w:rFonts w:ascii="Palatino Linotype" w:eastAsia="Palatino Linotype" w:hAnsi="Palatino Linotype" w:cs="Palatino Linotype"/>
          <w:color w:val="000000"/>
        </w:rPr>
        <w:t xml:space="preserve">ste Instituto de Transparencia, Acceso a la Información Pública y Protección de Datos Personales del Estado de México y Municipios, es competente para conocer y resolver del presente recurso de conformidad con el artículo: 6, apartado A, fracción IV de la </w:t>
      </w:r>
      <w:r>
        <w:rPr>
          <w:rFonts w:ascii="Palatino Linotype" w:eastAsia="Palatino Linotype" w:hAnsi="Palatino Linotype" w:cs="Palatino Linotype"/>
          <w:b/>
          <w:bCs/>
          <w:color w:val="000000"/>
        </w:rPr>
        <w:t>Constitución Política de los Estados Unidos Mexicanos</w:t>
      </w:r>
      <w:r>
        <w:rPr>
          <w:rFonts w:ascii="Palatino Linotype" w:eastAsia="Palatino Linotype" w:hAnsi="Palatino Linotype" w:cs="Palatino Linotype"/>
          <w:color w:val="000000"/>
        </w:rPr>
        <w:t xml:space="preserve">; 5, párrafos </w:t>
      </w:r>
      <w:r>
        <w:rPr>
          <w:rFonts w:ascii="Palatino Linotype" w:eastAsia="Palatino Linotype" w:hAnsi="Palatino Linotype" w:cs="Palatino Linotype"/>
          <w:color w:val="222222"/>
        </w:rPr>
        <w:t>trigésimo segundo y trigésimo tercero fracciones</w:t>
      </w:r>
      <w:r>
        <w:rPr>
          <w:rFonts w:ascii="Palatino Linotype" w:eastAsia="Palatino Linotype" w:hAnsi="Palatino Linotype" w:cs="Palatino Linotype"/>
          <w:color w:val="000000"/>
        </w:rPr>
        <w:t xml:space="preserve"> IV y V de la </w:t>
      </w:r>
      <w:r>
        <w:rPr>
          <w:rFonts w:ascii="Palatino Linotype" w:eastAsia="Palatino Linotype" w:hAnsi="Palatino Linotype" w:cs="Palatino Linotype"/>
          <w:b/>
          <w:bCs/>
          <w:color w:val="000000"/>
        </w:rPr>
        <w:t>Constitución Política del Estado Libre y Soberano de México</w:t>
      </w:r>
      <w:r>
        <w:rPr>
          <w:rFonts w:ascii="Palatino Linotype" w:eastAsia="Palatino Linotype" w:hAnsi="Palatino Linotype" w:cs="Palatino Linotype"/>
          <w:color w:val="000000"/>
        </w:rPr>
        <w:t xml:space="preserve">; 1, 3 fracción I, 82, 97, 98, 119, 123, 124, 127, 128 y 133 </w:t>
      </w:r>
      <w:r>
        <w:rPr>
          <w:rFonts w:ascii="Palatino Linotype" w:eastAsia="Palatino Linotype" w:hAnsi="Palatino Linotype" w:cs="Palatino Linotype"/>
          <w:b/>
          <w:bCs/>
          <w:color w:val="000000"/>
        </w:rPr>
        <w:t>Ley de Protección de Datos Personales en Posesión de Sujetos Obligados del Estado de México y Municipios</w:t>
      </w:r>
      <w:r>
        <w:rPr>
          <w:rFonts w:ascii="Palatino Linotype" w:eastAsia="Palatino Linotype" w:hAnsi="Palatino Linotype" w:cs="Palatino Linotype"/>
          <w:color w:val="000000"/>
        </w:rPr>
        <w:t xml:space="preserve">; y 7, 9 fracciones I y XXIV, y 11 del </w:t>
      </w:r>
      <w:r>
        <w:rPr>
          <w:rFonts w:ascii="Palatino Linotype" w:eastAsia="Palatino Linotype" w:hAnsi="Palatino Linotype" w:cs="Palatino Linotype"/>
          <w:b/>
          <w:bCs/>
          <w:color w:val="000000"/>
        </w:rPr>
        <w:t>Reglamento Interior del Instituto de Transparencia, Acceso a la Información Pública y Protección de Datos Personales del Estado de México y Municipios</w:t>
      </w:r>
      <w:r>
        <w:rPr>
          <w:rFonts w:ascii="Palatino Linotype" w:eastAsia="Palatino Linotype" w:hAnsi="Palatino Linotype" w:cs="Palatino Linotype"/>
          <w:color w:val="000000"/>
        </w:rPr>
        <w:t>.</w:t>
      </w:r>
    </w:p>
    <w:p w:rsidR="006C5232" w:rsidRDefault="006C5232">
      <w:pPr>
        <w:pBdr>
          <w:top w:val="nil"/>
          <w:left w:val="nil"/>
          <w:bottom w:val="nil"/>
          <w:right w:val="nil"/>
          <w:between w:val="nil"/>
        </w:pBdr>
        <w:tabs>
          <w:tab w:val="left" w:pos="426"/>
        </w:tabs>
        <w:spacing w:line="360" w:lineRule="auto"/>
        <w:ind w:right="-1071"/>
        <w:jc w:val="both"/>
        <w:rPr>
          <w:rFonts w:ascii="Palatino Linotype" w:eastAsia="Palatino Linotype" w:hAnsi="Palatino Linotype" w:cs="Palatino Linotype"/>
          <w:b/>
          <w:bCs/>
          <w:color w:val="000000"/>
        </w:rPr>
      </w:pPr>
    </w:p>
    <w:p w:rsidR="006C5232" w:rsidRDefault="00D56692">
      <w:pPr>
        <w:pStyle w:val="Ttulo2"/>
        <w:tabs>
          <w:tab w:val="left" w:pos="426"/>
        </w:tabs>
        <w:spacing w:before="0" w:line="360" w:lineRule="auto"/>
        <w:ind w:right="-1071"/>
        <w:rPr>
          <w:rFonts w:ascii="Palatino Linotype" w:eastAsia="Palatino Linotype" w:hAnsi="Palatino Linotype" w:cs="Palatino Linotype"/>
          <w:b/>
          <w:bCs/>
          <w:color w:val="000000"/>
          <w:sz w:val="24"/>
          <w:szCs w:val="24"/>
        </w:rPr>
      </w:pPr>
      <w:bookmarkStart w:id="6" w:name="_heading=h.ym1nqfgwg07d" w:colFirst="0" w:colLast="0"/>
      <w:bookmarkEnd w:id="6"/>
      <w:r>
        <w:rPr>
          <w:rFonts w:ascii="Palatino Linotype" w:eastAsia="Palatino Linotype" w:hAnsi="Palatino Linotype" w:cs="Palatino Linotype"/>
          <w:b/>
          <w:bCs/>
          <w:color w:val="000000"/>
          <w:sz w:val="24"/>
          <w:szCs w:val="24"/>
        </w:rPr>
        <w:t>SEGUNDO. De la oportunidad y procedencia.</w:t>
      </w:r>
    </w:p>
    <w:p w:rsidR="006C5232" w:rsidRDefault="00D56692">
      <w:pPr>
        <w:numPr>
          <w:ilvl w:val="0"/>
          <w:numId w:val="3"/>
        </w:numPr>
        <w:pBdr>
          <w:top w:val="nil"/>
          <w:left w:val="nil"/>
          <w:bottom w:val="nil"/>
          <w:right w:val="nil"/>
          <w:between w:val="nil"/>
        </w:pBdr>
        <w:spacing w:before="240" w:line="360" w:lineRule="auto"/>
        <w:ind w:right="-1071"/>
        <w:jc w:val="both"/>
        <w:rPr>
          <w:color w:val="000000"/>
        </w:rPr>
      </w:pPr>
      <w:bookmarkStart w:id="7" w:name="_heading=h.t1j1gupzrhci" w:colFirst="0" w:colLast="0"/>
      <w:bookmarkEnd w:id="7"/>
      <w:r>
        <w:rPr>
          <w:rFonts w:ascii="Palatino Linotype" w:eastAsia="Palatino Linotype" w:hAnsi="Palatino Linotype" w:cs="Palatino Linotype"/>
          <w:color w:val="000000"/>
        </w:rPr>
        <w:t>El medio de impugnación fue presentado a través del SAIMEX</w:t>
      </w:r>
      <w:r>
        <w:rPr>
          <w:rFonts w:ascii="Palatino Linotype" w:eastAsia="Palatino Linotype" w:hAnsi="Palatino Linotype" w:cs="Palatino Linotype"/>
          <w:b/>
          <w:bCs/>
          <w:color w:val="000000"/>
        </w:rPr>
        <w:t>,</w:t>
      </w:r>
      <w:r>
        <w:rPr>
          <w:rFonts w:ascii="Palatino Linotype" w:eastAsia="Palatino Linotype" w:hAnsi="Palatino Linotype" w:cs="Palatino Linotype"/>
          <w:color w:val="000000"/>
        </w:rPr>
        <w:t xml:space="preserve"> en el formato previamente aprobado para tal efecto y dentro del plazo legal de quince días hábiles </w:t>
      </w:r>
      <w:r>
        <w:rPr>
          <w:rFonts w:ascii="Palatino Linotype" w:eastAsia="Palatino Linotype" w:hAnsi="Palatino Linotype" w:cs="Palatino Linotype"/>
          <w:color w:val="000000"/>
        </w:rPr>
        <w:lastRenderedPageBreak/>
        <w:t xml:space="preserve">otorgados; para el caso en particular es de señalar que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dio respuesta a la solicitud el día </w:t>
      </w:r>
      <w:r>
        <w:rPr>
          <w:rFonts w:ascii="Palatino Linotype" w:eastAsia="Palatino Linotype" w:hAnsi="Palatino Linotype" w:cs="Palatino Linotype"/>
          <w:b/>
          <w:bCs/>
          <w:color w:val="000000"/>
        </w:rPr>
        <w:t>diecisiete de octubre de dos mil veinticinco</w:t>
      </w:r>
      <w:r>
        <w:rPr>
          <w:rFonts w:ascii="Palatino Linotype" w:eastAsia="Palatino Linotype" w:hAnsi="Palatino Linotype" w:cs="Palatino Linotype"/>
          <w:color w:val="000000"/>
        </w:rPr>
        <w:t xml:space="preserve">, de tal forma que el plazo para interponer el recurso de revisión transcurrió del día </w:t>
      </w:r>
      <w:r>
        <w:rPr>
          <w:rFonts w:ascii="Palatino Linotype" w:eastAsia="Palatino Linotype" w:hAnsi="Palatino Linotype" w:cs="Palatino Linotype"/>
          <w:b/>
          <w:bCs/>
          <w:color w:val="000000"/>
        </w:rPr>
        <w:t>veinte de octubre al siete de noviembre de dos mil veinticinco</w:t>
      </w:r>
      <w:r>
        <w:rPr>
          <w:rFonts w:ascii="Palatino Linotype" w:eastAsia="Palatino Linotype" w:hAnsi="Palatino Linotype" w:cs="Palatino Linotype"/>
          <w:color w:val="000000"/>
        </w:rPr>
        <w:t xml:space="preserve">, en consecuencia, presentó su inconformidad el día </w:t>
      </w:r>
      <w:r>
        <w:rPr>
          <w:rFonts w:ascii="Palatino Linotype" w:eastAsia="Palatino Linotype" w:hAnsi="Palatino Linotype" w:cs="Palatino Linotype"/>
          <w:b/>
          <w:bCs/>
          <w:color w:val="000000"/>
        </w:rPr>
        <w:t>veintitrés de octubre de dos mil veinticinco</w:t>
      </w:r>
      <w:r>
        <w:rPr>
          <w:rFonts w:ascii="Palatino Linotype" w:eastAsia="Palatino Linotype" w:hAnsi="Palatino Linotype" w:cs="Palatino Linotype"/>
          <w:color w:val="000000"/>
        </w:rPr>
        <w:t xml:space="preserve">, por lo que se encuentra dentro de los márgenes temporales previstos en el artículo señalados en el artículo 128 de la </w:t>
      </w:r>
      <w:r>
        <w:rPr>
          <w:rFonts w:ascii="Palatino Linotype" w:eastAsia="Palatino Linotype" w:hAnsi="Palatino Linotype" w:cs="Palatino Linotype"/>
          <w:b/>
          <w:bCs/>
          <w:color w:val="000000"/>
        </w:rPr>
        <w:t>Ley de Protección de Datos Personales en Posesión de Sujetos Obligados del Estado de México y Municipios.</w:t>
      </w:r>
      <w:r>
        <w:rPr>
          <w:rFonts w:ascii="Palatino Linotype" w:eastAsia="Palatino Linotype" w:hAnsi="Palatino Linotype" w:cs="Palatino Linotype"/>
          <w:color w:val="000000"/>
        </w:rPr>
        <w:t xml:space="preserve"> </w:t>
      </w:r>
    </w:p>
    <w:p w:rsidR="006C5232" w:rsidRDefault="006C5232">
      <w:pPr>
        <w:pBdr>
          <w:top w:val="nil"/>
          <w:left w:val="nil"/>
          <w:bottom w:val="nil"/>
          <w:right w:val="nil"/>
          <w:between w:val="nil"/>
        </w:pBdr>
        <w:spacing w:line="360" w:lineRule="auto"/>
        <w:ind w:right="-1071"/>
        <w:jc w:val="both"/>
        <w:rPr>
          <w:rFonts w:ascii="Palatino Linotype" w:eastAsia="Palatino Linotype" w:hAnsi="Palatino Linotype" w:cs="Palatino Linotype"/>
          <w:color w:val="000000"/>
        </w:rPr>
      </w:pPr>
    </w:p>
    <w:p w:rsidR="006C5232" w:rsidRDefault="00D56692">
      <w:pPr>
        <w:numPr>
          <w:ilvl w:val="0"/>
          <w:numId w:val="3"/>
        </w:numPr>
        <w:pBdr>
          <w:top w:val="nil"/>
          <w:left w:val="nil"/>
          <w:bottom w:val="nil"/>
          <w:right w:val="nil"/>
          <w:between w:val="nil"/>
        </w:pBdr>
        <w:spacing w:after="240" w:line="360" w:lineRule="auto"/>
        <w:ind w:right="-1071"/>
        <w:jc w:val="both"/>
        <w:rPr>
          <w:color w:val="000000"/>
        </w:rPr>
      </w:pPr>
      <w:r>
        <w:rPr>
          <w:rFonts w:ascii="Palatino Linotype" w:eastAsia="Palatino Linotype" w:hAnsi="Palatino Linotype" w:cs="Palatino Linotype"/>
          <w:color w:val="000000"/>
        </w:rPr>
        <w:t>Por otro lado, el escrito contiene las formalidades previstas por el artículo 130 de la Ley de la materia, por lo que es procedente que este Instituto de Transparencia, Acceso a la Información Pública y Protección de Datos Personales del Estado de México y Municipios, conozca y resuelva el presente recurso.</w:t>
      </w:r>
    </w:p>
    <w:p w:rsidR="006C5232" w:rsidRDefault="00D56692">
      <w:pPr>
        <w:pStyle w:val="Ttulo1"/>
        <w:spacing w:line="360" w:lineRule="auto"/>
        <w:ind w:right="-1071"/>
        <w:rPr>
          <w:b/>
          <w:bCs/>
        </w:rPr>
      </w:pPr>
      <w:r>
        <w:rPr>
          <w:b/>
          <w:bCs/>
        </w:rPr>
        <w:t>TERCERO. Estudio y resolución del asunto.</w:t>
      </w:r>
    </w:p>
    <w:p w:rsidR="006C5232" w:rsidRDefault="00D56692">
      <w:pPr>
        <w:numPr>
          <w:ilvl w:val="0"/>
          <w:numId w:val="3"/>
        </w:numPr>
        <w:pBdr>
          <w:top w:val="nil"/>
          <w:left w:val="nil"/>
          <w:bottom w:val="nil"/>
          <w:right w:val="nil"/>
          <w:between w:val="nil"/>
        </w:pBdr>
        <w:spacing w:before="240" w:line="360" w:lineRule="auto"/>
        <w:ind w:right="-1071"/>
        <w:jc w:val="both"/>
        <w:rPr>
          <w:color w:val="000000"/>
        </w:rPr>
      </w:pPr>
      <w:r>
        <w:rPr>
          <w:rFonts w:ascii="Palatino Linotype" w:eastAsia="Palatino Linotype" w:hAnsi="Palatino Linotype" w:cs="Palatino Linotype"/>
          <w:color w:val="000000"/>
        </w:rPr>
        <w:t xml:space="preserve">El recurrente titular de los datos personales solicitó se borre o no se </w:t>
      </w:r>
      <w:r>
        <w:rPr>
          <w:rFonts w:ascii="Palatino Linotype" w:eastAsia="Palatino Linotype" w:hAnsi="Palatino Linotype" w:cs="Palatino Linotype"/>
        </w:rPr>
        <w:t>permita</w:t>
      </w:r>
      <w:r>
        <w:rPr>
          <w:rFonts w:ascii="Palatino Linotype" w:eastAsia="Palatino Linotype" w:hAnsi="Palatino Linotype" w:cs="Palatino Linotype"/>
          <w:color w:val="000000"/>
        </w:rPr>
        <w:t xml:space="preserve"> la consulta, búsqueda o aparición pública de su nombre, domicilio, teléfono y cualquier otro dato personal publicado en el boletín laboral derivado del expediente que señaló en su solicitud. El Sujeto Obligado señaló en respuesta, que se procedió a la cancelación del nombre de la Recurrente en los boletines laborales publicados por esa junta.  </w:t>
      </w:r>
    </w:p>
    <w:p w:rsidR="006C5232" w:rsidRDefault="006C5232">
      <w:pPr>
        <w:pBdr>
          <w:top w:val="nil"/>
          <w:left w:val="nil"/>
          <w:bottom w:val="nil"/>
          <w:right w:val="nil"/>
          <w:between w:val="nil"/>
        </w:pBdr>
        <w:spacing w:line="360" w:lineRule="auto"/>
        <w:ind w:right="-1071"/>
        <w:jc w:val="both"/>
        <w:rPr>
          <w:rFonts w:ascii="Palatino Linotype" w:eastAsia="Palatino Linotype" w:hAnsi="Palatino Linotype" w:cs="Palatino Linotype"/>
          <w:color w:val="000000"/>
        </w:rPr>
      </w:pPr>
    </w:p>
    <w:p w:rsidR="006C5232" w:rsidRDefault="00D56692">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t xml:space="preserve">El Recurrente se </w:t>
      </w:r>
      <w:r>
        <w:rPr>
          <w:rFonts w:ascii="Palatino Linotype" w:eastAsia="Palatino Linotype" w:hAnsi="Palatino Linotype" w:cs="Palatino Linotype"/>
        </w:rPr>
        <w:t>inconforma</w:t>
      </w:r>
      <w:r>
        <w:rPr>
          <w:rFonts w:ascii="Palatino Linotype" w:eastAsia="Palatino Linotype" w:hAnsi="Palatino Linotype" w:cs="Palatino Linotype"/>
          <w:color w:val="000000"/>
        </w:rPr>
        <w:t xml:space="preserve"> porque sus datos siguen apareciendo en los boletines laborales.</w:t>
      </w:r>
    </w:p>
    <w:p w:rsidR="006C5232" w:rsidRDefault="00D56692">
      <w:pPr>
        <w:pBdr>
          <w:top w:val="nil"/>
          <w:left w:val="nil"/>
          <w:bottom w:val="nil"/>
          <w:right w:val="nil"/>
          <w:between w:val="nil"/>
        </w:pBdr>
        <w:spacing w:line="360" w:lineRule="auto"/>
        <w:ind w:right="-107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 </w:t>
      </w:r>
    </w:p>
    <w:p w:rsidR="006C5232" w:rsidRDefault="00D56692">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lastRenderedPageBreak/>
        <w:t xml:space="preserve">El recurso revisión tiene como finalidad reparar cualquier posible afectación al derecho del particular en términos del Título Octavo de la Ley de Transparencia, Acceso a la Información Pública del Estado de México y Municipios de aplicación supletoria y determinar la confirmación; revocación o modificación; desechamiento o </w:t>
      </w:r>
      <w:r>
        <w:rPr>
          <w:rFonts w:ascii="Palatino Linotype" w:eastAsia="Palatino Linotype" w:hAnsi="Palatino Linotype" w:cs="Palatino Linotype"/>
          <w:b/>
          <w:bCs/>
          <w:color w:val="000000"/>
          <w:u w:val="single"/>
        </w:rPr>
        <w:t>sobreseimiento</w:t>
      </w:r>
      <w:r>
        <w:rPr>
          <w:rFonts w:ascii="Palatino Linotype" w:eastAsia="Palatino Linotype" w:hAnsi="Palatino Linotype" w:cs="Palatino Linotype"/>
          <w:color w:val="000000"/>
        </w:rPr>
        <w:t xml:space="preserve">; y en su caso ordenar la entrega de la información respecto a la respuesta emitida por el </w:t>
      </w:r>
      <w:r>
        <w:rPr>
          <w:rFonts w:ascii="Palatino Linotype" w:eastAsia="Palatino Linotype" w:hAnsi="Palatino Linotype" w:cs="Palatino Linotype"/>
          <w:b/>
          <w:bCs/>
          <w:color w:val="000000"/>
        </w:rPr>
        <w:t>SUJETO</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color w:val="000000"/>
        </w:rPr>
        <w:t xml:space="preserve">OBLIGADO. </w:t>
      </w:r>
      <w:r>
        <w:rPr>
          <w:rFonts w:ascii="Palatino Linotype" w:eastAsia="Palatino Linotype" w:hAnsi="Palatino Linotype" w:cs="Palatino Linotype"/>
          <w:color w:val="000000"/>
        </w:rPr>
        <w:t>En el presente asunto en particular, se analizará si se actualiza la causal contemplada en la fracción VI del artículo 129, relativo a que se niegue total o parcialmente el acceso, rectificación, cancelación u oposición de datos personales o los derechos relacionados con la materia, de la Ley de Protección de Datos Personales en Posesión de los Sujetos Obligados del Estado de México y Municipios.</w:t>
      </w:r>
    </w:p>
    <w:p w:rsidR="006C5232" w:rsidRDefault="006C5232">
      <w:pPr>
        <w:pBdr>
          <w:top w:val="nil"/>
          <w:left w:val="nil"/>
          <w:bottom w:val="nil"/>
          <w:right w:val="nil"/>
          <w:between w:val="nil"/>
        </w:pBdr>
        <w:ind w:left="720" w:right="-1071"/>
        <w:rPr>
          <w:rFonts w:ascii="Palatino Linotype" w:eastAsia="Palatino Linotype" w:hAnsi="Palatino Linotype" w:cs="Palatino Linotype"/>
          <w:color w:val="000000"/>
        </w:rPr>
      </w:pPr>
    </w:p>
    <w:p w:rsidR="006C5232" w:rsidRDefault="00D56692">
      <w:pPr>
        <w:pStyle w:val="Ttulo2"/>
        <w:numPr>
          <w:ilvl w:val="0"/>
          <w:numId w:val="4"/>
        </w:numPr>
        <w:spacing w:line="360" w:lineRule="auto"/>
        <w:ind w:right="-1071"/>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color w:val="000000"/>
          <w:sz w:val="24"/>
          <w:szCs w:val="24"/>
        </w:rPr>
        <w:t>De los Derechos ARCO</w:t>
      </w:r>
    </w:p>
    <w:p w:rsidR="006C5232" w:rsidRDefault="00D56692">
      <w:pPr>
        <w:numPr>
          <w:ilvl w:val="0"/>
          <w:numId w:val="3"/>
        </w:numPr>
        <w:pBdr>
          <w:top w:val="nil"/>
          <w:left w:val="nil"/>
          <w:bottom w:val="nil"/>
          <w:right w:val="nil"/>
          <w:between w:val="nil"/>
        </w:pBdr>
        <w:spacing w:line="360" w:lineRule="auto"/>
        <w:ind w:right="-1071"/>
        <w:jc w:val="both"/>
        <w:rPr>
          <w:color w:val="000000"/>
        </w:rPr>
      </w:pPr>
      <w:r>
        <w:rPr>
          <w:color w:val="000000"/>
        </w:rPr>
        <w:t>La Constitución Política de los Estados Unidos Mexicanos en el artículo 6, apartado A, fracción II, III, IV y VIII establecen lo siguiente:</w:t>
      </w:r>
    </w:p>
    <w:p w:rsidR="006C5232" w:rsidRDefault="006C5232">
      <w:pPr>
        <w:pBdr>
          <w:top w:val="nil"/>
          <w:left w:val="nil"/>
          <w:bottom w:val="nil"/>
          <w:right w:val="nil"/>
          <w:between w:val="nil"/>
        </w:pBdr>
        <w:spacing w:line="360" w:lineRule="auto"/>
        <w:ind w:right="-1071"/>
        <w:jc w:val="both"/>
        <w:rPr>
          <w:color w:val="000000"/>
        </w:rPr>
      </w:pPr>
    </w:p>
    <w:p w:rsidR="006C5232" w:rsidRDefault="00D56692">
      <w:pPr>
        <w:pBdr>
          <w:top w:val="nil"/>
          <w:left w:val="nil"/>
          <w:bottom w:val="nil"/>
          <w:right w:val="nil"/>
          <w:between w:val="nil"/>
        </w:pBdr>
        <w:spacing w:line="360" w:lineRule="auto"/>
        <w:ind w:left="567"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Artículo 6o.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rsidR="006C5232" w:rsidRDefault="00D56692">
      <w:pPr>
        <w:pBdr>
          <w:top w:val="nil"/>
          <w:left w:val="nil"/>
          <w:bottom w:val="nil"/>
          <w:right w:val="nil"/>
          <w:between w:val="nil"/>
        </w:pBdr>
        <w:spacing w:line="360" w:lineRule="auto"/>
        <w:ind w:left="567"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6C5232" w:rsidRDefault="00D56692">
      <w:pPr>
        <w:pBdr>
          <w:top w:val="nil"/>
          <w:left w:val="nil"/>
          <w:bottom w:val="nil"/>
          <w:right w:val="nil"/>
          <w:between w:val="nil"/>
        </w:pBdr>
        <w:spacing w:line="360" w:lineRule="auto"/>
        <w:ind w:left="567"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A. Para el ejercicio del derecho de acceso a la información, la Federación y las entidades federativas, en el ámbito de sus respectivas competencias, se regirán por los siguientes principios y bases:</w:t>
      </w:r>
    </w:p>
    <w:p w:rsidR="006C5232" w:rsidRDefault="00D56692">
      <w:pPr>
        <w:pBdr>
          <w:top w:val="nil"/>
          <w:left w:val="nil"/>
          <w:bottom w:val="nil"/>
          <w:right w:val="nil"/>
          <w:between w:val="nil"/>
        </w:pBdr>
        <w:spacing w:line="360" w:lineRule="auto"/>
        <w:ind w:left="567"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6C5232" w:rsidRDefault="00D56692">
      <w:pPr>
        <w:pBdr>
          <w:top w:val="nil"/>
          <w:left w:val="nil"/>
          <w:bottom w:val="nil"/>
          <w:right w:val="nil"/>
          <w:between w:val="nil"/>
        </w:pBdr>
        <w:spacing w:line="360" w:lineRule="auto"/>
        <w:ind w:left="567"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II. La información que se refiere a la vida privada y los datos personales será protegida en los términos y con las excepciones que fijen las leyes.</w:t>
      </w:r>
    </w:p>
    <w:p w:rsidR="006C5232" w:rsidRDefault="00D56692">
      <w:pPr>
        <w:pBdr>
          <w:top w:val="nil"/>
          <w:left w:val="nil"/>
          <w:bottom w:val="nil"/>
          <w:right w:val="nil"/>
          <w:between w:val="nil"/>
        </w:pBdr>
        <w:spacing w:line="360" w:lineRule="auto"/>
        <w:ind w:left="567" w:right="-1071"/>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lastRenderedPageBreak/>
        <w:t>III. Toda persona, sin necesidad de acreditar interés alguno o justificar su utilización, tendrá acceso gratuito</w:t>
      </w:r>
      <w:r>
        <w:rPr>
          <w:rFonts w:ascii="Palatino Linotype" w:eastAsia="Palatino Linotype" w:hAnsi="Palatino Linotype" w:cs="Palatino Linotype"/>
          <w:i/>
          <w:iCs/>
          <w:color w:val="000000"/>
        </w:rPr>
        <w:t xml:space="preserve"> a la información pública, </w:t>
      </w:r>
      <w:r>
        <w:rPr>
          <w:rFonts w:ascii="Palatino Linotype" w:eastAsia="Palatino Linotype" w:hAnsi="Palatino Linotype" w:cs="Palatino Linotype"/>
          <w:b/>
          <w:bCs/>
          <w:i/>
          <w:iCs/>
          <w:color w:val="000000"/>
        </w:rPr>
        <w:t xml:space="preserve">a sus datos personales o a la rectificación de éstos. </w:t>
      </w:r>
    </w:p>
    <w:p w:rsidR="006C5232" w:rsidRDefault="00D56692">
      <w:pPr>
        <w:pBdr>
          <w:top w:val="nil"/>
          <w:left w:val="nil"/>
          <w:bottom w:val="nil"/>
          <w:right w:val="nil"/>
          <w:between w:val="nil"/>
        </w:pBdr>
        <w:spacing w:line="360" w:lineRule="auto"/>
        <w:ind w:left="567"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IV. Se establecerán mecanismos de acceso a la información y procedimientos de revisión expeditos</w:t>
      </w:r>
      <w:r>
        <w:rPr>
          <w:rFonts w:ascii="Palatino Linotype" w:eastAsia="Palatino Linotype" w:hAnsi="Palatino Linotype" w:cs="Palatino Linotype"/>
          <w:i/>
          <w:iCs/>
          <w:color w:val="000000"/>
        </w:rPr>
        <w:t xml:space="preserve"> que se sustanciarán ante los organismos autónomos especializados e imparciales que establece esta Constitución.</w:t>
      </w:r>
    </w:p>
    <w:p w:rsidR="006C5232" w:rsidRDefault="00D56692">
      <w:pPr>
        <w:pBdr>
          <w:top w:val="nil"/>
          <w:left w:val="nil"/>
          <w:bottom w:val="nil"/>
          <w:right w:val="nil"/>
          <w:between w:val="nil"/>
        </w:pBdr>
        <w:spacing w:line="360" w:lineRule="auto"/>
        <w:ind w:left="567"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6C5232" w:rsidRDefault="00D56692">
      <w:pPr>
        <w:pBdr>
          <w:top w:val="nil"/>
          <w:left w:val="nil"/>
          <w:bottom w:val="nil"/>
          <w:right w:val="nil"/>
          <w:between w:val="nil"/>
        </w:pBdr>
        <w:spacing w:line="360" w:lineRule="auto"/>
        <w:ind w:left="567"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VIII. La Federación contará con un organismo autónomo, especializado</w:t>
      </w:r>
      <w:r>
        <w:rPr>
          <w:rFonts w:ascii="Palatino Linotype" w:eastAsia="Palatino Linotype" w:hAnsi="Palatino Linotype" w:cs="Palatino Linotype"/>
          <w:i/>
          <w:iCs/>
          <w:color w:val="000000"/>
        </w:rPr>
        <w:t>, imparcial, colegiado, con personalidad jurídica y patrimonio propio, con plena autonomía técnica, de gestión, capacidad para decidir sobre el ejercicio de su presupuesto y determinar su organización interna</w:t>
      </w:r>
      <w:r>
        <w:rPr>
          <w:rFonts w:ascii="Palatino Linotype" w:eastAsia="Palatino Linotype" w:hAnsi="Palatino Linotype" w:cs="Palatino Linotype"/>
          <w:b/>
          <w:bCs/>
          <w:i/>
          <w:iCs/>
          <w:color w:val="000000"/>
        </w:rPr>
        <w:t>, responsable de garantizar el cumplimiento del derecho de</w:t>
      </w:r>
      <w:r>
        <w:rPr>
          <w:rFonts w:ascii="Palatino Linotype" w:eastAsia="Palatino Linotype" w:hAnsi="Palatino Linotype" w:cs="Palatino Linotype"/>
          <w:i/>
          <w:iCs/>
          <w:color w:val="000000"/>
        </w:rPr>
        <w:t xml:space="preserve"> acceso a la información pública y a la </w:t>
      </w:r>
      <w:r>
        <w:rPr>
          <w:rFonts w:ascii="Palatino Linotype" w:eastAsia="Palatino Linotype" w:hAnsi="Palatino Linotype" w:cs="Palatino Linotype"/>
          <w:b/>
          <w:bCs/>
          <w:i/>
          <w:iCs/>
          <w:color w:val="000000"/>
        </w:rPr>
        <w:t>protección de datos personales en posesión de los sujetos obligados en los términos que establezca la ley</w:t>
      </w:r>
      <w:r>
        <w:rPr>
          <w:rFonts w:ascii="Palatino Linotype" w:eastAsia="Palatino Linotype" w:hAnsi="Palatino Linotype" w:cs="Palatino Linotype"/>
          <w:i/>
          <w:iCs/>
          <w:color w:val="000000"/>
        </w:rPr>
        <w:t xml:space="preserve">. </w:t>
      </w:r>
    </w:p>
    <w:p w:rsidR="006C5232" w:rsidRDefault="006C5232">
      <w:pPr>
        <w:pBdr>
          <w:top w:val="nil"/>
          <w:left w:val="nil"/>
          <w:bottom w:val="nil"/>
          <w:right w:val="nil"/>
          <w:between w:val="nil"/>
        </w:pBdr>
        <w:spacing w:line="360" w:lineRule="auto"/>
        <w:ind w:left="567" w:right="-1071"/>
        <w:jc w:val="both"/>
        <w:rPr>
          <w:rFonts w:ascii="Palatino Linotype" w:eastAsia="Palatino Linotype" w:hAnsi="Palatino Linotype" w:cs="Palatino Linotype"/>
          <w:i/>
          <w:iCs/>
          <w:color w:val="000000"/>
        </w:rPr>
      </w:pPr>
    </w:p>
    <w:p w:rsidR="006C5232" w:rsidRDefault="00D56692">
      <w:pPr>
        <w:pBdr>
          <w:top w:val="nil"/>
          <w:left w:val="nil"/>
          <w:bottom w:val="nil"/>
          <w:right w:val="nil"/>
          <w:between w:val="nil"/>
        </w:pBdr>
        <w:spacing w:line="360" w:lineRule="auto"/>
        <w:ind w:left="567"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El organismo autónomo</w:t>
      </w:r>
      <w:r>
        <w:rPr>
          <w:rFonts w:ascii="Palatino Linotype" w:eastAsia="Palatino Linotype" w:hAnsi="Palatino Linotype" w:cs="Palatino Linotype"/>
          <w:i/>
          <w:iCs/>
          <w:color w:val="000000"/>
        </w:rPr>
        <w:t xml:space="preserve"> previsto en esta fracción, se </w:t>
      </w:r>
      <w:r>
        <w:rPr>
          <w:rFonts w:ascii="Palatino Linotype" w:eastAsia="Palatino Linotype" w:hAnsi="Palatino Linotype" w:cs="Palatino Linotype"/>
          <w:b/>
          <w:bCs/>
          <w:i/>
          <w:iCs/>
          <w:color w:val="000000"/>
        </w:rPr>
        <w:t>regirá por la ley en materia de</w:t>
      </w:r>
      <w:r>
        <w:rPr>
          <w:rFonts w:ascii="Palatino Linotype" w:eastAsia="Palatino Linotype" w:hAnsi="Palatino Linotype" w:cs="Palatino Linotype"/>
          <w:i/>
          <w:iCs/>
          <w:color w:val="000000"/>
        </w:rPr>
        <w:t xml:space="preserve"> transparencia y acceso a la información pública y </w:t>
      </w:r>
      <w:r>
        <w:rPr>
          <w:rFonts w:ascii="Palatino Linotype" w:eastAsia="Palatino Linotype" w:hAnsi="Palatino Linotype" w:cs="Palatino Linotype"/>
          <w:b/>
          <w:bCs/>
          <w:i/>
          <w:iCs/>
          <w:color w:val="000000"/>
        </w:rPr>
        <w:t>protección de datos personales en posesión de sujetos obligados</w:t>
      </w:r>
      <w:r>
        <w:rPr>
          <w:rFonts w:ascii="Palatino Linotype" w:eastAsia="Palatino Linotype" w:hAnsi="Palatino Linotype" w:cs="Palatino Linotype"/>
          <w:i/>
          <w:iCs/>
          <w:color w:val="000000"/>
        </w:rPr>
        <w:t>, en los términos que establezca la ley general que emita el Congreso de la Unión para establecer las bases, principios generales y procedimientos del ejercicio de este derecho</w:t>
      </w:r>
    </w:p>
    <w:p w:rsidR="006C5232" w:rsidRDefault="006C5232">
      <w:pPr>
        <w:pBdr>
          <w:top w:val="nil"/>
          <w:left w:val="nil"/>
          <w:bottom w:val="nil"/>
          <w:right w:val="nil"/>
          <w:between w:val="nil"/>
        </w:pBdr>
        <w:spacing w:line="360" w:lineRule="auto"/>
        <w:ind w:left="567" w:right="-1071"/>
        <w:jc w:val="both"/>
        <w:rPr>
          <w:rFonts w:ascii="Palatino Linotype" w:eastAsia="Palatino Linotype" w:hAnsi="Palatino Linotype" w:cs="Palatino Linotype"/>
          <w:i/>
          <w:iCs/>
          <w:color w:val="000000"/>
        </w:rPr>
      </w:pPr>
    </w:p>
    <w:p w:rsidR="006C5232" w:rsidRDefault="00D56692">
      <w:pPr>
        <w:pBdr>
          <w:top w:val="nil"/>
          <w:left w:val="nil"/>
          <w:bottom w:val="nil"/>
          <w:right w:val="nil"/>
          <w:between w:val="nil"/>
        </w:pBdr>
        <w:spacing w:line="360" w:lineRule="auto"/>
        <w:ind w:left="567"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En su funcionamiento se regirá por los principios de certeza, legalidad, independencia, imparcialidad, eficacia, objetividad, profesionalismo, transparencia y máxima publicidad. </w:t>
      </w:r>
    </w:p>
    <w:p w:rsidR="006C5232" w:rsidRDefault="00D56692">
      <w:pPr>
        <w:pBdr>
          <w:top w:val="nil"/>
          <w:left w:val="nil"/>
          <w:bottom w:val="nil"/>
          <w:right w:val="nil"/>
          <w:between w:val="nil"/>
        </w:pBdr>
        <w:spacing w:line="360" w:lineRule="auto"/>
        <w:ind w:left="567"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El organismo garante tiene competencia para conocer de los asuntos relacionados con</w:t>
      </w:r>
      <w:r>
        <w:rPr>
          <w:rFonts w:ascii="Palatino Linotype" w:eastAsia="Palatino Linotype" w:hAnsi="Palatino Linotype" w:cs="Palatino Linotype"/>
          <w:i/>
          <w:iCs/>
          <w:color w:val="000000"/>
        </w:rPr>
        <w:t xml:space="preserve"> el acceso a la información pública y </w:t>
      </w:r>
      <w:r>
        <w:rPr>
          <w:rFonts w:ascii="Palatino Linotype" w:eastAsia="Palatino Linotype" w:hAnsi="Palatino Linotype" w:cs="Palatino Linotype"/>
          <w:b/>
          <w:bCs/>
          <w:i/>
          <w:iCs/>
          <w:color w:val="000000"/>
        </w:rPr>
        <w:t>la protección de datos personales de cualquier autoridad, entidad,</w:t>
      </w:r>
      <w:r>
        <w:rPr>
          <w:rFonts w:ascii="Palatino Linotype" w:eastAsia="Palatino Linotype" w:hAnsi="Palatino Linotype" w:cs="Palatino Linotype"/>
          <w:i/>
          <w:iCs/>
          <w:color w:val="000000"/>
        </w:rPr>
        <w:t xml:space="preserve"> órgano u organismo que forme parte de alguno de los Poderes Legislativo, Ejecutivo y </w:t>
      </w:r>
      <w:r>
        <w:rPr>
          <w:rFonts w:ascii="Palatino Linotype" w:eastAsia="Palatino Linotype" w:hAnsi="Palatino Linotype" w:cs="Palatino Linotype"/>
          <w:i/>
          <w:iCs/>
          <w:color w:val="000000"/>
        </w:rPr>
        <w:lastRenderedPageBreak/>
        <w:t>Judicial, órganos autónomos, partidos políticos, fideicomisos y fondos públicos, así como de cualquier persona física, moral o sindicatos que reciba y ejerza recursos públicos o realice actos de autoridad en el ámbito federal; con excepción de aquellos asuntos jurisdiccionales que correspondan a la Suprema Corte de Justicia de la Nación, en cuyo caso resolverá un comité integrado por tres ministros. También conocerá de los recursos que interpongan los particulares respecto de las resoluciones de los organismos autónomos especializados de las entidades federativas que determinen la reserva, confidencialidad, inexistencia o negativa de la información, en los términos que establezca la ley.</w:t>
      </w:r>
    </w:p>
    <w:p w:rsidR="006C5232" w:rsidRDefault="006C5232">
      <w:pPr>
        <w:pBdr>
          <w:top w:val="nil"/>
          <w:left w:val="nil"/>
          <w:bottom w:val="nil"/>
          <w:right w:val="nil"/>
          <w:between w:val="nil"/>
        </w:pBdr>
        <w:spacing w:line="360" w:lineRule="auto"/>
        <w:ind w:right="-1071"/>
        <w:jc w:val="both"/>
        <w:rPr>
          <w:color w:val="000000"/>
        </w:rPr>
      </w:pPr>
    </w:p>
    <w:p w:rsidR="006C5232" w:rsidRPr="009E0079" w:rsidRDefault="00D56692">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t>De la interpretación armónica y progresiva de los dispositivos legales citados, se determina la existencia de un Órgano Autónomo, encargado de garantizar la correcta tutela de la protección de los datos personales en posesión de los Sujetos Obligados.</w:t>
      </w:r>
    </w:p>
    <w:p w:rsidR="009E0079" w:rsidRDefault="009E0079" w:rsidP="009E0079">
      <w:pPr>
        <w:pBdr>
          <w:top w:val="nil"/>
          <w:left w:val="nil"/>
          <w:bottom w:val="nil"/>
          <w:right w:val="nil"/>
          <w:between w:val="nil"/>
        </w:pBdr>
        <w:spacing w:line="360" w:lineRule="auto"/>
        <w:ind w:right="-1071"/>
        <w:jc w:val="both"/>
        <w:rPr>
          <w:color w:val="000000"/>
        </w:rPr>
      </w:pPr>
    </w:p>
    <w:p w:rsidR="006C5232" w:rsidRDefault="00D56692">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t>En el mismo, dicho ordenamiento legal, ahora en el artículo 16, segundo párrafo establece lo siguiente:</w:t>
      </w:r>
    </w:p>
    <w:p w:rsidR="006C5232" w:rsidRDefault="00D56692">
      <w:pPr>
        <w:spacing w:line="360" w:lineRule="auto"/>
        <w:ind w:left="567" w:right="-107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Artículo 16. Nadie puede ser molestado en su persona, familia, domicilio, papeles o posesiones, sino en virtud de mandamiento escrito de la autoridad competente, que funde y motive la causa legal del procedimiento. En los juicios y procedimientos seguidos en forma de juicio en los que se establezca como regla la oralidad, bastará con que quede constancia de ellos en cualquier medio que dé certeza de su contenido y del cumplimiento de lo previsto en este párrafo. </w:t>
      </w:r>
    </w:p>
    <w:p w:rsidR="006C5232" w:rsidRDefault="006C5232">
      <w:pPr>
        <w:spacing w:line="360" w:lineRule="auto"/>
        <w:ind w:left="567" w:right="-1071"/>
        <w:jc w:val="both"/>
        <w:rPr>
          <w:rFonts w:ascii="Palatino Linotype" w:eastAsia="Palatino Linotype" w:hAnsi="Palatino Linotype" w:cs="Palatino Linotype"/>
          <w:i/>
          <w:iCs/>
        </w:rPr>
      </w:pPr>
    </w:p>
    <w:p w:rsidR="006C5232" w:rsidRDefault="00D56692">
      <w:pPr>
        <w:spacing w:line="360" w:lineRule="auto"/>
        <w:ind w:left="567" w:right="-1071"/>
        <w:jc w:val="both"/>
        <w:rPr>
          <w:rFonts w:ascii="Palatino Linotype" w:eastAsia="Palatino Linotype" w:hAnsi="Palatino Linotype" w:cs="Palatino Linotype"/>
          <w:i/>
          <w:iCs/>
        </w:rPr>
      </w:pPr>
      <w:r>
        <w:rPr>
          <w:rFonts w:ascii="Palatino Linotype" w:eastAsia="Palatino Linotype" w:hAnsi="Palatino Linotype" w:cs="Palatino Linotype"/>
          <w:b/>
          <w:bCs/>
          <w:i/>
          <w:iCs/>
        </w:rPr>
        <w:t>Toda persona tiene derecho a la protección de sus datos personales, al acceso, rectificación y cancelación de los mismos, así como a manifestar su oposición,</w:t>
      </w:r>
      <w:r>
        <w:rPr>
          <w:rFonts w:ascii="Palatino Linotype" w:eastAsia="Palatino Linotype" w:hAnsi="Palatino Linotype" w:cs="Palatino Linotype"/>
          <w:i/>
          <w:iCs/>
        </w:rPr>
        <w:t xml:space="preserve"> en los términos que fije la ley, la cual establecerá los supuestos de excepción a los principios que rijan el </w:t>
      </w:r>
      <w:r>
        <w:rPr>
          <w:rFonts w:ascii="Palatino Linotype" w:eastAsia="Palatino Linotype" w:hAnsi="Palatino Linotype" w:cs="Palatino Linotype"/>
          <w:i/>
          <w:iCs/>
        </w:rPr>
        <w:lastRenderedPageBreak/>
        <w:t>tratamiento de datos, por razones de seguridad nacional, disposiciones de orden público, seguridad y salud públicas o para proteger los derechos de terceros.</w:t>
      </w:r>
    </w:p>
    <w:p w:rsidR="006C5232" w:rsidRDefault="006C5232">
      <w:pPr>
        <w:spacing w:line="360" w:lineRule="auto"/>
        <w:ind w:right="-1071"/>
        <w:jc w:val="both"/>
      </w:pPr>
    </w:p>
    <w:p w:rsidR="006C5232" w:rsidRDefault="00D56692">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t>Hasta lo expuesto en líneas anteriores, se determina que toda persona tiene derecho a la protección de sus datos personales que son el acceso, rectificación</w:t>
      </w:r>
      <w:r>
        <w:rPr>
          <w:rFonts w:ascii="Palatino Linotype" w:eastAsia="Palatino Linotype" w:hAnsi="Palatino Linotype" w:cs="Palatino Linotype"/>
          <w:b/>
          <w:bCs/>
          <w:i/>
          <w:iCs/>
          <w:color w:val="000000"/>
        </w:rPr>
        <w:t xml:space="preserve"> cancelación</w:t>
      </w:r>
      <w:r>
        <w:rPr>
          <w:rFonts w:ascii="Palatino Linotype" w:eastAsia="Palatino Linotype" w:hAnsi="Palatino Linotype" w:cs="Palatino Linotype"/>
          <w:color w:val="000000"/>
        </w:rPr>
        <w:t xml:space="preserve"> y oposición, los cuales serán garantizados por un Órgano Autónomo, para el caso del Estado de México, es el Instituto de Transparencia, Acceso a la Información Pública y Protección de Datos Personales del Estado de México y Municipios.</w:t>
      </w:r>
    </w:p>
    <w:p w:rsidR="006C5232" w:rsidRDefault="006C5232">
      <w:pPr>
        <w:pBdr>
          <w:top w:val="nil"/>
          <w:left w:val="nil"/>
          <w:bottom w:val="nil"/>
          <w:right w:val="nil"/>
          <w:between w:val="nil"/>
        </w:pBdr>
        <w:spacing w:line="360" w:lineRule="auto"/>
        <w:ind w:right="-1071"/>
        <w:jc w:val="both"/>
        <w:rPr>
          <w:color w:val="000000"/>
        </w:rPr>
      </w:pPr>
    </w:p>
    <w:p w:rsidR="006C5232" w:rsidRPr="009E0079" w:rsidRDefault="00D56692">
      <w:pPr>
        <w:numPr>
          <w:ilvl w:val="0"/>
          <w:numId w:val="3"/>
        </w:numPr>
        <w:pBdr>
          <w:top w:val="nil"/>
          <w:left w:val="nil"/>
          <w:bottom w:val="nil"/>
          <w:right w:val="nil"/>
          <w:between w:val="nil"/>
        </w:pBdr>
        <w:spacing w:line="360" w:lineRule="auto"/>
        <w:ind w:right="-1071"/>
        <w:jc w:val="both"/>
        <w:rPr>
          <w:i/>
          <w:iCs/>
          <w:color w:val="000000"/>
        </w:rPr>
      </w:pPr>
      <w:r>
        <w:rPr>
          <w:rFonts w:ascii="Palatino Linotype" w:eastAsia="Palatino Linotype" w:hAnsi="Palatino Linotype" w:cs="Palatino Linotype"/>
          <w:color w:val="000000"/>
        </w:rPr>
        <w:t xml:space="preserve">Por su parte, la Ley de Protección de Datos Personales en Posesión de los Sujetos Obligados del Estado de México y Municipios </w:t>
      </w:r>
      <w:r>
        <w:rPr>
          <w:rFonts w:ascii="Palatino Linotype" w:eastAsia="Palatino Linotype" w:hAnsi="Palatino Linotype" w:cs="Palatino Linotype"/>
          <w:i/>
          <w:iCs/>
          <w:color w:val="000000"/>
        </w:rPr>
        <w:t>Tiene por objeto establecer las bases, principios y procedimientos para tutelar y garantizar el derecho que tiene toda persona a la protección de sus datos personales, en posesión de los sujetos obligados.</w:t>
      </w:r>
    </w:p>
    <w:p w:rsidR="009E0079" w:rsidRDefault="009E0079" w:rsidP="009E0079">
      <w:pPr>
        <w:pBdr>
          <w:top w:val="nil"/>
          <w:left w:val="nil"/>
          <w:bottom w:val="nil"/>
          <w:right w:val="nil"/>
          <w:between w:val="nil"/>
        </w:pBdr>
        <w:spacing w:line="360" w:lineRule="auto"/>
        <w:ind w:right="-1071"/>
        <w:jc w:val="both"/>
        <w:rPr>
          <w:i/>
          <w:iCs/>
          <w:color w:val="000000"/>
        </w:rPr>
      </w:pPr>
    </w:p>
    <w:p w:rsidR="006C5232" w:rsidRDefault="00D56692">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t>El Título Décimo, Capítulo Primero de la Ley de Protección de Datos en análisis, dispone lo siguiente:</w:t>
      </w:r>
    </w:p>
    <w:p w:rsidR="006C5232" w:rsidRDefault="00D56692">
      <w:pPr>
        <w:pBdr>
          <w:top w:val="nil"/>
          <w:left w:val="nil"/>
          <w:bottom w:val="nil"/>
          <w:right w:val="nil"/>
          <w:between w:val="nil"/>
        </w:pBdr>
        <w:spacing w:line="360" w:lineRule="auto"/>
        <w:ind w:right="-1071"/>
        <w:jc w:val="center"/>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TÍTULO DÉCIMO</w:t>
      </w:r>
    </w:p>
    <w:p w:rsidR="006C5232" w:rsidRDefault="00D56692">
      <w:pPr>
        <w:pBdr>
          <w:top w:val="nil"/>
          <w:left w:val="nil"/>
          <w:bottom w:val="nil"/>
          <w:right w:val="nil"/>
          <w:between w:val="nil"/>
        </w:pBdr>
        <w:spacing w:line="360" w:lineRule="auto"/>
        <w:ind w:right="-1071"/>
        <w:jc w:val="center"/>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DERECHOS DE LOS TITULARES Y SU EJERCICIO</w:t>
      </w:r>
    </w:p>
    <w:p w:rsidR="006C5232" w:rsidRDefault="006C5232">
      <w:pPr>
        <w:pBdr>
          <w:top w:val="nil"/>
          <w:left w:val="nil"/>
          <w:bottom w:val="nil"/>
          <w:right w:val="nil"/>
          <w:between w:val="nil"/>
        </w:pBdr>
        <w:spacing w:line="360" w:lineRule="auto"/>
        <w:ind w:right="-1071"/>
        <w:jc w:val="center"/>
        <w:rPr>
          <w:rFonts w:ascii="Palatino Linotype" w:eastAsia="Palatino Linotype" w:hAnsi="Palatino Linotype" w:cs="Palatino Linotype"/>
          <w:b/>
          <w:bCs/>
          <w:i/>
          <w:iCs/>
          <w:color w:val="000000"/>
        </w:rPr>
      </w:pPr>
    </w:p>
    <w:p w:rsidR="006C5232" w:rsidRDefault="00D56692">
      <w:pPr>
        <w:pBdr>
          <w:top w:val="nil"/>
          <w:left w:val="nil"/>
          <w:bottom w:val="nil"/>
          <w:right w:val="nil"/>
          <w:between w:val="nil"/>
        </w:pBdr>
        <w:spacing w:line="360" w:lineRule="auto"/>
        <w:ind w:right="-1071"/>
        <w:jc w:val="center"/>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CAPÍTULO PRIMERO</w:t>
      </w:r>
    </w:p>
    <w:p w:rsidR="006C5232" w:rsidRDefault="00D56692">
      <w:pPr>
        <w:pBdr>
          <w:top w:val="nil"/>
          <w:left w:val="nil"/>
          <w:bottom w:val="nil"/>
          <w:right w:val="nil"/>
          <w:between w:val="nil"/>
        </w:pBdr>
        <w:spacing w:line="360" w:lineRule="auto"/>
        <w:ind w:right="-1071"/>
        <w:jc w:val="center"/>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DERECHOS ARCO, PORTABILIDAD Y</w:t>
      </w:r>
    </w:p>
    <w:p w:rsidR="006C5232" w:rsidRDefault="00D56692">
      <w:pPr>
        <w:pBdr>
          <w:top w:val="nil"/>
          <w:left w:val="nil"/>
          <w:bottom w:val="nil"/>
          <w:right w:val="nil"/>
          <w:between w:val="nil"/>
        </w:pBdr>
        <w:spacing w:line="360" w:lineRule="auto"/>
        <w:ind w:right="-1071"/>
        <w:jc w:val="center"/>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LIMITACIÓN DEL TRATAMIENTO</w:t>
      </w:r>
    </w:p>
    <w:p w:rsidR="006C5232" w:rsidRDefault="006C5232">
      <w:pPr>
        <w:pBdr>
          <w:top w:val="nil"/>
          <w:left w:val="nil"/>
          <w:bottom w:val="nil"/>
          <w:right w:val="nil"/>
          <w:between w:val="nil"/>
        </w:pBdr>
        <w:ind w:left="720" w:right="-1071"/>
        <w:rPr>
          <w:color w:val="000000"/>
        </w:rPr>
      </w:pPr>
    </w:p>
    <w:p w:rsidR="006C5232" w:rsidRDefault="00D56692">
      <w:pPr>
        <w:pBdr>
          <w:top w:val="nil"/>
          <w:left w:val="nil"/>
          <w:bottom w:val="nil"/>
          <w:right w:val="nil"/>
          <w:between w:val="nil"/>
        </w:pBdr>
        <w:spacing w:line="360" w:lineRule="auto"/>
        <w:ind w:left="567"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Derechos ARCO </w:t>
      </w:r>
    </w:p>
    <w:p w:rsidR="006C5232" w:rsidRDefault="00D56692">
      <w:pPr>
        <w:pBdr>
          <w:top w:val="nil"/>
          <w:left w:val="nil"/>
          <w:bottom w:val="nil"/>
          <w:right w:val="nil"/>
          <w:between w:val="nil"/>
        </w:pBdr>
        <w:spacing w:line="360" w:lineRule="auto"/>
        <w:ind w:left="567" w:right="-1071"/>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lastRenderedPageBreak/>
        <w:t>Artículo 97. Los derechos de acceso, rectificación, cancelación y oposición de datos personales son derechos independientes</w:t>
      </w:r>
      <w:r>
        <w:rPr>
          <w:rFonts w:ascii="Palatino Linotype" w:eastAsia="Palatino Linotype" w:hAnsi="Palatino Linotype" w:cs="Palatino Linotype"/>
          <w:i/>
          <w:iCs/>
          <w:color w:val="000000"/>
        </w:rPr>
        <w:t xml:space="preserve">. El ejercicio de cualquiera de ellos no es requisito previo no impide el ejercicio de otro. </w:t>
      </w:r>
      <w:r>
        <w:rPr>
          <w:rFonts w:ascii="Palatino Linotype" w:eastAsia="Palatino Linotype" w:hAnsi="Palatino Linotype" w:cs="Palatino Linotype"/>
          <w:b/>
          <w:bCs/>
          <w:i/>
          <w:iCs/>
          <w:color w:val="000000"/>
        </w:rPr>
        <w:t xml:space="preserve">La procedencia de estos derechos, en su caso, se hará efectiva una vez que el titular o su representante legal acrediten su identidad o representación, respectivamente. </w:t>
      </w:r>
    </w:p>
    <w:p w:rsidR="006C5232" w:rsidRDefault="006C5232">
      <w:pPr>
        <w:pBdr>
          <w:top w:val="nil"/>
          <w:left w:val="nil"/>
          <w:bottom w:val="nil"/>
          <w:right w:val="nil"/>
          <w:between w:val="nil"/>
        </w:pBdr>
        <w:spacing w:line="360" w:lineRule="auto"/>
        <w:ind w:left="567" w:right="-1071"/>
        <w:jc w:val="both"/>
        <w:rPr>
          <w:rFonts w:ascii="Palatino Linotype" w:eastAsia="Palatino Linotype" w:hAnsi="Palatino Linotype" w:cs="Palatino Linotype"/>
          <w:i/>
          <w:iCs/>
          <w:color w:val="000000"/>
        </w:rPr>
      </w:pPr>
    </w:p>
    <w:p w:rsidR="006C5232" w:rsidRDefault="00D56692">
      <w:pPr>
        <w:pBdr>
          <w:top w:val="nil"/>
          <w:left w:val="nil"/>
          <w:bottom w:val="nil"/>
          <w:right w:val="nil"/>
          <w:between w:val="nil"/>
        </w:pBdr>
        <w:spacing w:line="360" w:lineRule="auto"/>
        <w:ind w:left="567"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En ningún caso el acceso a los datos personales de un titular podrá afectar los derechos y libertades de otros. </w:t>
      </w:r>
    </w:p>
    <w:p w:rsidR="006C5232" w:rsidRDefault="006C5232">
      <w:pPr>
        <w:pBdr>
          <w:top w:val="nil"/>
          <w:left w:val="nil"/>
          <w:bottom w:val="nil"/>
          <w:right w:val="nil"/>
          <w:between w:val="nil"/>
        </w:pBdr>
        <w:spacing w:line="360" w:lineRule="auto"/>
        <w:ind w:left="567" w:right="-1071"/>
        <w:jc w:val="both"/>
        <w:rPr>
          <w:rFonts w:ascii="Palatino Linotype" w:eastAsia="Palatino Linotype" w:hAnsi="Palatino Linotype" w:cs="Palatino Linotype"/>
          <w:i/>
          <w:iCs/>
          <w:color w:val="000000"/>
        </w:rPr>
      </w:pPr>
    </w:p>
    <w:p w:rsidR="006C5232" w:rsidRDefault="00D56692">
      <w:pPr>
        <w:pBdr>
          <w:top w:val="nil"/>
          <w:left w:val="nil"/>
          <w:bottom w:val="nil"/>
          <w:right w:val="nil"/>
          <w:between w:val="nil"/>
        </w:pBdr>
        <w:spacing w:line="360" w:lineRule="auto"/>
        <w:ind w:left="567" w:right="-1071"/>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El ejercicio de cualquiera de los derechos ARCO, forma parte de las garantías primarias del derecho a la protección de datos personales.</w:t>
      </w:r>
    </w:p>
    <w:p w:rsidR="006C5232" w:rsidRDefault="006C5232">
      <w:pPr>
        <w:pBdr>
          <w:top w:val="nil"/>
          <w:left w:val="nil"/>
          <w:bottom w:val="nil"/>
          <w:right w:val="nil"/>
          <w:between w:val="nil"/>
        </w:pBdr>
        <w:ind w:left="720" w:right="-1071"/>
        <w:rPr>
          <w:color w:val="000000"/>
        </w:rPr>
      </w:pPr>
    </w:p>
    <w:p w:rsidR="006C5232" w:rsidRDefault="00D56692">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t xml:space="preserve">Dicho lo anterior, no debe perderse de vista la información que el particular solicitó se borre o no se permita la consulta, búsqueda o aparición pública de su nombre, domicilio, teléfono y cualquier otro dato personal publicado en el boletín laboral derivado del expediente que señaló en su solicitud y realizó una solicitud de Oposición de Datos Personales, sin embargo, se advierte que la solicitud se refiere a la cancelación de datos personales, por lo que se analizará bajo esos términos. </w:t>
      </w:r>
    </w:p>
    <w:p w:rsidR="006C5232" w:rsidRDefault="006C5232">
      <w:pPr>
        <w:spacing w:line="360" w:lineRule="auto"/>
        <w:ind w:right="-1071"/>
        <w:jc w:val="both"/>
        <w:rPr>
          <w:rFonts w:ascii="Palatino Linotype" w:eastAsia="Palatino Linotype" w:hAnsi="Palatino Linotype" w:cs="Palatino Linotype"/>
        </w:rPr>
      </w:pPr>
    </w:p>
    <w:p w:rsidR="006C5232" w:rsidRDefault="00D56692">
      <w:pPr>
        <w:numPr>
          <w:ilvl w:val="0"/>
          <w:numId w:val="4"/>
        </w:numPr>
        <w:pBdr>
          <w:top w:val="nil"/>
          <w:left w:val="nil"/>
          <w:bottom w:val="nil"/>
          <w:right w:val="nil"/>
          <w:between w:val="nil"/>
        </w:pBdr>
        <w:spacing w:line="360" w:lineRule="auto"/>
        <w:ind w:right="-1071"/>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De la cancelación o bloqueo de datos personales.</w:t>
      </w:r>
    </w:p>
    <w:p w:rsidR="006C5232" w:rsidRDefault="00D56692">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b/>
          <w:bCs/>
          <w:color w:val="000000"/>
        </w:rPr>
        <w:t>La Ley de Protección de Datos Personales en Posesión de Sujetos Obligados del Estado de México, en los artículo 4, fracción VII; 100, 101 y 102 establecen lo siguiente:</w:t>
      </w:r>
    </w:p>
    <w:p w:rsidR="006C5232" w:rsidRDefault="00D56692">
      <w:pPr>
        <w:pBdr>
          <w:top w:val="nil"/>
          <w:left w:val="nil"/>
          <w:bottom w:val="nil"/>
          <w:right w:val="nil"/>
          <w:between w:val="nil"/>
        </w:pBdr>
        <w:spacing w:line="360" w:lineRule="auto"/>
        <w:ind w:left="567"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Glosario Artículo </w:t>
      </w:r>
    </w:p>
    <w:p w:rsidR="006C5232" w:rsidRDefault="00D56692">
      <w:pPr>
        <w:pBdr>
          <w:top w:val="nil"/>
          <w:left w:val="nil"/>
          <w:bottom w:val="nil"/>
          <w:right w:val="nil"/>
          <w:between w:val="nil"/>
        </w:pBdr>
        <w:spacing w:line="360" w:lineRule="auto"/>
        <w:ind w:left="567" w:right="-1071"/>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i/>
          <w:iCs/>
          <w:color w:val="000000"/>
        </w:rPr>
        <w:t>4. Para los efectos de esta Ley se entenderá por:</w:t>
      </w:r>
    </w:p>
    <w:p w:rsidR="006C5232" w:rsidRDefault="00D56692">
      <w:pPr>
        <w:pBdr>
          <w:top w:val="nil"/>
          <w:left w:val="nil"/>
          <w:bottom w:val="nil"/>
          <w:right w:val="nil"/>
          <w:between w:val="nil"/>
        </w:pBdr>
        <w:spacing w:line="360" w:lineRule="auto"/>
        <w:ind w:left="567" w:right="-1071"/>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w:t>
      </w:r>
    </w:p>
    <w:p w:rsidR="006C5232" w:rsidRDefault="00D56692">
      <w:pPr>
        <w:pBdr>
          <w:top w:val="nil"/>
          <w:left w:val="nil"/>
          <w:bottom w:val="nil"/>
          <w:right w:val="nil"/>
          <w:between w:val="nil"/>
        </w:pBdr>
        <w:spacing w:line="360" w:lineRule="auto"/>
        <w:ind w:left="567"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lastRenderedPageBreak/>
        <w:t>VII. Bloqueo: a la identificación y conservación de datos personales una vez cumplida la finalidad para la cual fueron recabados, con el propósito de determinar posibles responsabilidades en relación con su tratamiento, hasta el plazo de prescripción legal o contractual, transcurrido este se procederá a su cancelación en los sistemas y bases de datos que corresponda.</w:t>
      </w:r>
    </w:p>
    <w:p w:rsidR="006C5232" w:rsidRDefault="00D56692">
      <w:pPr>
        <w:pBdr>
          <w:top w:val="nil"/>
          <w:left w:val="nil"/>
          <w:bottom w:val="nil"/>
          <w:right w:val="nil"/>
          <w:between w:val="nil"/>
        </w:pBdr>
        <w:spacing w:line="360" w:lineRule="auto"/>
        <w:ind w:left="567" w:right="-1071"/>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i/>
          <w:iCs/>
          <w:color w:val="000000"/>
        </w:rPr>
        <w:t>…</w:t>
      </w:r>
    </w:p>
    <w:p w:rsidR="006C5232" w:rsidRDefault="006C5232">
      <w:pPr>
        <w:pBdr>
          <w:top w:val="nil"/>
          <w:left w:val="nil"/>
          <w:bottom w:val="nil"/>
          <w:right w:val="nil"/>
          <w:between w:val="nil"/>
        </w:pBdr>
        <w:spacing w:line="360" w:lineRule="auto"/>
        <w:ind w:left="567" w:right="-1071"/>
        <w:jc w:val="both"/>
        <w:rPr>
          <w:rFonts w:ascii="Palatino Linotype" w:eastAsia="Palatino Linotype" w:hAnsi="Palatino Linotype" w:cs="Palatino Linotype"/>
          <w:b/>
          <w:bCs/>
          <w:i/>
          <w:iCs/>
          <w:color w:val="000000"/>
        </w:rPr>
      </w:pPr>
    </w:p>
    <w:p w:rsidR="006C5232" w:rsidRDefault="00D56692">
      <w:pPr>
        <w:pBdr>
          <w:top w:val="nil"/>
          <w:left w:val="nil"/>
          <w:bottom w:val="nil"/>
          <w:right w:val="nil"/>
          <w:between w:val="nil"/>
        </w:pBdr>
        <w:spacing w:line="360" w:lineRule="auto"/>
        <w:ind w:left="567"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Derecho de Cancelación </w:t>
      </w:r>
    </w:p>
    <w:p w:rsidR="006C5232" w:rsidRDefault="00D56692">
      <w:pPr>
        <w:pBdr>
          <w:top w:val="nil"/>
          <w:left w:val="nil"/>
          <w:bottom w:val="nil"/>
          <w:right w:val="nil"/>
          <w:between w:val="nil"/>
        </w:pBdr>
        <w:spacing w:line="360" w:lineRule="auto"/>
        <w:ind w:left="567"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Artículo 100. El titular tendrá derecho a solicitar la cancelación de sus datos personales de los archivos, registros, expedientes y sistemas del responsable a fin que los mismos ya no estén en su posesión y dejen de ser tratados por este último. </w:t>
      </w:r>
    </w:p>
    <w:p w:rsidR="006C5232" w:rsidRDefault="006C5232">
      <w:pPr>
        <w:pBdr>
          <w:top w:val="nil"/>
          <w:left w:val="nil"/>
          <w:bottom w:val="nil"/>
          <w:right w:val="nil"/>
          <w:between w:val="nil"/>
        </w:pBdr>
        <w:spacing w:line="360" w:lineRule="auto"/>
        <w:ind w:left="567" w:right="-1071"/>
        <w:jc w:val="both"/>
        <w:rPr>
          <w:rFonts w:ascii="Palatino Linotype" w:eastAsia="Palatino Linotype" w:hAnsi="Palatino Linotype" w:cs="Palatino Linotype"/>
          <w:i/>
          <w:iCs/>
          <w:color w:val="000000"/>
        </w:rPr>
      </w:pPr>
    </w:p>
    <w:p w:rsidR="006C5232" w:rsidRDefault="00D56692">
      <w:pPr>
        <w:pBdr>
          <w:top w:val="nil"/>
          <w:left w:val="nil"/>
          <w:bottom w:val="nil"/>
          <w:right w:val="nil"/>
          <w:between w:val="nil"/>
        </w:pBdr>
        <w:spacing w:line="360" w:lineRule="auto"/>
        <w:ind w:left="567"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Sin perjuicio de lo que disponga la normatividad aplicable al caso concreto, el responsable procederá a la cancelación de datos, previo bloqueo de los mismos, cuando hayan transcurrido los plazos establecidos por los instrumentos de control archivísticos aplicables. </w:t>
      </w:r>
    </w:p>
    <w:p w:rsidR="006C5232" w:rsidRDefault="00D56692">
      <w:pPr>
        <w:pBdr>
          <w:top w:val="nil"/>
          <w:left w:val="nil"/>
          <w:bottom w:val="nil"/>
          <w:right w:val="nil"/>
          <w:between w:val="nil"/>
        </w:pBdr>
        <w:spacing w:line="360" w:lineRule="auto"/>
        <w:ind w:left="567"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Cuando los datos personales hubiesen sido transferidos con anterioridad a la fecha de cancelación, dichas cancelaciones deberán hacerse del conocimiento de los destinatarios, quienes deberán realizar también la cancelación correspondiente. </w:t>
      </w:r>
    </w:p>
    <w:p w:rsidR="006C5232" w:rsidRDefault="006C5232">
      <w:pPr>
        <w:pBdr>
          <w:top w:val="nil"/>
          <w:left w:val="nil"/>
          <w:bottom w:val="nil"/>
          <w:right w:val="nil"/>
          <w:between w:val="nil"/>
        </w:pBdr>
        <w:spacing w:line="360" w:lineRule="auto"/>
        <w:ind w:left="567" w:right="-1071"/>
        <w:jc w:val="both"/>
        <w:rPr>
          <w:rFonts w:ascii="Palatino Linotype" w:eastAsia="Palatino Linotype" w:hAnsi="Palatino Linotype" w:cs="Palatino Linotype"/>
          <w:i/>
          <w:iCs/>
          <w:color w:val="000000"/>
        </w:rPr>
      </w:pPr>
    </w:p>
    <w:p w:rsidR="006C5232" w:rsidRDefault="00D56692">
      <w:pPr>
        <w:pBdr>
          <w:top w:val="nil"/>
          <w:left w:val="nil"/>
          <w:bottom w:val="nil"/>
          <w:right w:val="nil"/>
          <w:between w:val="nil"/>
        </w:pBdr>
        <w:spacing w:line="360" w:lineRule="auto"/>
        <w:ind w:left="567"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Bloqueo del Dato </w:t>
      </w:r>
    </w:p>
    <w:p w:rsidR="006C5232" w:rsidRDefault="00D56692">
      <w:pPr>
        <w:pBdr>
          <w:top w:val="nil"/>
          <w:left w:val="nil"/>
          <w:bottom w:val="nil"/>
          <w:right w:val="nil"/>
          <w:between w:val="nil"/>
        </w:pBdr>
        <w:spacing w:line="360" w:lineRule="auto"/>
        <w:ind w:left="567"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Artículo 101. La cancelación dará lugar al bloqueo de los datos en el que el responsable lo conservará precautoriamente para efectos de responsabilidades, hasta el plazo de prescripción legal o contractual de éstas.</w:t>
      </w:r>
    </w:p>
    <w:p w:rsidR="006C5232" w:rsidRDefault="00D56692">
      <w:pPr>
        <w:pBdr>
          <w:top w:val="nil"/>
          <w:left w:val="nil"/>
          <w:bottom w:val="nil"/>
          <w:right w:val="nil"/>
          <w:between w:val="nil"/>
        </w:pBdr>
        <w:spacing w:line="360" w:lineRule="auto"/>
        <w:ind w:left="567"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Durante dicho periodo, los datos personales no podrán ser objeto de tratamiento y transcurrido éste, se procederá a su cancelación en la base y sistemas de datos que corresponda. </w:t>
      </w:r>
    </w:p>
    <w:p w:rsidR="006C5232" w:rsidRDefault="006C5232">
      <w:pPr>
        <w:pBdr>
          <w:top w:val="nil"/>
          <w:left w:val="nil"/>
          <w:bottom w:val="nil"/>
          <w:right w:val="nil"/>
          <w:between w:val="nil"/>
        </w:pBdr>
        <w:spacing w:line="360" w:lineRule="auto"/>
        <w:ind w:left="567" w:right="-1071"/>
        <w:jc w:val="both"/>
        <w:rPr>
          <w:rFonts w:ascii="Palatino Linotype" w:eastAsia="Palatino Linotype" w:hAnsi="Palatino Linotype" w:cs="Palatino Linotype"/>
          <w:i/>
          <w:iCs/>
          <w:color w:val="000000"/>
        </w:rPr>
      </w:pPr>
    </w:p>
    <w:p w:rsidR="006C5232" w:rsidRDefault="00D56692">
      <w:pPr>
        <w:pBdr>
          <w:top w:val="nil"/>
          <w:left w:val="nil"/>
          <w:bottom w:val="nil"/>
          <w:right w:val="nil"/>
          <w:between w:val="nil"/>
        </w:pBdr>
        <w:spacing w:line="360" w:lineRule="auto"/>
        <w:ind w:left="567"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La cancelación procederá de oficio cuando el administrador, en términos de lo establecido en los lineamientos respectivos, estime que dichos datos resultan inadecuados o excesivos o cuando haya concluido la finalidad para la cual fueron recabados. </w:t>
      </w:r>
    </w:p>
    <w:p w:rsidR="006C5232" w:rsidRDefault="006C5232">
      <w:pPr>
        <w:pBdr>
          <w:top w:val="nil"/>
          <w:left w:val="nil"/>
          <w:bottom w:val="nil"/>
          <w:right w:val="nil"/>
          <w:between w:val="nil"/>
        </w:pBdr>
        <w:spacing w:line="360" w:lineRule="auto"/>
        <w:ind w:left="567" w:right="-1071"/>
        <w:jc w:val="both"/>
        <w:rPr>
          <w:rFonts w:ascii="Palatino Linotype" w:eastAsia="Palatino Linotype" w:hAnsi="Palatino Linotype" w:cs="Palatino Linotype"/>
          <w:i/>
          <w:iCs/>
          <w:color w:val="000000"/>
        </w:rPr>
      </w:pPr>
    </w:p>
    <w:p w:rsidR="006C5232" w:rsidRDefault="00D56692">
      <w:pPr>
        <w:pBdr>
          <w:top w:val="nil"/>
          <w:left w:val="nil"/>
          <w:bottom w:val="nil"/>
          <w:right w:val="nil"/>
          <w:between w:val="nil"/>
        </w:pBdr>
        <w:spacing w:line="360" w:lineRule="auto"/>
        <w:ind w:left="567"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Excepciones al Derecho de Cancelación </w:t>
      </w:r>
    </w:p>
    <w:p w:rsidR="006C5232" w:rsidRDefault="00D56692">
      <w:pPr>
        <w:pBdr>
          <w:top w:val="nil"/>
          <w:left w:val="nil"/>
          <w:bottom w:val="nil"/>
          <w:right w:val="nil"/>
          <w:between w:val="nil"/>
        </w:pBdr>
        <w:spacing w:line="360" w:lineRule="auto"/>
        <w:ind w:left="567"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Artículo 102. El responsable no estará obligado a cancelar los datos personales cuando: </w:t>
      </w:r>
    </w:p>
    <w:p w:rsidR="006C5232" w:rsidRDefault="00D56692">
      <w:pPr>
        <w:pBdr>
          <w:top w:val="nil"/>
          <w:left w:val="nil"/>
          <w:bottom w:val="nil"/>
          <w:right w:val="nil"/>
          <w:between w:val="nil"/>
        </w:pBdr>
        <w:spacing w:line="360" w:lineRule="auto"/>
        <w:ind w:left="567"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I. Deban ser tratados por disposición legal.</w:t>
      </w:r>
    </w:p>
    <w:p w:rsidR="006C5232" w:rsidRDefault="00D56692">
      <w:pPr>
        <w:pBdr>
          <w:top w:val="nil"/>
          <w:left w:val="nil"/>
          <w:bottom w:val="nil"/>
          <w:right w:val="nil"/>
          <w:between w:val="nil"/>
        </w:pBdr>
        <w:spacing w:line="360" w:lineRule="auto"/>
        <w:ind w:left="567"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II. Se refieran a las partes de un contrato y sean necesarios para su desarrollo y cumplimiento. </w:t>
      </w:r>
    </w:p>
    <w:p w:rsidR="006C5232" w:rsidRDefault="00D56692">
      <w:pPr>
        <w:pBdr>
          <w:top w:val="nil"/>
          <w:left w:val="nil"/>
          <w:bottom w:val="nil"/>
          <w:right w:val="nil"/>
          <w:between w:val="nil"/>
        </w:pBdr>
        <w:spacing w:line="360" w:lineRule="auto"/>
        <w:ind w:left="567"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III. Obstaculicen actuaciones judiciales o administrativas, la investigación y persecución de delitos o la actualización de sanciones administrativas, afecten la seguridad o salud pública, disposiciones de orden público, o derechos de terceros. </w:t>
      </w:r>
    </w:p>
    <w:p w:rsidR="006C5232" w:rsidRDefault="00D56692">
      <w:pPr>
        <w:pBdr>
          <w:top w:val="nil"/>
          <w:left w:val="nil"/>
          <w:bottom w:val="nil"/>
          <w:right w:val="nil"/>
          <w:between w:val="nil"/>
        </w:pBdr>
        <w:spacing w:line="360" w:lineRule="auto"/>
        <w:ind w:left="567"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IV. Sean necesarios para proteger los intereses jurídicamente tutelados del titular o de un tercero. </w:t>
      </w:r>
    </w:p>
    <w:p w:rsidR="006C5232" w:rsidRDefault="00D56692">
      <w:pPr>
        <w:pBdr>
          <w:top w:val="nil"/>
          <w:left w:val="nil"/>
          <w:bottom w:val="nil"/>
          <w:right w:val="nil"/>
          <w:between w:val="nil"/>
        </w:pBdr>
        <w:spacing w:line="360" w:lineRule="auto"/>
        <w:ind w:left="567" w:right="-1071"/>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i/>
          <w:iCs/>
          <w:color w:val="000000"/>
        </w:rPr>
        <w:t>V. Sean necesarios para realizar una acción en función del interés público. VI. Se requieran para cumplir con una obligación legalmente adquirida por el titular.</w:t>
      </w:r>
    </w:p>
    <w:p w:rsidR="006C5232" w:rsidRDefault="006C5232">
      <w:pPr>
        <w:pBdr>
          <w:top w:val="nil"/>
          <w:left w:val="nil"/>
          <w:bottom w:val="nil"/>
          <w:right w:val="nil"/>
          <w:between w:val="nil"/>
        </w:pBdr>
        <w:tabs>
          <w:tab w:val="left" w:pos="915"/>
        </w:tabs>
        <w:spacing w:line="360" w:lineRule="auto"/>
        <w:ind w:right="-1071"/>
        <w:jc w:val="both"/>
        <w:rPr>
          <w:rFonts w:ascii="Palatino Linotype" w:eastAsia="Palatino Linotype" w:hAnsi="Palatino Linotype" w:cs="Palatino Linotype"/>
          <w:b/>
          <w:bCs/>
          <w:color w:val="000000"/>
        </w:rPr>
      </w:pPr>
    </w:p>
    <w:p w:rsidR="006C5232" w:rsidRDefault="00D56692">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t>De la interpretación a los dispositivos legales citados, se puede determinar que, a los Titulares, les asiste el derecho de cancelar sus datos personales de los archivos, registros, expedientes y sistemas del Responsable, con el fin de que ya no estén en su posesión. Con la cancelación de los datos personales se obtiene el bloqueo de los mismos, en el que el Responsable los conservará precautoriamente para efectos de responsabilidades, hasta el plazo de prescripción legal. En ese periodo los datos personales no podrán ser objeto de tratamiento.</w:t>
      </w:r>
    </w:p>
    <w:p w:rsidR="006C5232" w:rsidRDefault="00D56692">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lastRenderedPageBreak/>
        <w:t>En el presente asunto en particular, el Titular de los datos personales solicitó la cancelación de los mismos que se derivaron del expediente al que hace referencia y que se encuentran publicados en los Boletines Laborales.</w:t>
      </w:r>
    </w:p>
    <w:p w:rsidR="006C5232" w:rsidRDefault="006C5232">
      <w:pPr>
        <w:pBdr>
          <w:top w:val="nil"/>
          <w:left w:val="nil"/>
          <w:bottom w:val="nil"/>
          <w:right w:val="nil"/>
          <w:between w:val="nil"/>
        </w:pBdr>
        <w:ind w:left="720" w:right="-1071"/>
        <w:rPr>
          <w:rFonts w:ascii="Palatino Linotype" w:eastAsia="Palatino Linotype" w:hAnsi="Palatino Linotype" w:cs="Palatino Linotype"/>
          <w:color w:val="000000"/>
        </w:rPr>
      </w:pPr>
    </w:p>
    <w:p w:rsidR="006C5232" w:rsidRDefault="00D56692">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t>Por la naturaleza de la información, es necesario traer a contexto lo que se entiende por “Boletín Laboral”. La página oficial de la Junta Local de Conciliación y Arbitraje del Valle de Toluca establece lo siguiente:</w:t>
      </w:r>
    </w:p>
    <w:p w:rsidR="006C5232" w:rsidRDefault="00D56692">
      <w:pPr>
        <w:pBdr>
          <w:top w:val="nil"/>
          <w:left w:val="nil"/>
          <w:bottom w:val="nil"/>
          <w:right w:val="nil"/>
          <w:between w:val="nil"/>
        </w:pBdr>
        <w:spacing w:line="360" w:lineRule="auto"/>
        <w:ind w:left="567"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Medio de identificación que se publica diariamente a efecto de dar a conocer a las partes la tramitación de los asuntos que se ventilan ante la Junta Local</w:t>
      </w:r>
      <w:r>
        <w:rPr>
          <w:rFonts w:ascii="Palatino Linotype" w:eastAsia="Palatino Linotype" w:hAnsi="Palatino Linotype" w:cs="Palatino Linotype"/>
          <w:i/>
          <w:iCs/>
          <w:color w:val="000000"/>
        </w:rPr>
        <w:t xml:space="preserve"> de Conciliación Arbitraje, las cuales se realizan en apego a lo dispuesto en el Título Catorce, Capítulo VII, de la Ley Federal del Trabajo.</w:t>
      </w:r>
    </w:p>
    <w:p w:rsidR="006C5232" w:rsidRDefault="006C5232">
      <w:pPr>
        <w:pBdr>
          <w:top w:val="nil"/>
          <w:left w:val="nil"/>
          <w:bottom w:val="nil"/>
          <w:right w:val="nil"/>
          <w:between w:val="nil"/>
        </w:pBdr>
        <w:spacing w:line="360" w:lineRule="auto"/>
        <w:ind w:left="567" w:right="-1071"/>
        <w:jc w:val="both"/>
        <w:rPr>
          <w:rFonts w:ascii="Palatino Linotype" w:eastAsia="Palatino Linotype" w:hAnsi="Palatino Linotype" w:cs="Palatino Linotype"/>
          <w:i/>
          <w:iCs/>
          <w:color w:val="000000"/>
        </w:rPr>
      </w:pPr>
    </w:p>
    <w:p w:rsidR="006C5232" w:rsidRDefault="00D56692">
      <w:pPr>
        <w:pBdr>
          <w:top w:val="nil"/>
          <w:left w:val="nil"/>
          <w:bottom w:val="nil"/>
          <w:right w:val="nil"/>
          <w:between w:val="nil"/>
        </w:pBdr>
        <w:spacing w:line="360" w:lineRule="auto"/>
        <w:ind w:left="567" w:right="-1071"/>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i/>
          <w:iCs/>
          <w:color w:val="000000"/>
        </w:rPr>
        <w:t xml:space="preserve">Art.739.- Las partes, en su primera comparecencia o escrito, deberán señalar domicilio dentro del lugar de residencia de la Junta, para recibir notificaciones: </w:t>
      </w:r>
      <w:r>
        <w:rPr>
          <w:rFonts w:ascii="Palatino Linotype" w:eastAsia="Palatino Linotype" w:hAnsi="Palatino Linotype" w:cs="Palatino Linotype"/>
          <w:b/>
          <w:bCs/>
          <w:i/>
          <w:iCs/>
          <w:color w:val="000000"/>
        </w:rPr>
        <w:t>si no lo hacen, las notificaciones personales se harán por boletín o por estrados, según el caso, en los términos previstos en esta Ley.</w:t>
      </w:r>
    </w:p>
    <w:p w:rsidR="006C5232" w:rsidRDefault="006C5232">
      <w:pPr>
        <w:pBdr>
          <w:top w:val="nil"/>
          <w:left w:val="nil"/>
          <w:bottom w:val="nil"/>
          <w:right w:val="nil"/>
          <w:between w:val="nil"/>
        </w:pBdr>
        <w:spacing w:line="360" w:lineRule="auto"/>
        <w:ind w:left="567" w:right="-1071"/>
        <w:jc w:val="both"/>
        <w:rPr>
          <w:rFonts w:ascii="Palatino Linotype" w:eastAsia="Palatino Linotype" w:hAnsi="Palatino Linotype" w:cs="Palatino Linotype"/>
          <w:i/>
          <w:iCs/>
          <w:color w:val="000000"/>
        </w:rPr>
      </w:pPr>
    </w:p>
    <w:p w:rsidR="006C5232" w:rsidRDefault="00D56692">
      <w:pPr>
        <w:pBdr>
          <w:top w:val="nil"/>
          <w:left w:val="nil"/>
          <w:bottom w:val="nil"/>
          <w:right w:val="nil"/>
          <w:between w:val="nil"/>
        </w:pBdr>
        <w:spacing w:line="360" w:lineRule="auto"/>
        <w:ind w:left="567" w:right="-1071"/>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Art. 745.- El Pleno de las Juntas, Federal y Locales de Conciliación y Arbitraje, podrá acordar la publicación de un boletín que contenga la lista de las notificaciones que no sean personales.</w:t>
      </w:r>
    </w:p>
    <w:p w:rsidR="006C5232" w:rsidRDefault="006C5232">
      <w:pPr>
        <w:pBdr>
          <w:top w:val="nil"/>
          <w:left w:val="nil"/>
          <w:bottom w:val="nil"/>
          <w:right w:val="nil"/>
          <w:between w:val="nil"/>
        </w:pBdr>
        <w:spacing w:line="360" w:lineRule="auto"/>
        <w:ind w:left="567" w:right="-1071"/>
        <w:jc w:val="both"/>
        <w:rPr>
          <w:rFonts w:ascii="Palatino Linotype" w:eastAsia="Palatino Linotype" w:hAnsi="Palatino Linotype" w:cs="Palatino Linotype"/>
          <w:i/>
          <w:iCs/>
          <w:color w:val="000000"/>
        </w:rPr>
      </w:pPr>
    </w:p>
    <w:p w:rsidR="006C5232" w:rsidRDefault="00D56692">
      <w:pPr>
        <w:pBdr>
          <w:top w:val="nil"/>
          <w:left w:val="nil"/>
          <w:bottom w:val="nil"/>
          <w:right w:val="nil"/>
          <w:between w:val="nil"/>
        </w:pBdr>
        <w:spacing w:line="360" w:lineRule="auto"/>
        <w:ind w:left="567"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Art. 746.- Surtirán sus efectos las notificaciones que se hagan a las partes en el Boletín Laboral,</w:t>
      </w:r>
      <w:r>
        <w:rPr>
          <w:rFonts w:ascii="Palatino Linotype" w:eastAsia="Palatino Linotype" w:hAnsi="Palatino Linotype" w:cs="Palatino Linotype"/>
          <w:i/>
          <w:iCs/>
          <w:color w:val="000000"/>
        </w:rPr>
        <w:t xml:space="preserve"> salvo que sean personales. Cuando la Junta no publique boletín, estas notificaciones se harán en los estrados de la Junta. El Secretario hará constar en autos la fecha de la publicación respectiva y fijará diariamente en lugar visible del local de la Junta, un ejemplar del Boletín Laboral </w:t>
      </w:r>
      <w:r>
        <w:rPr>
          <w:rFonts w:ascii="Palatino Linotype" w:eastAsia="Palatino Linotype" w:hAnsi="Palatino Linotype" w:cs="Palatino Linotype"/>
          <w:i/>
          <w:iCs/>
          <w:color w:val="000000"/>
        </w:rPr>
        <w:lastRenderedPageBreak/>
        <w:t xml:space="preserve">o, en su caso, las listas de notificaciones por estrados; coleccionando unos y otras, para resolver cualquier cuestión que se suscite sobre la omisión de alguna publicación. Las listas de notificaciones deberán ser autorizadas y selladas en su fecha por el Secretario. La publicación de las notificaciones contendrá la fecha, el número del expediente y los nombres de las partes en los juicios de que se trate. </w:t>
      </w:r>
    </w:p>
    <w:p w:rsidR="006C5232" w:rsidRDefault="006C5232">
      <w:pPr>
        <w:pBdr>
          <w:top w:val="nil"/>
          <w:left w:val="nil"/>
          <w:bottom w:val="nil"/>
          <w:right w:val="nil"/>
          <w:between w:val="nil"/>
        </w:pBdr>
        <w:spacing w:line="360" w:lineRule="auto"/>
        <w:ind w:right="-1071"/>
        <w:jc w:val="both"/>
        <w:rPr>
          <w:rFonts w:ascii="Palatino Linotype" w:eastAsia="Palatino Linotype" w:hAnsi="Palatino Linotype" w:cs="Palatino Linotype"/>
          <w:color w:val="000000"/>
        </w:rPr>
      </w:pPr>
    </w:p>
    <w:p w:rsidR="006C5232" w:rsidRDefault="00D56692">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t xml:space="preserve">Es así que, el Boletín Laboral es el definido como el documento publicado diariamente en el que se da a conocer a las personas que forman parte de algún expediente el estatus o cualquier notificación relacionada con su asunto. Las notificaciones en el Boletín Laboral, conforme a la normatividad en materia, se harán cuando las partes no </w:t>
      </w:r>
      <w:r>
        <w:rPr>
          <w:rFonts w:ascii="Palatino Linotype" w:eastAsia="Palatino Linotype" w:hAnsi="Palatino Linotype" w:cs="Palatino Linotype"/>
        </w:rPr>
        <w:t>señalan</w:t>
      </w:r>
      <w:r>
        <w:rPr>
          <w:rFonts w:ascii="Palatino Linotype" w:eastAsia="Palatino Linotype" w:hAnsi="Palatino Linotype" w:cs="Palatino Linotype"/>
          <w:color w:val="000000"/>
        </w:rPr>
        <w:t xml:space="preserve"> algún domicilio para ser notificado.</w:t>
      </w:r>
    </w:p>
    <w:p w:rsidR="006C5232" w:rsidRDefault="00D56692">
      <w:pPr>
        <w:pBdr>
          <w:top w:val="nil"/>
          <w:left w:val="nil"/>
          <w:bottom w:val="nil"/>
          <w:right w:val="nil"/>
          <w:between w:val="nil"/>
        </w:pBdr>
        <w:spacing w:line="360" w:lineRule="auto"/>
        <w:ind w:right="-107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 </w:t>
      </w:r>
    </w:p>
    <w:p w:rsidR="006C5232" w:rsidRDefault="00D56692">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t>Por su parte, el Reglamento Interior del Tribunal Estatal de Conciliación y Arbitraje, en el artículo 14, fracción VII, establece lo siguiente:</w:t>
      </w:r>
    </w:p>
    <w:p w:rsidR="006C5232" w:rsidRDefault="00D56692">
      <w:pPr>
        <w:pBdr>
          <w:top w:val="nil"/>
          <w:left w:val="nil"/>
          <w:bottom w:val="nil"/>
          <w:right w:val="nil"/>
          <w:between w:val="nil"/>
        </w:pBdr>
        <w:spacing w:line="360" w:lineRule="auto"/>
        <w:ind w:left="567" w:right="-1071"/>
        <w:jc w:val="center"/>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SECCIÓN CUARTA</w:t>
      </w:r>
    </w:p>
    <w:p w:rsidR="006C5232" w:rsidRDefault="00D56692">
      <w:pPr>
        <w:pBdr>
          <w:top w:val="nil"/>
          <w:left w:val="nil"/>
          <w:bottom w:val="nil"/>
          <w:right w:val="nil"/>
          <w:between w:val="nil"/>
        </w:pBdr>
        <w:spacing w:line="360" w:lineRule="auto"/>
        <w:ind w:left="567" w:right="-1071"/>
        <w:jc w:val="center"/>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DE LA SECRETARÍA GENERAL OPERATIVA</w:t>
      </w:r>
    </w:p>
    <w:p w:rsidR="006C5232" w:rsidRDefault="00D56692">
      <w:pPr>
        <w:pBdr>
          <w:top w:val="nil"/>
          <w:left w:val="nil"/>
          <w:bottom w:val="nil"/>
          <w:right w:val="nil"/>
          <w:between w:val="nil"/>
        </w:pBdr>
        <w:spacing w:line="360" w:lineRule="auto"/>
        <w:ind w:left="567"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Artículo 14.- La Secretaría General Operativa estará a cargo de un Secretario General Operativo y tendrá además las facultades y obligaciones siguientes:</w:t>
      </w:r>
    </w:p>
    <w:p w:rsidR="006C5232" w:rsidRDefault="00D56692">
      <w:pPr>
        <w:pBdr>
          <w:top w:val="nil"/>
          <w:left w:val="nil"/>
          <w:bottom w:val="nil"/>
          <w:right w:val="nil"/>
          <w:between w:val="nil"/>
        </w:pBdr>
        <w:spacing w:line="360" w:lineRule="auto"/>
        <w:ind w:left="567"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6C5232" w:rsidRDefault="00D56692">
      <w:pPr>
        <w:pBdr>
          <w:top w:val="nil"/>
          <w:left w:val="nil"/>
          <w:bottom w:val="nil"/>
          <w:right w:val="nil"/>
          <w:between w:val="nil"/>
        </w:pBdr>
        <w:spacing w:line="360" w:lineRule="auto"/>
        <w:ind w:left="567" w:right="-1071"/>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VII. Coordinar, organizar y revisar la publicación diaria del Boletín, el que contendrá una lista de las notificaciones que hagan las diversas unidades administrativas del Tribunal y de las Salas o cualquier publicación que estime conveniente el Presidente del Tribunal;</w:t>
      </w:r>
    </w:p>
    <w:p w:rsidR="006C5232" w:rsidRDefault="00D56692">
      <w:pPr>
        <w:pBdr>
          <w:top w:val="nil"/>
          <w:left w:val="nil"/>
          <w:bottom w:val="nil"/>
          <w:right w:val="nil"/>
          <w:between w:val="nil"/>
        </w:pBdr>
        <w:spacing w:line="360" w:lineRule="auto"/>
        <w:ind w:left="567"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6C5232" w:rsidRDefault="00D56692">
      <w:pPr>
        <w:pBdr>
          <w:top w:val="nil"/>
          <w:left w:val="nil"/>
          <w:bottom w:val="nil"/>
          <w:right w:val="nil"/>
          <w:between w:val="nil"/>
        </w:pBdr>
        <w:spacing w:line="360" w:lineRule="auto"/>
        <w:ind w:left="567" w:right="-1071"/>
        <w:jc w:val="center"/>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lastRenderedPageBreak/>
        <w:t>SECCIÓN SÉPTIMA</w:t>
      </w:r>
    </w:p>
    <w:p w:rsidR="006C5232" w:rsidRDefault="00D56692">
      <w:pPr>
        <w:pBdr>
          <w:top w:val="nil"/>
          <w:left w:val="nil"/>
          <w:bottom w:val="nil"/>
          <w:right w:val="nil"/>
          <w:between w:val="nil"/>
        </w:pBdr>
        <w:spacing w:line="360" w:lineRule="auto"/>
        <w:ind w:left="567" w:right="-1071"/>
        <w:jc w:val="center"/>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DE LOS SECRETARIOS DE ACUERDOS</w:t>
      </w:r>
    </w:p>
    <w:p w:rsidR="006C5232" w:rsidRDefault="00D56692">
      <w:pPr>
        <w:pBdr>
          <w:top w:val="nil"/>
          <w:left w:val="nil"/>
          <w:bottom w:val="nil"/>
          <w:right w:val="nil"/>
          <w:between w:val="nil"/>
        </w:pBdr>
        <w:spacing w:line="360" w:lineRule="auto"/>
        <w:ind w:left="567"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Artículo 24.- Los Secretarios de Acuerdos del Tribunal, tendrán las facultades y obligaciones siguientes:</w:t>
      </w:r>
    </w:p>
    <w:p w:rsidR="006C5232" w:rsidRDefault="00D56692">
      <w:pPr>
        <w:pBdr>
          <w:top w:val="nil"/>
          <w:left w:val="nil"/>
          <w:bottom w:val="nil"/>
          <w:right w:val="nil"/>
          <w:between w:val="nil"/>
        </w:pBdr>
        <w:spacing w:line="360" w:lineRule="auto"/>
        <w:ind w:left="567"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V. Realizar las notificaciones en el Boletín que ordene el Pleno</w:t>
      </w:r>
      <w:r>
        <w:rPr>
          <w:rFonts w:ascii="Palatino Linotype" w:eastAsia="Palatino Linotype" w:hAnsi="Palatino Linotype" w:cs="Palatino Linotype"/>
          <w:i/>
          <w:iCs/>
          <w:color w:val="000000"/>
        </w:rPr>
        <w:t xml:space="preserve">, </w:t>
      </w:r>
      <w:r>
        <w:rPr>
          <w:rFonts w:ascii="Palatino Linotype" w:eastAsia="Palatino Linotype" w:hAnsi="Palatino Linotype" w:cs="Palatino Linotype"/>
          <w:b/>
          <w:bCs/>
          <w:i/>
          <w:iCs/>
          <w:color w:val="000000"/>
        </w:rPr>
        <w:t>el Presidente del Tribunal, los Secretarios Generales y los Secretarios Auxiliares,</w:t>
      </w:r>
      <w:r>
        <w:rPr>
          <w:rFonts w:ascii="Palatino Linotype" w:eastAsia="Palatino Linotype" w:hAnsi="Palatino Linotype" w:cs="Palatino Linotype"/>
          <w:i/>
          <w:iCs/>
          <w:color w:val="000000"/>
        </w:rPr>
        <w:t xml:space="preserve"> resguardando copias de ellos hasta por seis meses; </w:t>
      </w:r>
    </w:p>
    <w:p w:rsidR="006C5232" w:rsidRDefault="00D56692">
      <w:pPr>
        <w:pBdr>
          <w:top w:val="nil"/>
          <w:left w:val="nil"/>
          <w:bottom w:val="nil"/>
          <w:right w:val="nil"/>
          <w:between w:val="nil"/>
        </w:pBdr>
        <w:spacing w:line="360" w:lineRule="auto"/>
        <w:ind w:left="567" w:right="-1071"/>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VI. Practicar notificaciones</w:t>
      </w:r>
      <w:r>
        <w:rPr>
          <w:rFonts w:ascii="Palatino Linotype" w:eastAsia="Palatino Linotype" w:hAnsi="Palatino Linotype" w:cs="Palatino Linotype"/>
          <w:i/>
          <w:iCs/>
          <w:color w:val="000000"/>
        </w:rPr>
        <w:t xml:space="preserve"> personales cuando las partes concurran al local del Tribunal, conservando la sencillez, inmediatez, rapidez y seguridad de las mismas, </w:t>
      </w:r>
      <w:r>
        <w:rPr>
          <w:rFonts w:ascii="Palatino Linotype" w:eastAsia="Palatino Linotype" w:hAnsi="Palatino Linotype" w:cs="Palatino Linotype"/>
          <w:b/>
          <w:bCs/>
          <w:i/>
          <w:iCs/>
          <w:color w:val="000000"/>
        </w:rPr>
        <w:t>así como la publicación o fijación del Boletín en el local del Tribunal;</w:t>
      </w:r>
    </w:p>
    <w:p w:rsidR="006C5232" w:rsidRDefault="00D56692">
      <w:pPr>
        <w:pBdr>
          <w:top w:val="nil"/>
          <w:left w:val="nil"/>
          <w:bottom w:val="nil"/>
          <w:right w:val="nil"/>
          <w:between w:val="nil"/>
        </w:pBdr>
        <w:spacing w:line="360" w:lineRule="auto"/>
        <w:ind w:left="567"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6C5232" w:rsidRDefault="006C5232">
      <w:pPr>
        <w:pBdr>
          <w:top w:val="nil"/>
          <w:left w:val="nil"/>
          <w:bottom w:val="nil"/>
          <w:right w:val="nil"/>
          <w:between w:val="nil"/>
        </w:pBdr>
        <w:spacing w:line="360" w:lineRule="auto"/>
        <w:ind w:left="567" w:right="-1071"/>
        <w:jc w:val="both"/>
        <w:rPr>
          <w:rFonts w:ascii="Palatino Linotype" w:eastAsia="Palatino Linotype" w:hAnsi="Palatino Linotype" w:cs="Palatino Linotype"/>
          <w:i/>
          <w:iCs/>
          <w:color w:val="000000"/>
        </w:rPr>
      </w:pPr>
    </w:p>
    <w:p w:rsidR="006C5232" w:rsidRDefault="00D56692">
      <w:pPr>
        <w:pBdr>
          <w:top w:val="nil"/>
          <w:left w:val="nil"/>
          <w:bottom w:val="nil"/>
          <w:right w:val="nil"/>
          <w:between w:val="nil"/>
        </w:pBdr>
        <w:spacing w:line="360" w:lineRule="auto"/>
        <w:ind w:left="567" w:right="-1071"/>
        <w:jc w:val="center"/>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SECCIÓN OCTAVA</w:t>
      </w:r>
    </w:p>
    <w:p w:rsidR="006C5232" w:rsidRDefault="00D56692">
      <w:pPr>
        <w:pBdr>
          <w:top w:val="nil"/>
          <w:left w:val="nil"/>
          <w:bottom w:val="nil"/>
          <w:right w:val="nil"/>
          <w:between w:val="nil"/>
        </w:pBdr>
        <w:spacing w:line="360" w:lineRule="auto"/>
        <w:ind w:left="567" w:right="-1071"/>
        <w:jc w:val="center"/>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DE LOS SECRETARIOS DE ACUERDOS DE LAS SALAS</w:t>
      </w:r>
    </w:p>
    <w:p w:rsidR="006C5232" w:rsidRDefault="00D56692">
      <w:pPr>
        <w:pBdr>
          <w:top w:val="nil"/>
          <w:left w:val="nil"/>
          <w:bottom w:val="nil"/>
          <w:right w:val="nil"/>
          <w:between w:val="nil"/>
        </w:pBdr>
        <w:spacing w:line="360" w:lineRule="auto"/>
        <w:ind w:left="567"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Artículo 25.- Los Secretarios de Acuerdos de las Salas, tendrán además de las señaladas en el artículo anterior, las facultades y obligaciones siguientes: </w:t>
      </w:r>
    </w:p>
    <w:p w:rsidR="006C5232" w:rsidRDefault="00D56692">
      <w:pPr>
        <w:pBdr>
          <w:top w:val="nil"/>
          <w:left w:val="nil"/>
          <w:bottom w:val="nil"/>
          <w:right w:val="nil"/>
          <w:between w:val="nil"/>
        </w:pBdr>
        <w:spacing w:line="360" w:lineRule="auto"/>
        <w:ind w:left="567"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I. Realizar las notificaciones en el Boletín que ordenen el Pleno o el Presidente de Sala, </w:t>
      </w:r>
      <w:r>
        <w:rPr>
          <w:rFonts w:ascii="Palatino Linotype" w:eastAsia="Palatino Linotype" w:hAnsi="Palatino Linotype" w:cs="Palatino Linotype"/>
          <w:i/>
          <w:iCs/>
          <w:color w:val="000000"/>
        </w:rPr>
        <w:t>debiendo conservar copias de ellos hasta por seis meses, estableciéndose un lugar visible en el local de la Sala para su consulta, o bien practicar notificaciones personales cuando las partes concurran al local de la Sala,</w:t>
      </w:r>
    </w:p>
    <w:p w:rsidR="006C5232" w:rsidRDefault="00D56692">
      <w:pPr>
        <w:pBdr>
          <w:top w:val="nil"/>
          <w:left w:val="nil"/>
          <w:bottom w:val="nil"/>
          <w:right w:val="nil"/>
          <w:between w:val="nil"/>
        </w:pBdr>
        <w:spacing w:line="360" w:lineRule="auto"/>
        <w:ind w:left="567"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6C5232" w:rsidRDefault="006C5232">
      <w:pPr>
        <w:pBdr>
          <w:top w:val="nil"/>
          <w:left w:val="nil"/>
          <w:bottom w:val="nil"/>
          <w:right w:val="nil"/>
          <w:between w:val="nil"/>
        </w:pBdr>
        <w:spacing w:line="360" w:lineRule="auto"/>
        <w:ind w:right="-1071"/>
        <w:jc w:val="both"/>
        <w:rPr>
          <w:rFonts w:ascii="Palatino Linotype" w:eastAsia="Palatino Linotype" w:hAnsi="Palatino Linotype" w:cs="Palatino Linotype"/>
          <w:color w:val="000000"/>
        </w:rPr>
      </w:pPr>
    </w:p>
    <w:p w:rsidR="006C5232" w:rsidRDefault="00D56692">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lastRenderedPageBreak/>
        <w:t>El Reglamento Interior del Sujeto Obligado establece quienes son los responsables de cargar la información al Boletín Labora, siendo la Secretaría General Operativa, Secretarios de Acuerdos y Secretarios de Acuerdos de las Salas.</w:t>
      </w:r>
    </w:p>
    <w:p w:rsidR="006C5232" w:rsidRDefault="006C5232">
      <w:pPr>
        <w:spacing w:line="360" w:lineRule="auto"/>
        <w:ind w:right="-1071"/>
        <w:jc w:val="both"/>
        <w:rPr>
          <w:rFonts w:ascii="Palatino Linotype" w:eastAsia="Palatino Linotype" w:hAnsi="Palatino Linotype" w:cs="Palatino Linotype"/>
        </w:rPr>
      </w:pPr>
    </w:p>
    <w:p w:rsidR="006C5232" w:rsidRDefault="00D56692">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t xml:space="preserve">Por lo anteriormente referido, se tiene la existencia de fuente obligacional para generar, administrar y poseer la información relacionada con las publicaciones que se realizan en el Boletín Laboral. </w:t>
      </w:r>
    </w:p>
    <w:p w:rsidR="006C5232" w:rsidRDefault="006C5232">
      <w:pPr>
        <w:pBdr>
          <w:top w:val="nil"/>
          <w:left w:val="nil"/>
          <w:bottom w:val="nil"/>
          <w:right w:val="nil"/>
          <w:between w:val="nil"/>
        </w:pBdr>
        <w:ind w:left="720" w:right="-1071"/>
        <w:rPr>
          <w:rFonts w:ascii="Palatino Linotype" w:eastAsia="Palatino Linotype" w:hAnsi="Palatino Linotype" w:cs="Palatino Linotype"/>
          <w:color w:val="000000"/>
        </w:rPr>
      </w:pPr>
    </w:p>
    <w:p w:rsidR="006C5232" w:rsidRDefault="00D56692">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t xml:space="preserve">Ahora bien, recordemos que la particular solicitó la cancelación de sus datos personales en dicho Boletín Laboral, motivo por el cual formuló la solicitud correspondiente. </w:t>
      </w:r>
    </w:p>
    <w:p w:rsidR="006C5232" w:rsidRDefault="006C5232">
      <w:pPr>
        <w:pBdr>
          <w:top w:val="nil"/>
          <w:left w:val="nil"/>
          <w:bottom w:val="nil"/>
          <w:right w:val="nil"/>
          <w:between w:val="nil"/>
        </w:pBdr>
        <w:ind w:left="720" w:right="-1071"/>
        <w:rPr>
          <w:rFonts w:ascii="Palatino Linotype" w:eastAsia="Palatino Linotype" w:hAnsi="Palatino Linotype" w:cs="Palatino Linotype"/>
          <w:color w:val="000000"/>
        </w:rPr>
      </w:pPr>
    </w:p>
    <w:p w:rsidR="006C5232" w:rsidRDefault="00D56692">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t xml:space="preserve">En este caso, se advierte que la solicitud del Recurrente fue atendida, pues de la búsqueda en los boletines laborales de la Junta Local de Conciliación y Arbitraje Valle Cuautitlán-Texcoco, no se advierte el nombre de la Recurrente, asimismo, este Órgano Garante verificó la información en diversos buscadores y no se localizó información de la particular, por lo tanto, se puede concluir que el Sujeto Obligado colmo el derecho de la particular. </w:t>
      </w:r>
    </w:p>
    <w:p w:rsidR="006C5232" w:rsidRDefault="006C5232">
      <w:pPr>
        <w:pBdr>
          <w:top w:val="nil"/>
          <w:left w:val="nil"/>
          <w:bottom w:val="nil"/>
          <w:right w:val="nil"/>
          <w:between w:val="nil"/>
        </w:pBdr>
        <w:ind w:left="720" w:right="-1071"/>
        <w:rPr>
          <w:rFonts w:ascii="Palatino Linotype" w:eastAsia="Palatino Linotype" w:hAnsi="Palatino Linotype" w:cs="Palatino Linotype"/>
          <w:color w:val="000000"/>
        </w:rPr>
      </w:pPr>
    </w:p>
    <w:p w:rsidR="006C5232" w:rsidRDefault="00D56692">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t>Por lo que, en mérito de lo expuesto en líneas anteriores, resultan infundadas las razones o motivos de inconformidad que arguye el</w:t>
      </w:r>
      <w:r>
        <w:rPr>
          <w:rFonts w:ascii="Palatino Linotype" w:eastAsia="Palatino Linotype" w:hAnsi="Palatino Linotype" w:cs="Palatino Linotype"/>
          <w:b/>
          <w:bCs/>
          <w:color w:val="000000"/>
        </w:rPr>
        <w:t xml:space="preserve"> Recurrente</w:t>
      </w:r>
      <w:r>
        <w:rPr>
          <w:rFonts w:ascii="Palatino Linotype" w:eastAsia="Palatino Linotype" w:hAnsi="Palatino Linotype" w:cs="Palatino Linotype"/>
          <w:color w:val="000000"/>
        </w:rPr>
        <w:t xml:space="preserve">, por ello con fundamento en el artículo 137, fracción II, de la Ley de Protección de Datos Personales en Posesión de Sujetos Obligados del Estado de México y Municipios, se </w:t>
      </w:r>
      <w:r>
        <w:rPr>
          <w:rFonts w:ascii="Palatino Linotype" w:eastAsia="Palatino Linotype" w:hAnsi="Palatino Linotype" w:cs="Palatino Linotype"/>
          <w:b/>
          <w:bCs/>
          <w:color w:val="000000"/>
        </w:rPr>
        <w:t xml:space="preserve">CONFIRMA </w:t>
      </w:r>
      <w:r>
        <w:rPr>
          <w:rFonts w:ascii="Palatino Linotype" w:eastAsia="Palatino Linotype" w:hAnsi="Palatino Linotype" w:cs="Palatino Linotype"/>
          <w:color w:val="000000"/>
        </w:rPr>
        <w:t xml:space="preserve">la respuesta a la solicitud de oposición a datos personales número </w:t>
      </w:r>
      <w:r>
        <w:rPr>
          <w:rFonts w:ascii="Palatino Linotype" w:eastAsia="Palatino Linotype" w:hAnsi="Palatino Linotype" w:cs="Palatino Linotype"/>
          <w:b/>
          <w:bCs/>
          <w:color w:val="000000"/>
        </w:rPr>
        <w:t>00015/JLCACT/OD/2025.</w:t>
      </w:r>
      <w:r>
        <w:rPr>
          <w:rFonts w:ascii="Palatino Linotype" w:eastAsia="Palatino Linotype" w:hAnsi="Palatino Linotype" w:cs="Palatino Linotype"/>
          <w:color w:val="000000"/>
        </w:rPr>
        <w:t xml:space="preserve"> </w:t>
      </w:r>
    </w:p>
    <w:p w:rsidR="006C5232" w:rsidRDefault="006C5232">
      <w:pPr>
        <w:ind w:right="-1071"/>
        <w:rPr>
          <w:rFonts w:ascii="Palatino Linotype" w:eastAsia="Palatino Linotype" w:hAnsi="Palatino Linotype" w:cs="Palatino Linotype"/>
        </w:rPr>
      </w:pPr>
    </w:p>
    <w:p w:rsidR="006C5232" w:rsidRDefault="00D56692">
      <w:pPr>
        <w:numPr>
          <w:ilvl w:val="0"/>
          <w:numId w:val="3"/>
        </w:numPr>
        <w:pBdr>
          <w:top w:val="nil"/>
          <w:left w:val="nil"/>
          <w:bottom w:val="nil"/>
          <w:right w:val="nil"/>
          <w:between w:val="nil"/>
        </w:pBdr>
        <w:spacing w:line="360" w:lineRule="auto"/>
        <w:ind w:right="-1071"/>
        <w:jc w:val="both"/>
        <w:rPr>
          <w:color w:val="000000"/>
        </w:rPr>
      </w:pPr>
      <w:r>
        <w:rPr>
          <w:rFonts w:ascii="Palatino Linotype" w:eastAsia="Palatino Linotype" w:hAnsi="Palatino Linotype" w:cs="Palatino Linotype"/>
          <w:color w:val="000000"/>
        </w:rPr>
        <w:t xml:space="preserve">Así, con fundamento en lo prescrito en los artículos 5 párrafos trigésimo, trigésimo  primero, trigésimo segundo fracciones IV y V de la Constitución Política del Estado  Libre y Soberano de México; 2 fracción II, 29, 36 fracciones I y II, 176, 178, 179, 181,  185 fracción I, 186 </w:t>
      </w:r>
      <w:r>
        <w:rPr>
          <w:rFonts w:ascii="Palatino Linotype" w:eastAsia="Palatino Linotype" w:hAnsi="Palatino Linotype" w:cs="Palatino Linotype"/>
          <w:color w:val="000000"/>
        </w:rPr>
        <w:lastRenderedPageBreak/>
        <w:t>y 188 de la Ley de Transparencia y Acceso a la Información Pública  del Estado de México y Municipios de aplicación supletoria, 1, 81, 82 fracciones I y III,  119, 127, 128, 129, 133 y 137 de la Ley de Protección de Datos Personales en Posesión  de Sujetos Obligados del Estado de México y Municipios, este Pleno emite los siguientes:</w:t>
      </w:r>
    </w:p>
    <w:p w:rsidR="006C5232" w:rsidRDefault="006C5232">
      <w:pPr>
        <w:pBdr>
          <w:top w:val="nil"/>
          <w:left w:val="nil"/>
          <w:bottom w:val="nil"/>
          <w:right w:val="nil"/>
          <w:between w:val="nil"/>
        </w:pBdr>
        <w:ind w:left="720" w:right="-1071"/>
        <w:rPr>
          <w:rFonts w:ascii="Palatino Linotype" w:eastAsia="Palatino Linotype" w:hAnsi="Palatino Linotype" w:cs="Palatino Linotype"/>
          <w:color w:val="000000"/>
        </w:rPr>
      </w:pPr>
    </w:p>
    <w:p w:rsidR="006C5232" w:rsidRDefault="00D56692">
      <w:pPr>
        <w:numPr>
          <w:ilvl w:val="0"/>
          <w:numId w:val="3"/>
        </w:numPr>
        <w:pBdr>
          <w:top w:val="nil"/>
          <w:left w:val="nil"/>
          <w:bottom w:val="nil"/>
          <w:right w:val="nil"/>
          <w:between w:val="nil"/>
        </w:pBdr>
        <w:spacing w:after="240" w:line="360" w:lineRule="auto"/>
        <w:ind w:right="-1071"/>
        <w:jc w:val="both"/>
        <w:rPr>
          <w:color w:val="000000"/>
        </w:rPr>
      </w:pPr>
      <w:r>
        <w:rPr>
          <w:rFonts w:ascii="Palatino Linotype" w:eastAsia="Palatino Linotype" w:hAnsi="Palatino Linotype" w:cs="Palatino Linotype"/>
          <w:color w:val="000000"/>
        </w:rPr>
        <w:t xml:space="preserve">Por lo anteriormente expuesto y fundado, este </w:t>
      </w:r>
      <w:r>
        <w:rPr>
          <w:rFonts w:ascii="Palatino Linotype" w:eastAsia="Palatino Linotype" w:hAnsi="Palatino Linotype" w:cs="Palatino Linotype"/>
          <w:b/>
          <w:bCs/>
          <w:color w:val="000000"/>
        </w:rPr>
        <w:t>ÓRGANO GARANTE</w:t>
      </w:r>
      <w:r>
        <w:rPr>
          <w:rFonts w:ascii="Palatino Linotype" w:eastAsia="Palatino Linotype" w:hAnsi="Palatino Linotype" w:cs="Palatino Linotype"/>
          <w:color w:val="000000"/>
        </w:rPr>
        <w:t xml:space="preserve"> emite los siguientes:   </w:t>
      </w:r>
    </w:p>
    <w:p w:rsidR="006C5232" w:rsidRDefault="00D56692">
      <w:pPr>
        <w:keepNext/>
        <w:keepLines/>
        <w:spacing w:line="360" w:lineRule="auto"/>
        <w:ind w:right="-1071"/>
        <w:jc w:val="center"/>
        <w:rPr>
          <w:rFonts w:ascii="Palatino Linotype" w:eastAsia="Palatino Linotype" w:hAnsi="Palatino Linotype" w:cs="Palatino Linotype"/>
          <w:b/>
          <w:bCs/>
        </w:rPr>
      </w:pPr>
      <w:bookmarkStart w:id="8" w:name="_heading=h.7g73sqvaouc1" w:colFirst="0" w:colLast="0"/>
      <w:bookmarkEnd w:id="8"/>
      <w:r>
        <w:rPr>
          <w:rFonts w:ascii="Palatino Linotype" w:eastAsia="Palatino Linotype" w:hAnsi="Palatino Linotype" w:cs="Palatino Linotype"/>
          <w:b/>
          <w:bCs/>
        </w:rPr>
        <w:t>R E S O L U T I V O S</w:t>
      </w:r>
    </w:p>
    <w:p w:rsidR="006C5232" w:rsidRDefault="006C5232">
      <w:pPr>
        <w:spacing w:line="360" w:lineRule="auto"/>
        <w:ind w:right="-1071"/>
        <w:rPr>
          <w:rFonts w:ascii="Palatino Linotype" w:eastAsia="Palatino Linotype" w:hAnsi="Palatino Linotype" w:cs="Palatino Linotype"/>
        </w:rPr>
      </w:pPr>
    </w:p>
    <w:p w:rsidR="006C5232" w:rsidRDefault="00D56692">
      <w:pPr>
        <w:spacing w:line="360" w:lineRule="auto"/>
        <w:ind w:right="-1071"/>
        <w:jc w:val="both"/>
        <w:rPr>
          <w:rFonts w:ascii="Palatino Linotype" w:eastAsia="Palatino Linotype" w:hAnsi="Palatino Linotype" w:cs="Palatino Linotype"/>
        </w:rPr>
      </w:pPr>
      <w:r>
        <w:rPr>
          <w:rFonts w:ascii="Palatino Linotype" w:eastAsia="Palatino Linotype" w:hAnsi="Palatino Linotype" w:cs="Palatino Linotype"/>
          <w:b/>
          <w:bCs/>
        </w:rPr>
        <w:t>PRIMERO.</w:t>
      </w:r>
      <w:r>
        <w:rPr>
          <w:rFonts w:ascii="Palatino Linotype" w:eastAsia="Palatino Linotype" w:hAnsi="Palatino Linotype" w:cs="Palatino Linotype"/>
        </w:rPr>
        <w:t xml:space="preserve"> Resultan infundados los motivos de inconformidad aducidos por el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en los Recursos de Revisión </w:t>
      </w:r>
      <w:r>
        <w:rPr>
          <w:rFonts w:ascii="Palatino Linotype" w:eastAsia="Palatino Linotype" w:hAnsi="Palatino Linotype" w:cs="Palatino Linotype"/>
          <w:b/>
          <w:bCs/>
        </w:rPr>
        <w:t>12153/INFOEM/OD/RR/2025;</w:t>
      </w:r>
      <w:r>
        <w:rPr>
          <w:rFonts w:ascii="Palatino Linotype" w:eastAsia="Palatino Linotype" w:hAnsi="Palatino Linotype" w:cs="Palatino Linotype"/>
        </w:rPr>
        <w:t xml:space="preserve"> por lo que, en términos del Considerando Cuarto de esta resolución, se </w:t>
      </w:r>
      <w:r>
        <w:rPr>
          <w:rFonts w:ascii="Palatino Linotype" w:eastAsia="Palatino Linotype" w:hAnsi="Palatino Linotype" w:cs="Palatino Linotype"/>
          <w:b/>
          <w:bCs/>
        </w:rPr>
        <w:t>CONFIRMA</w:t>
      </w:r>
      <w:r>
        <w:rPr>
          <w:rFonts w:ascii="Palatino Linotype" w:eastAsia="Palatino Linotype" w:hAnsi="Palatino Linotype" w:cs="Palatino Linotype"/>
        </w:rPr>
        <w:t xml:space="preserve"> la respuesta del </w:t>
      </w:r>
      <w:r>
        <w:rPr>
          <w:rFonts w:ascii="Palatino Linotype" w:eastAsia="Palatino Linotype" w:hAnsi="Palatino Linotype" w:cs="Palatino Linotype"/>
          <w:b/>
          <w:bCs/>
        </w:rPr>
        <w:t>SUJETO OBLIGADO</w:t>
      </w:r>
      <w:r>
        <w:rPr>
          <w:rFonts w:ascii="Palatino Linotype" w:eastAsia="Palatino Linotype" w:hAnsi="Palatino Linotype" w:cs="Palatino Linotype"/>
        </w:rPr>
        <w:t>.</w:t>
      </w:r>
    </w:p>
    <w:p w:rsidR="006C5232" w:rsidRDefault="006C5232">
      <w:pPr>
        <w:spacing w:line="360" w:lineRule="auto"/>
        <w:ind w:right="-1071"/>
        <w:jc w:val="both"/>
        <w:rPr>
          <w:rFonts w:ascii="Palatino Linotype" w:eastAsia="Palatino Linotype" w:hAnsi="Palatino Linotype" w:cs="Palatino Linotype"/>
          <w:b/>
          <w:bCs/>
        </w:rPr>
      </w:pPr>
    </w:p>
    <w:p w:rsidR="006C5232" w:rsidRDefault="00D56692">
      <w:pPr>
        <w:spacing w:line="360" w:lineRule="auto"/>
        <w:ind w:right="-1071"/>
        <w:jc w:val="both"/>
        <w:rPr>
          <w:rFonts w:ascii="Palatino Linotype" w:eastAsia="Palatino Linotype" w:hAnsi="Palatino Linotype" w:cs="Palatino Linotype"/>
        </w:rPr>
      </w:pPr>
      <w:r>
        <w:rPr>
          <w:rFonts w:ascii="Palatino Linotype" w:eastAsia="Palatino Linotype" w:hAnsi="Palatino Linotype" w:cs="Palatino Linotype"/>
          <w:b/>
          <w:bCs/>
        </w:rPr>
        <w:t>SEGUNDO.</w:t>
      </w:r>
      <w:r>
        <w:rPr>
          <w:rFonts w:ascii="Palatino Linotype" w:eastAsia="Palatino Linotype" w:hAnsi="Palatino Linotype" w:cs="Palatino Linotype"/>
        </w:rPr>
        <w:t xml:space="preserve"> </w:t>
      </w:r>
      <w:r>
        <w:rPr>
          <w:rFonts w:ascii="Palatino Linotype" w:eastAsia="Palatino Linotype" w:hAnsi="Palatino Linotype" w:cs="Palatino Linotype"/>
          <w:b/>
          <w:bCs/>
        </w:rPr>
        <w:t>Notifíquese</w:t>
      </w:r>
      <w:r>
        <w:rPr>
          <w:rFonts w:ascii="Palatino Linotype" w:eastAsia="Palatino Linotype" w:hAnsi="Palatino Linotype" w:cs="Palatino Linotype"/>
        </w:rPr>
        <w:t xml:space="preserve"> vía </w:t>
      </w:r>
      <w:r>
        <w:rPr>
          <w:rFonts w:ascii="Palatino Linotype" w:eastAsia="Palatino Linotype" w:hAnsi="Palatino Linotype" w:cs="Palatino Linotype"/>
          <w:b/>
          <w:bCs/>
        </w:rPr>
        <w:t xml:space="preserve">SARCOEM </w:t>
      </w:r>
      <w:r>
        <w:rPr>
          <w:rFonts w:ascii="Palatino Linotype" w:eastAsia="Palatino Linotype" w:hAnsi="Palatino Linotype" w:cs="Palatino Linotype"/>
        </w:rPr>
        <w:t xml:space="preserve">a la Titular de la Unidad de Transparencia del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para su conocimiento. </w:t>
      </w:r>
    </w:p>
    <w:p w:rsidR="006C5232" w:rsidRDefault="006C5232">
      <w:pPr>
        <w:spacing w:line="360" w:lineRule="auto"/>
        <w:ind w:right="-1071"/>
        <w:jc w:val="both"/>
        <w:rPr>
          <w:rFonts w:ascii="Palatino Linotype" w:eastAsia="Palatino Linotype" w:hAnsi="Palatino Linotype" w:cs="Palatino Linotype"/>
        </w:rPr>
      </w:pPr>
    </w:p>
    <w:p w:rsidR="006C5232" w:rsidRDefault="00D56692">
      <w:pPr>
        <w:spacing w:line="360" w:lineRule="auto"/>
        <w:ind w:right="-1071"/>
        <w:jc w:val="both"/>
        <w:rPr>
          <w:rFonts w:ascii="Palatino Linotype" w:eastAsia="Palatino Linotype" w:hAnsi="Palatino Linotype" w:cs="Palatino Linotype"/>
        </w:rPr>
      </w:pPr>
      <w:r>
        <w:rPr>
          <w:rFonts w:ascii="Palatino Linotype" w:eastAsia="Palatino Linotype" w:hAnsi="Palatino Linotype" w:cs="Palatino Linotype"/>
          <w:b/>
          <w:bCs/>
        </w:rPr>
        <w:t>TERCERO. Notifíquese</w:t>
      </w:r>
      <w:r>
        <w:rPr>
          <w:rFonts w:ascii="Palatino Linotype" w:eastAsia="Palatino Linotype" w:hAnsi="Palatino Linotype" w:cs="Palatino Linotype"/>
        </w:rPr>
        <w:t xml:space="preserve"> vía </w:t>
      </w:r>
      <w:r>
        <w:rPr>
          <w:rFonts w:ascii="Palatino Linotype" w:eastAsia="Palatino Linotype" w:hAnsi="Palatino Linotype" w:cs="Palatino Linotype"/>
          <w:b/>
          <w:bCs/>
        </w:rPr>
        <w:t>SARCOEM</w:t>
      </w:r>
      <w:r>
        <w:rPr>
          <w:rFonts w:ascii="Palatino Linotype" w:eastAsia="Palatino Linotype" w:hAnsi="Palatino Linotype" w:cs="Palatino Linotype"/>
        </w:rPr>
        <w:t xml:space="preserve"> al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la presente Resolución. </w:t>
      </w:r>
    </w:p>
    <w:p w:rsidR="006C5232" w:rsidRDefault="006C5232">
      <w:pPr>
        <w:spacing w:line="360" w:lineRule="auto"/>
        <w:ind w:right="-1071"/>
        <w:jc w:val="both"/>
        <w:rPr>
          <w:rFonts w:ascii="Palatino Linotype" w:eastAsia="Palatino Linotype" w:hAnsi="Palatino Linotype" w:cs="Palatino Linotype"/>
        </w:rPr>
      </w:pPr>
    </w:p>
    <w:p w:rsidR="006C5232" w:rsidRDefault="00D56692">
      <w:pPr>
        <w:spacing w:line="360" w:lineRule="auto"/>
        <w:ind w:right="-1071"/>
        <w:jc w:val="both"/>
        <w:rPr>
          <w:rFonts w:ascii="Palatino Linotype" w:eastAsia="Palatino Linotype" w:hAnsi="Palatino Linotype" w:cs="Palatino Linotype"/>
        </w:rPr>
      </w:pPr>
      <w:r>
        <w:rPr>
          <w:rFonts w:ascii="Palatino Linotype" w:eastAsia="Palatino Linotype" w:hAnsi="Palatino Linotype" w:cs="Palatino Linotype"/>
          <w:b/>
          <w:bCs/>
        </w:rPr>
        <w:t>CUARTO.</w:t>
      </w:r>
      <w:r>
        <w:rPr>
          <w:rFonts w:ascii="Palatino Linotype" w:eastAsia="Palatino Linotype" w:hAnsi="Palatino Linotype" w:cs="Palatino Linotype"/>
        </w:rPr>
        <w:t xml:space="preserve"> </w:t>
      </w:r>
      <w:r>
        <w:rPr>
          <w:rFonts w:ascii="Palatino Linotype" w:eastAsia="Palatino Linotype" w:hAnsi="Palatino Linotype" w:cs="Palatino Linotype"/>
          <w:b/>
          <w:bCs/>
        </w:rPr>
        <w:t xml:space="preserve">Notifíquese </w:t>
      </w:r>
      <w:r>
        <w:rPr>
          <w:rFonts w:ascii="Palatino Linotype" w:eastAsia="Palatino Linotype" w:hAnsi="Palatino Linotype" w:cs="Palatino Linotype"/>
        </w:rPr>
        <w:t xml:space="preserve">vía </w:t>
      </w:r>
      <w:r>
        <w:rPr>
          <w:rFonts w:ascii="Palatino Linotype" w:eastAsia="Palatino Linotype" w:hAnsi="Palatino Linotype" w:cs="Palatino Linotype"/>
          <w:b/>
          <w:bCs/>
        </w:rPr>
        <w:t>SARCOEM</w:t>
      </w:r>
      <w:r>
        <w:rPr>
          <w:rFonts w:ascii="Palatino Linotype" w:eastAsia="Palatino Linotype" w:hAnsi="Palatino Linotype" w:cs="Palatino Linotype"/>
        </w:rPr>
        <w:t xml:space="preserve"> al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que de conformidad con lo establecido en el artículo 142 de la Ley de Protección de Datos Personales en Posesión de Sujetos Obligados del Estado de México y Municipios, podrá impugnar vía Juicio de Amparo en los términos de las leyes aplicables.</w:t>
      </w:r>
    </w:p>
    <w:p w:rsidR="006F773C" w:rsidRDefault="006F773C">
      <w:pPr>
        <w:spacing w:line="360" w:lineRule="auto"/>
        <w:ind w:right="-1071"/>
        <w:jc w:val="both"/>
        <w:rPr>
          <w:rFonts w:ascii="Palatino Linotype" w:eastAsia="Palatino Linotype" w:hAnsi="Palatino Linotype" w:cs="Palatino Linotype"/>
        </w:rPr>
      </w:pPr>
    </w:p>
    <w:p w:rsidR="006F773C" w:rsidRPr="003E2295" w:rsidRDefault="006F773C" w:rsidP="006F773C">
      <w:pPr>
        <w:spacing w:before="240" w:after="240" w:line="360" w:lineRule="auto"/>
        <w:ind w:right="-943" w:firstLine="1"/>
        <w:jc w:val="both"/>
        <w:rPr>
          <w:rFonts w:ascii="Palatino Linotype" w:hAnsi="Palatino Linotype"/>
        </w:rPr>
      </w:pPr>
      <w:bookmarkStart w:id="9" w:name="_Hlk99014733"/>
      <w:r w:rsidRPr="003E2295">
        <w:rPr>
          <w:rFonts w:ascii="Palatino Linotype" w:hAnsi="Palatino Linotype" w:cs="Palatino Linotype"/>
        </w:rPr>
        <w:lastRenderedPageBreak/>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Pr>
          <w:rFonts w:ascii="Palatino Linotype" w:hAnsi="Palatino Linotype" w:cs="Palatino Linotype"/>
        </w:rPr>
        <w:t>DÉCIMA</w:t>
      </w:r>
      <w:r w:rsidRPr="003E2295">
        <w:rPr>
          <w:rFonts w:ascii="Palatino Linotype" w:hAnsi="Palatino Linotype" w:cs="Palatino Linotype"/>
        </w:rPr>
        <w:t xml:space="preserve"> </w:t>
      </w:r>
      <w:r>
        <w:rPr>
          <w:rFonts w:ascii="Palatino Linotype" w:hAnsi="Palatino Linotype" w:cs="Palatino Linotype"/>
        </w:rPr>
        <w:t xml:space="preserve">OCTAVA </w:t>
      </w:r>
      <w:r w:rsidRPr="003E2295">
        <w:rPr>
          <w:rFonts w:ascii="Palatino Linotype" w:hAnsi="Palatino Linotype" w:cs="Palatino Linotype"/>
        </w:rPr>
        <w:t>SESIÓN O</w:t>
      </w:r>
      <w:r>
        <w:rPr>
          <w:rFonts w:ascii="Palatino Linotype" w:hAnsi="Palatino Linotype" w:cs="Palatino Linotype"/>
        </w:rPr>
        <w:t>RDINARIA, CELEBRADA EL VEINTE (20</w:t>
      </w:r>
      <w:r w:rsidRPr="003E2295">
        <w:rPr>
          <w:rFonts w:ascii="Palatino Linotype" w:hAnsi="Palatino Linotype" w:cs="Palatino Linotype"/>
        </w:rPr>
        <w:t xml:space="preserve">) DE </w:t>
      </w:r>
      <w:r>
        <w:rPr>
          <w:rFonts w:ascii="Palatino Linotype" w:hAnsi="Palatino Linotype" w:cs="Palatino Linotype"/>
        </w:rPr>
        <w:t>MAYO</w:t>
      </w:r>
      <w:r w:rsidRPr="003E2295">
        <w:rPr>
          <w:rFonts w:ascii="Palatino Linotype" w:hAnsi="Palatino Linotype" w:cs="Palatino Linotype"/>
        </w:rPr>
        <w:t xml:space="preserve"> DE DOS MIL VEINTISÉIS, ANTE EL SECRETARIO TÉCNICO DEL PLENO </w:t>
      </w:r>
      <w:r w:rsidRPr="003E2295">
        <w:rPr>
          <w:rFonts w:ascii="Palatino Linotype" w:hAnsi="Palatino Linotype" w:cs="Palatino Linotype"/>
          <w:color w:val="000000" w:themeColor="text1"/>
        </w:rPr>
        <w:t>ALEXIS TAPIA RAMÍREZ.</w:t>
      </w:r>
    </w:p>
    <w:bookmarkEnd w:id="9"/>
    <w:p w:rsidR="006C5232" w:rsidRDefault="006C5232">
      <w:pPr>
        <w:ind w:right="-1071"/>
      </w:pPr>
    </w:p>
    <w:p w:rsidR="00FB4626" w:rsidRDefault="00FB4626">
      <w:pPr>
        <w:ind w:right="-1071"/>
      </w:pPr>
    </w:p>
    <w:p w:rsidR="00FB4626" w:rsidRDefault="00FB4626">
      <w:pPr>
        <w:ind w:right="-1071"/>
      </w:pPr>
    </w:p>
    <w:p w:rsidR="00FB4626" w:rsidRDefault="00FB4626">
      <w:pPr>
        <w:ind w:right="-1071"/>
      </w:pPr>
    </w:p>
    <w:p w:rsidR="00FB4626" w:rsidRDefault="00FB4626">
      <w:pPr>
        <w:ind w:right="-1071"/>
      </w:pPr>
    </w:p>
    <w:p w:rsidR="00FB4626" w:rsidRDefault="00FB4626">
      <w:pPr>
        <w:ind w:right="-1071"/>
      </w:pPr>
    </w:p>
    <w:p w:rsidR="00FB4626" w:rsidRDefault="00FB4626">
      <w:pPr>
        <w:ind w:right="-1071"/>
      </w:pPr>
    </w:p>
    <w:p w:rsidR="00FB4626" w:rsidRDefault="00FB4626">
      <w:pPr>
        <w:ind w:right="-1071"/>
      </w:pPr>
    </w:p>
    <w:p w:rsidR="00FB4626" w:rsidRDefault="00FB4626">
      <w:pPr>
        <w:ind w:right="-1071"/>
      </w:pPr>
    </w:p>
    <w:p w:rsidR="00FB4626" w:rsidRDefault="00FB4626">
      <w:pPr>
        <w:ind w:right="-1071"/>
      </w:pPr>
    </w:p>
    <w:p w:rsidR="009E0079" w:rsidRDefault="009E0079">
      <w:pPr>
        <w:ind w:right="-1071"/>
      </w:pPr>
    </w:p>
    <w:p w:rsidR="009E0079" w:rsidRDefault="009E0079">
      <w:pPr>
        <w:ind w:right="-1071"/>
      </w:pPr>
    </w:p>
    <w:p w:rsidR="009E0079" w:rsidRDefault="009E0079">
      <w:pPr>
        <w:ind w:right="-1071"/>
      </w:pPr>
    </w:p>
    <w:p w:rsidR="009E0079" w:rsidRDefault="009E0079">
      <w:pPr>
        <w:ind w:right="-1071"/>
      </w:pPr>
    </w:p>
    <w:p w:rsidR="009E0079" w:rsidRDefault="009E0079">
      <w:pPr>
        <w:ind w:right="-1071"/>
      </w:pPr>
    </w:p>
    <w:p w:rsidR="009E0079" w:rsidRDefault="009E0079">
      <w:pPr>
        <w:ind w:right="-1071"/>
      </w:pPr>
    </w:p>
    <w:p w:rsidR="009E0079" w:rsidRDefault="009E0079">
      <w:pPr>
        <w:ind w:right="-1071"/>
      </w:pPr>
    </w:p>
    <w:p w:rsidR="009E0079" w:rsidRDefault="009E0079">
      <w:pPr>
        <w:ind w:right="-1071"/>
      </w:pPr>
    </w:p>
    <w:p w:rsidR="009E0079" w:rsidRDefault="009E0079">
      <w:pPr>
        <w:ind w:right="-1071"/>
      </w:pPr>
    </w:p>
    <w:p w:rsidR="009E0079" w:rsidRDefault="009E0079">
      <w:pPr>
        <w:ind w:right="-1071"/>
      </w:pPr>
    </w:p>
    <w:p w:rsidR="009E0079" w:rsidRDefault="009E0079">
      <w:pPr>
        <w:ind w:right="-1071"/>
      </w:pPr>
    </w:p>
    <w:p w:rsidR="009E0079" w:rsidRDefault="009E0079">
      <w:pPr>
        <w:ind w:right="-1071"/>
      </w:pPr>
    </w:p>
    <w:p w:rsidR="009E0079" w:rsidRDefault="009E0079">
      <w:pPr>
        <w:ind w:right="-1071"/>
      </w:pPr>
    </w:p>
    <w:p w:rsidR="009E0079" w:rsidRDefault="009E0079">
      <w:pPr>
        <w:ind w:right="-1071"/>
      </w:pPr>
    </w:p>
    <w:p w:rsidR="009E0079" w:rsidRDefault="009E0079">
      <w:pPr>
        <w:ind w:right="-1071"/>
      </w:pPr>
    </w:p>
    <w:p w:rsidR="009E0079" w:rsidRDefault="009E0079">
      <w:pPr>
        <w:ind w:right="-1071"/>
      </w:pPr>
    </w:p>
    <w:p w:rsidR="009E0079" w:rsidRDefault="009E0079">
      <w:pPr>
        <w:ind w:right="-1071"/>
      </w:pPr>
    </w:p>
    <w:p w:rsidR="009E0079" w:rsidRDefault="009E0079">
      <w:pPr>
        <w:ind w:right="-1071"/>
      </w:pPr>
    </w:p>
    <w:p w:rsidR="00FB4626" w:rsidRDefault="00FB4626">
      <w:pPr>
        <w:ind w:right="-1071"/>
      </w:pPr>
    </w:p>
    <w:sectPr w:rsidR="00FB4626">
      <w:headerReference w:type="default" r:id="rId42"/>
      <w:footerReference w:type="default" r:id="rId43"/>
      <w:headerReference w:type="first" r:id="rId44"/>
      <w:footerReference w:type="first" r:id="rId45"/>
      <w:pgSz w:w="12240" w:h="15840"/>
      <w:pgMar w:top="2268" w:right="1701" w:bottom="1560"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624D" w:rsidRDefault="009E624D">
      <w:r>
        <w:separator/>
      </w:r>
    </w:p>
  </w:endnote>
  <w:endnote w:type="continuationSeparator" w:id="0">
    <w:p w:rsidR="009E624D" w:rsidRDefault="009E62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embedRegular r:id="rId1" w:fontKey="{617213C7-C600-4DFB-8BE2-60C5000D445E}"/>
    <w:embedBold r:id="rId2" w:fontKey="{12BD7632-488D-42F9-8803-3D5CB215BB7D}"/>
    <w:embedItalic r:id="rId3" w:fontKey="{EEFB80B9-A984-45B2-8325-4AB9D3BB8CB1}"/>
    <w:embedBoldItalic r:id="rId4" w:fontKey="{7D1F6A2B-04C6-4761-B475-E6D143210A5B}"/>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embedRegular r:id="rId5" w:fontKey="{A78B6C95-8FE5-4765-955B-40588BF271BF}"/>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6" w:fontKey="{403A77C2-93E3-4D95-BEE7-ACA3C93A2A0B}"/>
    <w:embedBold r:id="rId7" w:fontKey="{5CBA3AA1-D358-4353-8610-5A897DD718CF}"/>
    <w:embedItalic r:id="rId8" w:fontKey="{95A511DA-A78E-4339-A14E-E9F4E326BE98}"/>
  </w:font>
  <w:font w:name="Georgia">
    <w:panose1 w:val="02040502050405020303"/>
    <w:charset w:val="00"/>
    <w:family w:val="roman"/>
    <w:pitch w:val="variable"/>
    <w:sig w:usb0="00000287" w:usb1="00000000" w:usb2="00000000" w:usb3="00000000" w:csb0="0000009F" w:csb1="00000000"/>
    <w:embedItalic r:id="rId9" w:fontKey="{3C01F1E2-A11E-42AD-8FF5-C69EB7A64356}"/>
  </w:font>
  <w:font w:name="Cambria">
    <w:panose1 w:val="02040503050406030204"/>
    <w:charset w:val="00"/>
    <w:family w:val="roman"/>
    <w:pitch w:val="variable"/>
    <w:sig w:usb0="E00006FF" w:usb1="420024FF" w:usb2="02000000" w:usb3="00000000" w:csb0="0000019F" w:csb1="00000000"/>
    <w:embedRegular r:id="rId10" w:fontKey="{072F21C4-D086-4A8A-A11D-EF675980AD4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232" w:rsidRDefault="00D56692">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F16A92">
      <w:rPr>
        <w:rFonts w:ascii="Palatino Linotype" w:eastAsia="Palatino Linotype" w:hAnsi="Palatino Linotype" w:cs="Palatino Linotype"/>
        <w:b/>
        <w:bCs/>
        <w:noProof/>
        <w:color w:val="000000"/>
        <w:sz w:val="22"/>
        <w:szCs w:val="22"/>
      </w:rPr>
      <w:t>22</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F16A92">
      <w:rPr>
        <w:rFonts w:ascii="Palatino Linotype" w:eastAsia="Palatino Linotype" w:hAnsi="Palatino Linotype" w:cs="Palatino Linotype"/>
        <w:b/>
        <w:bCs/>
        <w:noProof/>
        <w:color w:val="000000"/>
        <w:sz w:val="22"/>
        <w:szCs w:val="22"/>
      </w:rPr>
      <w:t>23</w:t>
    </w:r>
    <w:r>
      <w:rPr>
        <w:rFonts w:ascii="Palatino Linotype" w:eastAsia="Palatino Linotype" w:hAnsi="Palatino Linotype" w:cs="Palatino Linotype"/>
        <w:b/>
        <w:bCs/>
        <w:color w:val="000000"/>
        <w:sz w:val="22"/>
        <w:szCs w:val="22"/>
      </w:rPr>
      <w:fldChar w:fldCharType="end"/>
    </w:r>
  </w:p>
  <w:p w:rsidR="006C5232" w:rsidRDefault="006C5232">
    <w:pPr>
      <w:pBdr>
        <w:top w:val="nil"/>
        <w:left w:val="nil"/>
        <w:bottom w:val="nil"/>
        <w:right w:val="nil"/>
        <w:between w:val="nil"/>
      </w:pBdr>
      <w:tabs>
        <w:tab w:val="center" w:pos="4252"/>
        <w:tab w:val="right" w:pos="8504"/>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232" w:rsidRPr="009E0079" w:rsidRDefault="00D56692">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2"/>
      </w:rPr>
    </w:pPr>
    <w:r w:rsidRPr="009E0079">
      <w:rPr>
        <w:rFonts w:ascii="Palatino Linotype" w:eastAsia="Palatino Linotype" w:hAnsi="Palatino Linotype" w:cs="Palatino Linotype"/>
        <w:color w:val="000000"/>
        <w:sz w:val="22"/>
      </w:rPr>
      <w:t xml:space="preserve">Página </w:t>
    </w:r>
    <w:r w:rsidRPr="009E0079">
      <w:rPr>
        <w:rFonts w:ascii="Palatino Linotype" w:eastAsia="Palatino Linotype" w:hAnsi="Palatino Linotype" w:cs="Palatino Linotype"/>
        <w:color w:val="000000"/>
        <w:sz w:val="22"/>
      </w:rPr>
      <w:fldChar w:fldCharType="begin"/>
    </w:r>
    <w:r w:rsidRPr="009E0079">
      <w:rPr>
        <w:rFonts w:ascii="Palatino Linotype" w:eastAsia="Palatino Linotype" w:hAnsi="Palatino Linotype" w:cs="Palatino Linotype"/>
        <w:color w:val="000000"/>
        <w:sz w:val="22"/>
      </w:rPr>
      <w:instrText>PAGE</w:instrText>
    </w:r>
    <w:r w:rsidRPr="009E0079">
      <w:rPr>
        <w:rFonts w:ascii="Palatino Linotype" w:eastAsia="Palatino Linotype" w:hAnsi="Palatino Linotype" w:cs="Palatino Linotype"/>
        <w:color w:val="000000"/>
        <w:sz w:val="22"/>
      </w:rPr>
      <w:fldChar w:fldCharType="separate"/>
    </w:r>
    <w:r w:rsidR="00F16A92">
      <w:rPr>
        <w:rFonts w:ascii="Palatino Linotype" w:eastAsia="Palatino Linotype" w:hAnsi="Palatino Linotype" w:cs="Palatino Linotype"/>
        <w:noProof/>
        <w:color w:val="000000"/>
        <w:sz w:val="22"/>
      </w:rPr>
      <w:t>1</w:t>
    </w:r>
    <w:r w:rsidRPr="009E0079">
      <w:rPr>
        <w:rFonts w:ascii="Palatino Linotype" w:eastAsia="Palatino Linotype" w:hAnsi="Palatino Linotype" w:cs="Palatino Linotype"/>
        <w:color w:val="000000"/>
        <w:sz w:val="22"/>
      </w:rPr>
      <w:fldChar w:fldCharType="end"/>
    </w:r>
    <w:r w:rsidRPr="009E0079">
      <w:rPr>
        <w:rFonts w:ascii="Palatino Linotype" w:eastAsia="Palatino Linotype" w:hAnsi="Palatino Linotype" w:cs="Palatino Linotype"/>
        <w:color w:val="000000"/>
        <w:sz w:val="22"/>
      </w:rPr>
      <w:t xml:space="preserve"> de </w:t>
    </w:r>
    <w:r w:rsidRPr="009E0079">
      <w:rPr>
        <w:rFonts w:ascii="Palatino Linotype" w:eastAsia="Palatino Linotype" w:hAnsi="Palatino Linotype" w:cs="Palatino Linotype"/>
        <w:color w:val="000000"/>
        <w:sz w:val="22"/>
      </w:rPr>
      <w:fldChar w:fldCharType="begin"/>
    </w:r>
    <w:r w:rsidRPr="009E0079">
      <w:rPr>
        <w:rFonts w:ascii="Palatino Linotype" w:eastAsia="Palatino Linotype" w:hAnsi="Palatino Linotype" w:cs="Palatino Linotype"/>
        <w:color w:val="000000"/>
        <w:sz w:val="22"/>
      </w:rPr>
      <w:instrText>NUMPAGES</w:instrText>
    </w:r>
    <w:r w:rsidRPr="009E0079">
      <w:rPr>
        <w:rFonts w:ascii="Palatino Linotype" w:eastAsia="Palatino Linotype" w:hAnsi="Palatino Linotype" w:cs="Palatino Linotype"/>
        <w:color w:val="000000"/>
        <w:sz w:val="22"/>
      </w:rPr>
      <w:fldChar w:fldCharType="separate"/>
    </w:r>
    <w:r w:rsidR="00F16A92">
      <w:rPr>
        <w:rFonts w:ascii="Palatino Linotype" w:eastAsia="Palatino Linotype" w:hAnsi="Palatino Linotype" w:cs="Palatino Linotype"/>
        <w:noProof/>
        <w:color w:val="000000"/>
        <w:sz w:val="22"/>
      </w:rPr>
      <w:t>23</w:t>
    </w:r>
    <w:r w:rsidRPr="009E0079">
      <w:rPr>
        <w:rFonts w:ascii="Palatino Linotype" w:eastAsia="Palatino Linotype" w:hAnsi="Palatino Linotype" w:cs="Palatino Linotype"/>
        <w:color w:val="000000"/>
        <w:sz w:val="22"/>
      </w:rPr>
      <w:fldChar w:fldCharType="end"/>
    </w:r>
  </w:p>
  <w:p w:rsidR="006C5232" w:rsidRDefault="006C5232">
    <w:pPr>
      <w:pBdr>
        <w:top w:val="nil"/>
        <w:left w:val="nil"/>
        <w:bottom w:val="nil"/>
        <w:right w:val="nil"/>
        <w:between w:val="nil"/>
      </w:pBdr>
      <w:tabs>
        <w:tab w:val="center" w:pos="4252"/>
        <w:tab w:val="right" w:pos="8504"/>
      </w:tabs>
      <w:rPr>
        <w:rFonts w:ascii="Palatino Linotype" w:eastAsia="Palatino Linotype" w:hAnsi="Palatino Linotype" w:cs="Palatino Linotype"/>
        <w:color w:val="000000"/>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624D" w:rsidRDefault="009E624D">
      <w:r>
        <w:separator/>
      </w:r>
    </w:p>
  </w:footnote>
  <w:footnote w:type="continuationSeparator" w:id="0">
    <w:p w:rsidR="009E624D" w:rsidRDefault="009E62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8600" w:type="dxa"/>
      <w:tblInd w:w="1890" w:type="dxa"/>
      <w:tblBorders>
        <w:top w:val="nil"/>
        <w:left w:val="nil"/>
        <w:bottom w:val="nil"/>
        <w:right w:val="nil"/>
        <w:insideH w:val="nil"/>
        <w:insideV w:val="nil"/>
      </w:tblBorders>
      <w:tblLayout w:type="fixed"/>
      <w:tblLook w:val="0400" w:firstRow="0" w:lastRow="0" w:firstColumn="0" w:lastColumn="0" w:noHBand="0" w:noVBand="1"/>
    </w:tblPr>
    <w:tblGrid>
      <w:gridCol w:w="3930"/>
      <w:gridCol w:w="4670"/>
    </w:tblGrid>
    <w:tr w:rsidR="006C5232" w:rsidTr="009E0079">
      <w:trPr>
        <w:trHeight w:val="138"/>
      </w:trPr>
      <w:tc>
        <w:tcPr>
          <w:tcW w:w="3930" w:type="dxa"/>
          <w:vAlign w:val="center"/>
        </w:tcPr>
        <w:p w:rsidR="006C5232" w:rsidRDefault="00D56692">
          <w:pPr>
            <w:ind w:right="34"/>
            <w:jc w:val="right"/>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4670" w:type="dxa"/>
          <w:vAlign w:val="center"/>
        </w:tcPr>
        <w:p w:rsidR="006C5232" w:rsidRPr="009E0079" w:rsidRDefault="00D56692" w:rsidP="009E0079">
          <w:pPr>
            <w:pBdr>
              <w:top w:val="nil"/>
              <w:left w:val="nil"/>
              <w:bottom w:val="nil"/>
              <w:right w:val="nil"/>
              <w:between w:val="nil"/>
            </w:pBdr>
            <w:tabs>
              <w:tab w:val="right" w:pos="8504"/>
            </w:tabs>
            <w:ind w:right="176"/>
            <w:jc w:val="both"/>
            <w:rPr>
              <w:rFonts w:ascii="Palatino Linotype" w:eastAsia="Palatino Linotype" w:hAnsi="Palatino Linotype" w:cs="Palatino Linotype"/>
              <w:bCs/>
              <w:color w:val="000000"/>
            </w:rPr>
          </w:pPr>
          <w:r w:rsidRPr="009E0079">
            <w:rPr>
              <w:rFonts w:ascii="Palatino Linotype" w:eastAsia="Palatino Linotype" w:hAnsi="Palatino Linotype" w:cs="Palatino Linotype"/>
              <w:bCs/>
              <w:color w:val="000000"/>
              <w:sz w:val="26"/>
              <w:szCs w:val="26"/>
            </w:rPr>
            <w:t>12153/INFOEM/OD/RR/2025</w:t>
          </w:r>
        </w:p>
      </w:tc>
    </w:tr>
    <w:tr w:rsidR="006C5232" w:rsidTr="009E0079">
      <w:trPr>
        <w:trHeight w:val="233"/>
      </w:trPr>
      <w:tc>
        <w:tcPr>
          <w:tcW w:w="3930" w:type="dxa"/>
          <w:vAlign w:val="center"/>
        </w:tcPr>
        <w:p w:rsidR="006C5232" w:rsidRDefault="00D56692">
          <w:pPr>
            <w:ind w:right="34"/>
            <w:jc w:val="right"/>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670" w:type="dxa"/>
          <w:vAlign w:val="center"/>
        </w:tcPr>
        <w:p w:rsidR="006C5232" w:rsidRPr="009E0079" w:rsidRDefault="00D56692" w:rsidP="009E0079">
          <w:pPr>
            <w:pBdr>
              <w:top w:val="nil"/>
              <w:left w:val="nil"/>
              <w:bottom w:val="nil"/>
              <w:right w:val="nil"/>
              <w:between w:val="nil"/>
            </w:pBdr>
            <w:tabs>
              <w:tab w:val="right" w:pos="8504"/>
            </w:tabs>
            <w:ind w:right="176"/>
            <w:rPr>
              <w:rFonts w:ascii="Palatino Linotype" w:eastAsia="Palatino Linotype" w:hAnsi="Palatino Linotype" w:cs="Palatino Linotype"/>
              <w:bCs/>
              <w:color w:val="000000"/>
            </w:rPr>
          </w:pPr>
          <w:r w:rsidRPr="009E0079">
            <w:rPr>
              <w:rFonts w:ascii="Palatino Linotype" w:eastAsia="Palatino Linotype" w:hAnsi="Palatino Linotype" w:cs="Palatino Linotype"/>
              <w:bCs/>
              <w:color w:val="000000"/>
            </w:rPr>
            <w:t>Junta Local de Conciliación y Arbitraje Valle Cuautitlán - Texcoco</w:t>
          </w:r>
        </w:p>
      </w:tc>
    </w:tr>
    <w:tr w:rsidR="006C5232" w:rsidTr="009E0079">
      <w:trPr>
        <w:trHeight w:val="321"/>
      </w:trPr>
      <w:tc>
        <w:tcPr>
          <w:tcW w:w="3930" w:type="dxa"/>
          <w:vAlign w:val="center"/>
        </w:tcPr>
        <w:p w:rsidR="006C5232" w:rsidRDefault="00D56692">
          <w:pPr>
            <w:ind w:right="34"/>
            <w:jc w:val="right"/>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4670" w:type="dxa"/>
          <w:vAlign w:val="center"/>
        </w:tcPr>
        <w:p w:rsidR="006C5232" w:rsidRPr="009E0079" w:rsidRDefault="00D56692" w:rsidP="009E0079">
          <w:pPr>
            <w:pBdr>
              <w:top w:val="nil"/>
              <w:left w:val="nil"/>
              <w:bottom w:val="nil"/>
              <w:right w:val="nil"/>
              <w:between w:val="nil"/>
            </w:pBdr>
            <w:tabs>
              <w:tab w:val="right" w:pos="8504"/>
            </w:tabs>
            <w:ind w:right="176"/>
            <w:rPr>
              <w:rFonts w:ascii="Palatino Linotype" w:eastAsia="Palatino Linotype" w:hAnsi="Palatino Linotype" w:cs="Palatino Linotype"/>
              <w:bCs/>
              <w:color w:val="000000"/>
            </w:rPr>
          </w:pPr>
          <w:r w:rsidRPr="009E0079">
            <w:rPr>
              <w:rFonts w:ascii="Palatino Linotype" w:eastAsia="Palatino Linotype" w:hAnsi="Palatino Linotype" w:cs="Palatino Linotype"/>
              <w:bCs/>
              <w:color w:val="000000"/>
            </w:rPr>
            <w:t>María del Rosario Mejía Ayala</w:t>
          </w:r>
        </w:p>
      </w:tc>
    </w:tr>
  </w:tbl>
  <w:p w:rsidR="006C5232" w:rsidRDefault="00D56692">
    <w:pPr>
      <w:pBdr>
        <w:top w:val="nil"/>
        <w:left w:val="nil"/>
        <w:bottom w:val="nil"/>
        <w:right w:val="nil"/>
        <w:between w:val="nil"/>
      </w:pBdr>
      <w:tabs>
        <w:tab w:val="center" w:pos="4252"/>
        <w:tab w:val="right" w:pos="8504"/>
      </w:tabs>
      <w:rPr>
        <w:color w:val="000000"/>
      </w:rPr>
    </w:pPr>
    <w:r>
      <w:rPr>
        <w:noProof/>
        <w:color w:val="000000"/>
      </w:rPr>
      <w:drawing>
        <wp:anchor distT="0" distB="0" distL="0" distR="0" simplePos="0" relativeHeight="251657216" behindDoc="1" locked="0" layoutInCell="1" hidden="0" allowOverlap="1">
          <wp:simplePos x="0" y="0"/>
          <wp:positionH relativeFrom="page">
            <wp:posOffset>30785</wp:posOffset>
          </wp:positionH>
          <wp:positionV relativeFrom="page">
            <wp:posOffset>30480</wp:posOffset>
          </wp:positionV>
          <wp:extent cx="7695210" cy="10020839"/>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95210" cy="10020839"/>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1"/>
      <w:tblW w:w="8550" w:type="dxa"/>
      <w:tblInd w:w="1843" w:type="dxa"/>
      <w:tblBorders>
        <w:top w:val="nil"/>
        <w:left w:val="nil"/>
        <w:bottom w:val="nil"/>
        <w:right w:val="nil"/>
        <w:insideH w:val="nil"/>
        <w:insideV w:val="nil"/>
      </w:tblBorders>
      <w:tblLayout w:type="fixed"/>
      <w:tblLook w:val="0400" w:firstRow="0" w:lastRow="0" w:firstColumn="0" w:lastColumn="0" w:noHBand="0" w:noVBand="1"/>
    </w:tblPr>
    <w:tblGrid>
      <w:gridCol w:w="3645"/>
      <w:gridCol w:w="4905"/>
    </w:tblGrid>
    <w:tr w:rsidR="006C5232" w:rsidTr="009E0079">
      <w:trPr>
        <w:trHeight w:val="138"/>
      </w:trPr>
      <w:tc>
        <w:tcPr>
          <w:tcW w:w="3645" w:type="dxa"/>
          <w:vAlign w:val="center"/>
        </w:tcPr>
        <w:p w:rsidR="006C5232" w:rsidRPr="009E0079" w:rsidRDefault="00D56692">
          <w:pPr>
            <w:jc w:val="right"/>
            <w:rPr>
              <w:rFonts w:ascii="Palatino Linotype" w:eastAsia="Palatino Linotype" w:hAnsi="Palatino Linotype" w:cs="Palatino Linotype"/>
              <w:b/>
              <w:bCs/>
            </w:rPr>
          </w:pPr>
          <w:r w:rsidRPr="009E0079">
            <w:rPr>
              <w:rFonts w:ascii="Palatino Linotype" w:eastAsia="Palatino Linotype" w:hAnsi="Palatino Linotype" w:cs="Palatino Linotype"/>
              <w:b/>
              <w:bCs/>
            </w:rPr>
            <w:t>RECURSO DE REVISIÓN:</w:t>
          </w:r>
        </w:p>
      </w:tc>
      <w:tc>
        <w:tcPr>
          <w:tcW w:w="4905" w:type="dxa"/>
          <w:vAlign w:val="center"/>
        </w:tcPr>
        <w:p w:rsidR="006C5232" w:rsidRPr="009E0079" w:rsidRDefault="00D56692">
          <w:pPr>
            <w:pBdr>
              <w:top w:val="nil"/>
              <w:left w:val="nil"/>
              <w:bottom w:val="nil"/>
              <w:right w:val="nil"/>
              <w:between w:val="nil"/>
            </w:pBdr>
            <w:tabs>
              <w:tab w:val="center" w:pos="4252"/>
              <w:tab w:val="right" w:pos="8504"/>
            </w:tabs>
            <w:rPr>
              <w:rFonts w:ascii="Palatino Linotype" w:eastAsia="Palatino Linotype" w:hAnsi="Palatino Linotype" w:cs="Palatino Linotype"/>
              <w:bCs/>
              <w:color w:val="000000"/>
            </w:rPr>
          </w:pPr>
          <w:r w:rsidRPr="009E0079">
            <w:rPr>
              <w:rFonts w:ascii="Palatino Linotype" w:eastAsia="Palatino Linotype" w:hAnsi="Palatino Linotype" w:cs="Palatino Linotype"/>
              <w:bCs/>
              <w:color w:val="000000"/>
            </w:rPr>
            <w:t>12153/INFOEM/OD/RR/2025</w:t>
          </w:r>
        </w:p>
      </w:tc>
    </w:tr>
    <w:tr w:rsidR="006C5232" w:rsidTr="009E0079">
      <w:trPr>
        <w:trHeight w:val="233"/>
      </w:trPr>
      <w:tc>
        <w:tcPr>
          <w:tcW w:w="3645" w:type="dxa"/>
          <w:vAlign w:val="center"/>
        </w:tcPr>
        <w:p w:rsidR="006C5232" w:rsidRPr="009E0079" w:rsidRDefault="00D56692">
          <w:pPr>
            <w:jc w:val="right"/>
            <w:rPr>
              <w:rFonts w:ascii="Palatino Linotype" w:eastAsia="Palatino Linotype" w:hAnsi="Palatino Linotype" w:cs="Palatino Linotype"/>
              <w:b/>
              <w:bCs/>
            </w:rPr>
          </w:pPr>
          <w:r w:rsidRPr="009E0079">
            <w:rPr>
              <w:rFonts w:ascii="Palatino Linotype" w:eastAsia="Palatino Linotype" w:hAnsi="Palatino Linotype" w:cs="Palatino Linotype"/>
              <w:b/>
              <w:bCs/>
            </w:rPr>
            <w:t>RECURRENTE:</w:t>
          </w:r>
        </w:p>
      </w:tc>
      <w:tc>
        <w:tcPr>
          <w:tcW w:w="4905" w:type="dxa"/>
        </w:tcPr>
        <w:p w:rsidR="006C5232" w:rsidRPr="009E0079" w:rsidRDefault="00701CFE">
          <w:pPr>
            <w:pBdr>
              <w:top w:val="nil"/>
              <w:left w:val="nil"/>
              <w:bottom w:val="nil"/>
              <w:right w:val="nil"/>
              <w:between w:val="nil"/>
            </w:pBdr>
            <w:tabs>
              <w:tab w:val="center" w:pos="4252"/>
              <w:tab w:val="right" w:pos="8504"/>
            </w:tabs>
            <w:rPr>
              <w:rFonts w:ascii="Palatino Linotype" w:eastAsia="Palatino Linotype" w:hAnsi="Palatino Linotype" w:cs="Palatino Linotype"/>
              <w:bCs/>
              <w:color w:val="000000"/>
            </w:rPr>
          </w:pPr>
          <w:r>
            <w:rPr>
              <w:rFonts w:ascii="Palatino Linotype" w:eastAsia="Palatino Linotype" w:hAnsi="Palatino Linotype" w:cs="Palatino Linotype"/>
              <w:bCs/>
              <w:color w:val="000000"/>
            </w:rPr>
            <w:t>XXXX</w:t>
          </w:r>
        </w:p>
      </w:tc>
    </w:tr>
    <w:tr w:rsidR="006C5232" w:rsidTr="009E0079">
      <w:trPr>
        <w:trHeight w:val="321"/>
      </w:trPr>
      <w:tc>
        <w:tcPr>
          <w:tcW w:w="3645" w:type="dxa"/>
          <w:vAlign w:val="center"/>
        </w:tcPr>
        <w:p w:rsidR="006C5232" w:rsidRPr="009E0079" w:rsidRDefault="00D56692">
          <w:pPr>
            <w:jc w:val="right"/>
            <w:rPr>
              <w:rFonts w:ascii="Palatino Linotype" w:eastAsia="Palatino Linotype" w:hAnsi="Palatino Linotype" w:cs="Palatino Linotype"/>
              <w:b/>
              <w:bCs/>
            </w:rPr>
          </w:pPr>
          <w:r w:rsidRPr="009E0079">
            <w:rPr>
              <w:rFonts w:ascii="Palatino Linotype" w:eastAsia="Palatino Linotype" w:hAnsi="Palatino Linotype" w:cs="Palatino Linotype"/>
              <w:b/>
              <w:bCs/>
            </w:rPr>
            <w:t>SUJETO OBLIGADO:</w:t>
          </w:r>
        </w:p>
      </w:tc>
      <w:tc>
        <w:tcPr>
          <w:tcW w:w="4905" w:type="dxa"/>
          <w:vAlign w:val="center"/>
        </w:tcPr>
        <w:p w:rsidR="006C5232" w:rsidRPr="009E0079" w:rsidRDefault="00D56692">
          <w:pPr>
            <w:pBdr>
              <w:top w:val="nil"/>
              <w:left w:val="nil"/>
              <w:bottom w:val="nil"/>
              <w:right w:val="nil"/>
              <w:between w:val="nil"/>
            </w:pBdr>
            <w:tabs>
              <w:tab w:val="center" w:pos="4252"/>
              <w:tab w:val="right" w:pos="8504"/>
            </w:tabs>
            <w:rPr>
              <w:rFonts w:ascii="Palatino Linotype" w:eastAsia="Palatino Linotype" w:hAnsi="Palatino Linotype" w:cs="Palatino Linotype"/>
              <w:bCs/>
              <w:color w:val="000000"/>
            </w:rPr>
          </w:pPr>
          <w:r w:rsidRPr="009E0079">
            <w:rPr>
              <w:rFonts w:ascii="Palatino Linotype" w:eastAsia="Palatino Linotype" w:hAnsi="Palatino Linotype" w:cs="Palatino Linotype"/>
              <w:bCs/>
              <w:color w:val="000000"/>
            </w:rPr>
            <w:t>Junta Local de Conciliación y Arbitraje Valle Cuautitlán - Texcoco</w:t>
          </w:r>
        </w:p>
      </w:tc>
    </w:tr>
    <w:tr w:rsidR="006C5232" w:rsidTr="009E0079">
      <w:trPr>
        <w:trHeight w:val="321"/>
      </w:trPr>
      <w:tc>
        <w:tcPr>
          <w:tcW w:w="3645" w:type="dxa"/>
          <w:vAlign w:val="center"/>
        </w:tcPr>
        <w:p w:rsidR="006C5232" w:rsidRPr="009E0079" w:rsidRDefault="00D56692">
          <w:pPr>
            <w:jc w:val="right"/>
            <w:rPr>
              <w:rFonts w:ascii="Palatino Linotype" w:eastAsia="Palatino Linotype" w:hAnsi="Palatino Linotype" w:cs="Palatino Linotype"/>
              <w:b/>
              <w:bCs/>
            </w:rPr>
          </w:pPr>
          <w:r w:rsidRPr="009E0079">
            <w:rPr>
              <w:rFonts w:ascii="Palatino Linotype" w:eastAsia="Palatino Linotype" w:hAnsi="Palatino Linotype" w:cs="Palatino Linotype"/>
              <w:b/>
              <w:bCs/>
            </w:rPr>
            <w:t>COMISIONADA PONENTE:</w:t>
          </w:r>
        </w:p>
      </w:tc>
      <w:tc>
        <w:tcPr>
          <w:tcW w:w="4905" w:type="dxa"/>
          <w:vAlign w:val="center"/>
        </w:tcPr>
        <w:p w:rsidR="006C5232" w:rsidRPr="009E0079" w:rsidRDefault="00D56692">
          <w:pPr>
            <w:pBdr>
              <w:top w:val="nil"/>
              <w:left w:val="nil"/>
              <w:bottom w:val="nil"/>
              <w:right w:val="nil"/>
              <w:between w:val="nil"/>
            </w:pBdr>
            <w:tabs>
              <w:tab w:val="center" w:pos="4252"/>
              <w:tab w:val="right" w:pos="8504"/>
            </w:tabs>
            <w:ind w:left="33"/>
            <w:rPr>
              <w:rFonts w:ascii="Palatino Linotype" w:eastAsia="Palatino Linotype" w:hAnsi="Palatino Linotype" w:cs="Palatino Linotype"/>
              <w:bCs/>
              <w:color w:val="000000"/>
            </w:rPr>
          </w:pPr>
          <w:r w:rsidRPr="009E0079">
            <w:rPr>
              <w:rFonts w:ascii="Palatino Linotype" w:eastAsia="Palatino Linotype" w:hAnsi="Palatino Linotype" w:cs="Palatino Linotype"/>
              <w:bCs/>
              <w:color w:val="000000"/>
            </w:rPr>
            <w:t>María del Rosario Mejía Ayala</w:t>
          </w:r>
        </w:p>
      </w:tc>
    </w:tr>
  </w:tbl>
  <w:p w:rsidR="006C5232" w:rsidRDefault="009E624D">
    <w:pPr>
      <w:pBdr>
        <w:top w:val="nil"/>
        <w:left w:val="nil"/>
        <w:bottom w:val="nil"/>
        <w:right w:val="nil"/>
        <w:between w:val="nil"/>
      </w:pBdr>
      <w:tabs>
        <w:tab w:val="center" w:pos="4252"/>
        <w:tab w:val="right" w:pos="8504"/>
        <w:tab w:val="left" w:pos="3103"/>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99.2pt;margin-top:-139.1pt;width:663.5pt;height:12in;z-index:-251658240;mso-position-horizontal-relative:margin;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7241B8"/>
    <w:multiLevelType w:val="multilevel"/>
    <w:tmpl w:val="F1FCFFDC"/>
    <w:lvl w:ilvl="0">
      <w:start w:val="1"/>
      <w:numFmt w:val="decimal"/>
      <w:lvlText w:val="%1."/>
      <w:lvlJc w:val="left"/>
      <w:pPr>
        <w:ind w:left="0" w:firstLine="0"/>
      </w:pPr>
      <w:rPr>
        <w:rFonts w:ascii="Palatino Linotype" w:eastAsia="Palatino Linotype" w:hAnsi="Palatino Linotype" w:cs="Palatino Linotype"/>
        <w:b/>
        <w:bCs/>
        <w:i w:val="0"/>
        <w:iCs w:val="0"/>
        <w:sz w:val="24"/>
        <w:szCs w:val="24"/>
      </w:rPr>
    </w:lvl>
    <w:lvl w:ilvl="1">
      <w:start w:val="1"/>
      <w:numFmt w:val="lowerLetter"/>
      <w:lvlText w:val="%2)"/>
      <w:lvlJc w:val="left"/>
      <w:pPr>
        <w:ind w:left="1440" w:hanging="360"/>
      </w:pPr>
      <w:rPr>
        <w:b/>
        <w:bCs/>
        <w:i w:val="0"/>
        <w:iCs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FB01146"/>
    <w:multiLevelType w:val="multilevel"/>
    <w:tmpl w:val="DC3EAF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ECD5F0E"/>
    <w:multiLevelType w:val="multilevel"/>
    <w:tmpl w:val="E488E57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5E31567"/>
    <w:multiLevelType w:val="multilevel"/>
    <w:tmpl w:val="7CE6E0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C472F7E"/>
    <w:multiLevelType w:val="multilevel"/>
    <w:tmpl w:val="6F3009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7F2385F"/>
    <w:multiLevelType w:val="multilevel"/>
    <w:tmpl w:val="C35AF1E4"/>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68972F01"/>
    <w:multiLevelType w:val="multilevel"/>
    <w:tmpl w:val="0D8CF898"/>
    <w:lvl w:ilvl="0">
      <w:start w:val="1"/>
      <w:numFmt w:val="bullet"/>
      <w:lvlText w:val="●"/>
      <w:lvlJc w:val="left"/>
      <w:pPr>
        <w:ind w:left="720" w:hanging="360"/>
      </w:pPr>
      <w:rPr>
        <w:rFonts w:ascii="Noto Sans Symbols" w:eastAsia="Noto Sans Symbols" w:hAnsi="Noto Sans Symbols" w:cs="Noto Sans Symbols"/>
        <w:sz w:val="20"/>
        <w:szCs w:val="20"/>
      </w:rPr>
    </w:lvl>
    <w:lvl w:ilvl="1">
      <w:start w:val="13"/>
      <w:numFmt w:val="bullet"/>
      <w:lvlText w:val="-"/>
      <w:lvlJc w:val="left"/>
      <w:pPr>
        <w:ind w:left="1440" w:hanging="360"/>
      </w:pPr>
      <w:rPr>
        <w:rFonts w:ascii="Palatino Linotype" w:eastAsia="Palatino Linotype" w:hAnsi="Palatino Linotype" w:cs="Palatino Linotype"/>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4"/>
  </w:num>
  <w:num w:numId="2">
    <w:abstractNumId w:val="1"/>
  </w:num>
  <w:num w:numId="3">
    <w:abstractNumId w:val="0"/>
  </w:num>
  <w:num w:numId="4">
    <w:abstractNumId w:val="2"/>
  </w:num>
  <w:num w:numId="5">
    <w:abstractNumId w:val="6"/>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232"/>
    <w:rsid w:val="0026377A"/>
    <w:rsid w:val="003E13D1"/>
    <w:rsid w:val="006C5232"/>
    <w:rsid w:val="006F773C"/>
    <w:rsid w:val="00701CFE"/>
    <w:rsid w:val="009E0079"/>
    <w:rsid w:val="009E624D"/>
    <w:rsid w:val="00A95707"/>
    <w:rsid w:val="00D56692"/>
    <w:rsid w:val="00DC3AC1"/>
    <w:rsid w:val="00F16A92"/>
    <w:rsid w:val="00F8041A"/>
    <w:rsid w:val="00FB462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C6C17299-8274-4B6F-AF12-F288A8AB8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line="259" w:lineRule="auto"/>
      <w:outlineLvl w:val="0"/>
    </w:pPr>
    <w:rPr>
      <w:rFonts w:ascii="Palatino Linotype" w:eastAsia="Palatino Linotype" w:hAnsi="Palatino Linotype" w:cs="Palatino Linotype"/>
    </w:rPr>
  </w:style>
  <w:style w:type="paragraph" w:styleId="Ttulo2">
    <w:name w:val="heading 2"/>
    <w:basedOn w:val="Normal"/>
    <w:next w:val="Normal"/>
    <w:pPr>
      <w:keepNext/>
      <w:keepLines/>
      <w:spacing w:before="40" w:line="259" w:lineRule="auto"/>
      <w:outlineLvl w:val="1"/>
    </w:pPr>
    <w:rPr>
      <w:color w:val="2E75B5"/>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0" w:type="dxa"/>
        <w:bottom w:w="0" w:type="dxa"/>
        <w:right w:w="0"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08" w:type="dxa"/>
        <w:bottom w:w="0" w:type="dxa"/>
        <w:right w:w="108" w:type="dxa"/>
      </w:tblCellMar>
    </w:tblPr>
  </w:style>
  <w:style w:type="paragraph" w:styleId="Encabezado">
    <w:name w:val="header"/>
    <w:basedOn w:val="Normal"/>
    <w:link w:val="EncabezadoCar"/>
    <w:uiPriority w:val="99"/>
    <w:unhideWhenUsed/>
    <w:rsid w:val="009E0079"/>
    <w:pPr>
      <w:tabs>
        <w:tab w:val="center" w:pos="4419"/>
        <w:tab w:val="right" w:pos="8838"/>
      </w:tabs>
    </w:pPr>
  </w:style>
  <w:style w:type="character" w:customStyle="1" w:styleId="EncabezadoCar">
    <w:name w:val="Encabezado Car"/>
    <w:basedOn w:val="Fuentedeprrafopredeter"/>
    <w:link w:val="Encabezado"/>
    <w:uiPriority w:val="99"/>
    <w:rsid w:val="009E0079"/>
  </w:style>
  <w:style w:type="paragraph" w:styleId="Piedepgina">
    <w:name w:val="footer"/>
    <w:basedOn w:val="Normal"/>
    <w:link w:val="PiedepginaCar"/>
    <w:uiPriority w:val="99"/>
    <w:unhideWhenUsed/>
    <w:rsid w:val="009E0079"/>
    <w:pPr>
      <w:tabs>
        <w:tab w:val="center" w:pos="4419"/>
        <w:tab w:val="right" w:pos="8838"/>
      </w:tabs>
    </w:pPr>
  </w:style>
  <w:style w:type="character" w:customStyle="1" w:styleId="PiedepginaCar">
    <w:name w:val="Pie de página Car"/>
    <w:basedOn w:val="Fuentedeprrafopredeter"/>
    <w:link w:val="Piedepgina"/>
    <w:uiPriority w:val="99"/>
    <w:rsid w:val="009E0079"/>
  </w:style>
  <w:style w:type="paragraph" w:styleId="Prrafodelista">
    <w:name w:val="List Paragraph"/>
    <w:basedOn w:val="Normal"/>
    <w:uiPriority w:val="34"/>
    <w:qFormat/>
    <w:rsid w:val="009E00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arcoem.org.mx/sarcoem/solicitud/downloadAttach/2589665.page" TargetMode="External"/><Relationship Id="rId18" Type="http://schemas.openxmlformats.org/officeDocument/2006/relationships/hyperlink" Target="https://sarcoem.org.mx/sarcoem/solicitud/downloadAttach/2594717.page" TargetMode="External"/><Relationship Id="rId26" Type="http://schemas.openxmlformats.org/officeDocument/2006/relationships/hyperlink" Target="https://sarcoem.org.mx/sarcoem/solicitud/downloadAttachOk/2610694.page" TargetMode="External"/><Relationship Id="rId39" Type="http://schemas.openxmlformats.org/officeDocument/2006/relationships/hyperlink" Target="https://sarcoem.org.mx/sarcoem/solicitud/downloadAttachOk/2634853.page" TargetMode="External"/><Relationship Id="rId21" Type="http://schemas.openxmlformats.org/officeDocument/2006/relationships/hyperlink" Target="https://sarcoem.org.mx/sarcoem/solicitud/descarga/2600076/000152025068134332003/716432.page" TargetMode="External"/><Relationship Id="rId34" Type="http://schemas.openxmlformats.org/officeDocument/2006/relationships/hyperlink" Target="https://sarcoem.org.mx/sarcoem/solicitud/downloadAttachOk/2634851.page" TargetMode="External"/><Relationship Id="rId42" Type="http://schemas.openxmlformats.org/officeDocument/2006/relationships/header" Target="header1.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sarcoem.org.mx/sarcoem/solicitud/downloadAttach/2589668.page" TargetMode="External"/><Relationship Id="rId29" Type="http://schemas.openxmlformats.org/officeDocument/2006/relationships/hyperlink" Target="https://sarcoem.org.mx/sarcoem/solicitud/downloadAttachOk/2634849.pag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arcoem.org.mx/sarcoem/solicitud/downloadAttach/2589665.page" TargetMode="External"/><Relationship Id="rId24" Type="http://schemas.openxmlformats.org/officeDocument/2006/relationships/hyperlink" Target="https://sarcoem.org.mx/sarcoem/solicitud/descarga/2600080/000152025068134332003/716432.page" TargetMode="External"/><Relationship Id="rId32" Type="http://schemas.openxmlformats.org/officeDocument/2006/relationships/hyperlink" Target="https://sarcoem.org.mx/sarcoem/solicitud/downloadAttachOk/2634850.page" TargetMode="External"/><Relationship Id="rId37" Type="http://schemas.openxmlformats.org/officeDocument/2006/relationships/hyperlink" Target="https://sarcoem.org.mx/sarcoem/solicitud/downloadAttachOk/2634852.page" TargetMode="External"/><Relationship Id="rId40" Type="http://schemas.openxmlformats.org/officeDocument/2006/relationships/hyperlink" Target="https://sarcoem.org.mx/sarcoem/solicitud/downloadAttachOk/2634853.page" TargetMode="External"/><Relationship Id="rId45"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sarcoem.org.mx/sarcoem/solicitud/downloadAttach/2589667.page" TargetMode="External"/><Relationship Id="rId23" Type="http://schemas.openxmlformats.org/officeDocument/2006/relationships/hyperlink" Target="https://sarcoem.org.mx/sarcoem/solicitud/descarga/2600079/000152025068134332003/716432.page" TargetMode="External"/><Relationship Id="rId28" Type="http://schemas.openxmlformats.org/officeDocument/2006/relationships/hyperlink" Target="https://sarcoem.org.mx/sarcoem/solicitud/downloadAttachOk/2634849.page" TargetMode="External"/><Relationship Id="rId36" Type="http://schemas.openxmlformats.org/officeDocument/2006/relationships/hyperlink" Target="https://sarcoem.org.mx/sarcoem/solicitud/downloadAttachOk/2634852.page" TargetMode="External"/><Relationship Id="rId10" Type="http://schemas.openxmlformats.org/officeDocument/2006/relationships/hyperlink" Target="https://sarcoem.org.mx/sarcoem/solicitud/downloadAttach/2589664.page" TargetMode="External"/><Relationship Id="rId19" Type="http://schemas.openxmlformats.org/officeDocument/2006/relationships/hyperlink" Target="https://sarcoem.org.mx/sarcoem/solicitud/downloadAttach/2594717.page" TargetMode="External"/><Relationship Id="rId31" Type="http://schemas.openxmlformats.org/officeDocument/2006/relationships/hyperlink" Target="https://sarcoem.org.mx/sarcoem/solicitud/downloadAttachOk/2634850.page" TargetMode="External"/><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sarcoem.org.mx/sarcoem/solicitud/downloadAttach/2589663.page" TargetMode="External"/><Relationship Id="rId14" Type="http://schemas.openxmlformats.org/officeDocument/2006/relationships/hyperlink" Target="https://sarcoem.org.mx/sarcoem/solicitud/downloadAttach/2589666.page" TargetMode="External"/><Relationship Id="rId22" Type="http://schemas.openxmlformats.org/officeDocument/2006/relationships/hyperlink" Target="https://sarcoem.org.mx/sarcoem/solicitud/descarga/2600078/000152025068134332003/716432.page" TargetMode="External"/><Relationship Id="rId27" Type="http://schemas.openxmlformats.org/officeDocument/2006/relationships/hyperlink" Target="https://sarcoem.org.mx/sarcoem/solicitud/downloadAttachOk/2634849.page" TargetMode="External"/><Relationship Id="rId30" Type="http://schemas.openxmlformats.org/officeDocument/2006/relationships/hyperlink" Target="https://sarcoem.org.mx/sarcoem/solicitud/downloadAttachOk/2634850.page" TargetMode="External"/><Relationship Id="rId35" Type="http://schemas.openxmlformats.org/officeDocument/2006/relationships/hyperlink" Target="https://sarcoem.org.mx/sarcoem/solicitud/downloadAttachOk/2634851.page" TargetMode="External"/><Relationship Id="rId43" Type="http://schemas.openxmlformats.org/officeDocument/2006/relationships/footer" Target="footer1.xml"/><Relationship Id="rId8" Type="http://schemas.openxmlformats.org/officeDocument/2006/relationships/hyperlink" Target="https://sarcoem.org.mx/sarcoem/solicitud/downloadAttach/2589662.page" TargetMode="External"/><Relationship Id="rId3" Type="http://schemas.openxmlformats.org/officeDocument/2006/relationships/styles" Target="styles.xml"/><Relationship Id="rId12" Type="http://schemas.openxmlformats.org/officeDocument/2006/relationships/hyperlink" Target="https://sarcoem.org.mx/sarcoem/solicitud/downloadAttach/2589665.page" TargetMode="External"/><Relationship Id="rId17" Type="http://schemas.openxmlformats.org/officeDocument/2006/relationships/hyperlink" Target="https://sarcoem.org.mx/sarcoem/solicitud/downloadAttach/2589669.page" TargetMode="External"/><Relationship Id="rId25" Type="http://schemas.openxmlformats.org/officeDocument/2006/relationships/hyperlink" Target="https://sarcoem.org.mx/sarcoem/solicitud/descarga/2600081/000152025068134332003/716432.page" TargetMode="External"/><Relationship Id="rId33" Type="http://schemas.openxmlformats.org/officeDocument/2006/relationships/hyperlink" Target="https://sarcoem.org.mx/sarcoem/solicitud/downloadAttachOk/2634851.page" TargetMode="External"/><Relationship Id="rId38" Type="http://schemas.openxmlformats.org/officeDocument/2006/relationships/hyperlink" Target="https://sarcoem.org.mx/sarcoem/solicitud/downloadAttachOk/2634852.page" TargetMode="External"/><Relationship Id="rId46" Type="http://schemas.openxmlformats.org/officeDocument/2006/relationships/fontTable" Target="fontTable.xml"/><Relationship Id="rId20" Type="http://schemas.openxmlformats.org/officeDocument/2006/relationships/hyperlink" Target="https://sarcoem.org.mx/sarcoem/solicitud/downloadAttach/2594717.page" TargetMode="External"/><Relationship Id="rId41" Type="http://schemas.openxmlformats.org/officeDocument/2006/relationships/hyperlink" Target="https://sarcoem.org.mx/sarcoem/solicitud/downloadAttachOk/2634853.page"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7MxEV1nXgUI2aYmaeQ7FsvzBzQ==">CgMxLjAyDmgudjFwYWlhZmV5bGJkMg5oLnU4NnVhNzFnOGJuZzIOaC5qcGNyYnRqMDQwOHUyDmgueGJzNnR1Nmx3OWRoMg5oLmIydGt1NXczMXJ2djIOaC55bTFucWZnd2cwN2QyDmgudDFqMWd1cHpyaGNpMg5oLjdnNzNzcXZhb3VjMTgAciExdVp6aVlxMTJURUxiU0l6eThGVG1wcWd4N0hNRTdielo=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23</Pages>
  <Words>5668</Words>
  <Characters>31175</Characters>
  <Application>Microsoft Office Word</Application>
  <DocSecurity>0</DocSecurity>
  <Lines>259</Lines>
  <Paragraphs>73</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36770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INFOEM574</dc:creator>
  <cp:lastModifiedBy>Cuenta Microsoft</cp:lastModifiedBy>
  <cp:revision>8</cp:revision>
  <cp:lastPrinted>2026-05-21T23:21:00Z</cp:lastPrinted>
  <dcterms:created xsi:type="dcterms:W3CDTF">2026-05-20T22:46:00Z</dcterms:created>
  <dcterms:modified xsi:type="dcterms:W3CDTF">2026-06-17T19:38:00Z</dcterms:modified>
</cp:coreProperties>
</file>