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A77E7" w14:textId="0F8DE4A0" w:rsidR="00DA297E" w:rsidRPr="00655CC9" w:rsidRDefault="00DA297E" w:rsidP="00494ED9">
      <w:pPr>
        <w:pStyle w:val="Sinespaciado"/>
        <w:spacing w:line="360" w:lineRule="auto"/>
        <w:ind w:left="0" w:right="-8"/>
        <w:rPr>
          <w:i w:val="0"/>
          <w:iCs/>
          <w:sz w:val="24"/>
          <w:lang w:val="es-ES_tradnl" w:eastAsia="es-MX"/>
        </w:rPr>
      </w:pPr>
      <w:r w:rsidRPr="00655CC9">
        <w:rPr>
          <w:i w:val="0"/>
          <w:iCs/>
          <w:sz w:val="24"/>
          <w:lang w:val="es-ES_tradnl" w:eastAsia="es-MX"/>
        </w:rPr>
        <w:t>Resolución del Pleno del Instituto de Transparencia, Acceso a la Información Pública y Protección de Datos Personales del Estado de México y Municipios, con domicilio en Metepec, Estado de México, a</w:t>
      </w:r>
      <w:r w:rsidR="00735DC9" w:rsidRPr="00655CC9">
        <w:rPr>
          <w:i w:val="0"/>
          <w:iCs/>
          <w:sz w:val="24"/>
          <w:lang w:val="es-ES_tradnl" w:eastAsia="es-MX"/>
        </w:rPr>
        <w:t xml:space="preserve"> </w:t>
      </w:r>
      <w:r w:rsidR="00CC7D48" w:rsidRPr="00655CC9">
        <w:rPr>
          <w:i w:val="0"/>
          <w:iCs/>
          <w:sz w:val="24"/>
          <w:lang w:val="es-ES_tradnl" w:eastAsia="es-MX"/>
        </w:rPr>
        <w:t>once de marzo de dos mil veintiséis</w:t>
      </w:r>
      <w:r w:rsidRPr="00655CC9">
        <w:rPr>
          <w:i w:val="0"/>
          <w:iCs/>
          <w:sz w:val="24"/>
          <w:lang w:val="es-ES_tradnl" w:eastAsia="es-MX"/>
        </w:rPr>
        <w:t>.</w:t>
      </w:r>
    </w:p>
    <w:p w14:paraId="6F06BAFF" w14:textId="77777777" w:rsidR="00DA297E" w:rsidRPr="00655CC9" w:rsidRDefault="00DA297E" w:rsidP="007C1357">
      <w:pPr>
        <w:tabs>
          <w:tab w:val="left" w:pos="1701"/>
        </w:tabs>
        <w:spacing w:line="360" w:lineRule="auto"/>
        <w:jc w:val="both"/>
        <w:rPr>
          <w:rFonts w:ascii="Palatino Linotype" w:eastAsia="Calibri" w:hAnsi="Palatino Linotype" w:cs="Arial"/>
          <w:b/>
          <w:lang w:val="es-ES_tradnl"/>
        </w:rPr>
      </w:pPr>
    </w:p>
    <w:p w14:paraId="7040BFEC" w14:textId="66FE4A45" w:rsidR="00DA297E" w:rsidRPr="00655CC9" w:rsidRDefault="00DA297E" w:rsidP="007C1357">
      <w:pPr>
        <w:tabs>
          <w:tab w:val="left" w:pos="1701"/>
        </w:tabs>
        <w:spacing w:line="360" w:lineRule="auto"/>
        <w:jc w:val="both"/>
        <w:rPr>
          <w:rFonts w:ascii="Palatino Linotype" w:eastAsia="Calibri" w:hAnsi="Palatino Linotype" w:cs="Arial"/>
        </w:rPr>
      </w:pPr>
      <w:r w:rsidRPr="00655CC9">
        <w:rPr>
          <w:rFonts w:ascii="Palatino Linotype" w:eastAsia="Calibri" w:hAnsi="Palatino Linotype" w:cs="Arial"/>
          <w:b/>
        </w:rPr>
        <w:t>VISTO</w:t>
      </w:r>
      <w:r w:rsidRPr="00655CC9">
        <w:rPr>
          <w:rFonts w:ascii="Palatino Linotype" w:eastAsia="Calibri" w:hAnsi="Palatino Linotype" w:cs="Arial"/>
        </w:rPr>
        <w:t xml:space="preserve"> el expediente electrónico formado con motivo del recurso de revisión número </w:t>
      </w:r>
      <w:r w:rsidR="004719B9" w:rsidRPr="00655CC9">
        <w:rPr>
          <w:rFonts w:ascii="Palatino Linotype" w:eastAsia="Calibri" w:hAnsi="Palatino Linotype" w:cs="Arial"/>
          <w:b/>
          <w:lang w:eastAsia="es-MX"/>
        </w:rPr>
        <w:t>06600</w:t>
      </w:r>
      <w:r w:rsidR="00C053C5" w:rsidRPr="00655CC9">
        <w:rPr>
          <w:rFonts w:ascii="Palatino Linotype" w:eastAsia="Calibri" w:hAnsi="Palatino Linotype" w:cs="Arial"/>
          <w:b/>
          <w:lang w:eastAsia="es-MX"/>
        </w:rPr>
        <w:t>/INFOEM/AD</w:t>
      </w:r>
      <w:r w:rsidR="0016555A" w:rsidRPr="00655CC9">
        <w:rPr>
          <w:rFonts w:ascii="Palatino Linotype" w:eastAsia="Calibri" w:hAnsi="Palatino Linotype" w:cs="Arial"/>
          <w:b/>
          <w:lang w:eastAsia="es-MX"/>
        </w:rPr>
        <w:t>/RR/2025</w:t>
      </w:r>
      <w:r w:rsidR="00C35DE1" w:rsidRPr="00655CC9">
        <w:rPr>
          <w:rFonts w:ascii="Palatino Linotype" w:eastAsia="Calibri" w:hAnsi="Palatino Linotype" w:cs="Arial"/>
        </w:rPr>
        <w:t>, interpuesto por</w:t>
      </w:r>
      <w:r w:rsidR="00735DC9" w:rsidRPr="00655CC9">
        <w:rPr>
          <w:rFonts w:ascii="Palatino Linotype" w:eastAsia="Calibri" w:hAnsi="Palatino Linotype" w:cs="Arial"/>
          <w:b/>
        </w:rPr>
        <w:t xml:space="preserve"> </w:t>
      </w:r>
      <w:proofErr w:type="spellStart"/>
      <w:r w:rsidR="00E955DD">
        <w:rPr>
          <w:rFonts w:ascii="Palatino Linotype" w:eastAsia="Calibri" w:hAnsi="Palatino Linotype" w:cs="Arial"/>
          <w:b/>
        </w:rPr>
        <w:t>xxxxxxxxxxxxxxxxxxxxxxxxxxxxxxxxx</w:t>
      </w:r>
      <w:proofErr w:type="spellEnd"/>
      <w:r w:rsidRPr="00655CC9">
        <w:rPr>
          <w:rFonts w:ascii="Palatino Linotype" w:eastAsia="Calibri" w:hAnsi="Palatino Linotype" w:cs="Arial"/>
        </w:rPr>
        <w:t xml:space="preserve">, </w:t>
      </w:r>
      <w:r w:rsidR="00C35DE1" w:rsidRPr="00655CC9">
        <w:rPr>
          <w:rFonts w:ascii="Palatino Linotype" w:eastAsia="Calibri" w:hAnsi="Palatino Linotype"/>
        </w:rPr>
        <w:t>en lo sucesivo el</w:t>
      </w:r>
      <w:r w:rsidRPr="00655CC9">
        <w:rPr>
          <w:rFonts w:ascii="Palatino Linotype" w:eastAsia="Calibri" w:hAnsi="Palatino Linotype"/>
          <w:b/>
        </w:rPr>
        <w:t xml:space="preserve"> Recurrente</w:t>
      </w:r>
      <w:r w:rsidRPr="00655CC9">
        <w:rPr>
          <w:rFonts w:ascii="Palatino Linotype" w:eastAsia="Calibri" w:hAnsi="Palatino Linotype" w:cs="Arial"/>
        </w:rPr>
        <w:t xml:space="preserve"> en contra de la respuesta de</w:t>
      </w:r>
      <w:r w:rsidR="004719B9" w:rsidRPr="00655CC9">
        <w:rPr>
          <w:rFonts w:ascii="Palatino Linotype" w:eastAsia="Calibri" w:hAnsi="Palatino Linotype" w:cs="Arial"/>
        </w:rPr>
        <w:t xml:space="preserve"> la</w:t>
      </w:r>
      <w:r w:rsidRPr="00655CC9">
        <w:rPr>
          <w:rFonts w:ascii="Palatino Linotype" w:eastAsia="Calibri" w:hAnsi="Palatino Linotype" w:cs="Arial"/>
          <w:b/>
        </w:rPr>
        <w:t xml:space="preserve"> </w:t>
      </w:r>
      <w:r w:rsidR="004719B9" w:rsidRPr="00655CC9">
        <w:rPr>
          <w:rFonts w:ascii="Palatino Linotype" w:eastAsia="Calibri" w:hAnsi="Palatino Linotype" w:cs="Arial"/>
          <w:b/>
        </w:rPr>
        <w:t>Secretaría de Salud</w:t>
      </w:r>
      <w:r w:rsidR="00072562" w:rsidRPr="00655CC9">
        <w:rPr>
          <w:rFonts w:ascii="Palatino Linotype" w:eastAsia="Calibri" w:hAnsi="Palatino Linotype" w:cs="Arial"/>
        </w:rPr>
        <w:t xml:space="preserve">, </w:t>
      </w:r>
      <w:r w:rsidRPr="00655CC9">
        <w:rPr>
          <w:rFonts w:ascii="Palatino Linotype" w:eastAsia="Calibri" w:hAnsi="Palatino Linotype" w:cs="Arial"/>
        </w:rPr>
        <w:t>en lo subsecuente el</w:t>
      </w:r>
      <w:r w:rsidRPr="00655CC9">
        <w:rPr>
          <w:rFonts w:ascii="Palatino Linotype" w:eastAsia="Calibri" w:hAnsi="Palatino Linotype" w:cs="Arial"/>
          <w:b/>
        </w:rPr>
        <w:t xml:space="preserve"> Sujeto Obligado</w:t>
      </w:r>
      <w:r w:rsidRPr="00655CC9">
        <w:rPr>
          <w:rFonts w:ascii="Palatino Linotype" w:eastAsia="Calibri" w:hAnsi="Palatino Linotype" w:cs="Arial"/>
        </w:rPr>
        <w:t>,</w:t>
      </w:r>
      <w:r w:rsidRPr="00655CC9">
        <w:rPr>
          <w:rFonts w:ascii="Palatino Linotype" w:eastAsia="Calibri" w:hAnsi="Palatino Linotype" w:cs="Arial"/>
          <w:b/>
        </w:rPr>
        <w:t xml:space="preserve"> </w:t>
      </w:r>
      <w:r w:rsidRPr="00655CC9">
        <w:rPr>
          <w:rFonts w:ascii="Palatino Linotype" w:eastAsia="Calibri" w:hAnsi="Palatino Linotype" w:cs="Arial"/>
        </w:rPr>
        <w:t>se procede a dictar la presente resolución.</w:t>
      </w:r>
    </w:p>
    <w:p w14:paraId="7F0FA12A" w14:textId="77777777" w:rsidR="00DA297E" w:rsidRPr="00655CC9" w:rsidRDefault="00DA297E" w:rsidP="007C1357">
      <w:pPr>
        <w:tabs>
          <w:tab w:val="left" w:pos="1701"/>
        </w:tabs>
        <w:spacing w:line="360" w:lineRule="auto"/>
        <w:jc w:val="both"/>
        <w:rPr>
          <w:rFonts w:ascii="Palatino Linotype" w:eastAsia="Calibri" w:hAnsi="Palatino Linotype" w:cs="Arial"/>
          <w:lang w:val="es-ES_tradnl"/>
        </w:rPr>
      </w:pPr>
    </w:p>
    <w:p w14:paraId="15A6BFC5" w14:textId="66E4C759" w:rsidR="00DA297E" w:rsidRPr="00655CC9" w:rsidRDefault="00DA297E" w:rsidP="007C1357">
      <w:pPr>
        <w:tabs>
          <w:tab w:val="left" w:pos="1701"/>
        </w:tabs>
        <w:spacing w:line="360" w:lineRule="auto"/>
        <w:jc w:val="center"/>
        <w:rPr>
          <w:rFonts w:ascii="Palatino Linotype" w:eastAsia="Calibri" w:hAnsi="Palatino Linotype" w:cs="Arial"/>
          <w:b/>
          <w:sz w:val="28"/>
          <w:szCs w:val="28"/>
          <w:lang w:val="es-ES_tradnl"/>
        </w:rPr>
      </w:pPr>
      <w:r w:rsidRPr="00655CC9">
        <w:rPr>
          <w:rFonts w:ascii="Palatino Linotype" w:eastAsia="Calibri" w:hAnsi="Palatino Linotype" w:cs="Arial"/>
          <w:b/>
          <w:sz w:val="28"/>
          <w:szCs w:val="28"/>
          <w:lang w:val="es-ES_tradnl"/>
        </w:rPr>
        <w:t>A N T E C E D E N T E S</w:t>
      </w:r>
    </w:p>
    <w:p w14:paraId="3917B79E" w14:textId="77777777" w:rsidR="00DA297E" w:rsidRPr="00655CC9" w:rsidRDefault="00DA297E" w:rsidP="007C1357">
      <w:pPr>
        <w:tabs>
          <w:tab w:val="left" w:pos="1701"/>
        </w:tabs>
        <w:spacing w:line="360" w:lineRule="auto"/>
        <w:jc w:val="center"/>
        <w:rPr>
          <w:rFonts w:ascii="Palatino Linotype" w:eastAsia="Calibri" w:hAnsi="Palatino Linotype" w:cs="Arial"/>
          <w:b/>
          <w:lang w:val="es-ES_tradnl"/>
        </w:rPr>
      </w:pPr>
    </w:p>
    <w:p w14:paraId="5DEBF413" w14:textId="7680FC44" w:rsidR="00DA297E" w:rsidRPr="00655CC9" w:rsidRDefault="00DA297E" w:rsidP="007C1357">
      <w:pPr>
        <w:spacing w:line="360" w:lineRule="auto"/>
        <w:jc w:val="both"/>
        <w:rPr>
          <w:rFonts w:ascii="Palatino Linotype" w:eastAsia="Calibri" w:hAnsi="Palatino Linotype"/>
          <w:b/>
          <w:sz w:val="26"/>
          <w:szCs w:val="26"/>
          <w:lang w:val="es-ES_tradnl"/>
        </w:rPr>
      </w:pPr>
      <w:r w:rsidRPr="00655CC9">
        <w:rPr>
          <w:rFonts w:ascii="Palatino Linotype" w:eastAsia="Calibri" w:hAnsi="Palatino Linotype"/>
          <w:b/>
          <w:sz w:val="26"/>
          <w:szCs w:val="26"/>
          <w:lang w:val="es-ES_tradnl"/>
        </w:rPr>
        <w:t>PRIMERO. De</w:t>
      </w:r>
      <w:r w:rsidR="00267313" w:rsidRPr="00655CC9">
        <w:rPr>
          <w:rFonts w:ascii="Palatino Linotype" w:eastAsia="Calibri" w:hAnsi="Palatino Linotype"/>
          <w:b/>
          <w:sz w:val="26"/>
          <w:szCs w:val="26"/>
          <w:lang w:val="es-ES_tradnl"/>
        </w:rPr>
        <w:t xml:space="preserve"> </w:t>
      </w:r>
      <w:r w:rsidRPr="00655CC9">
        <w:rPr>
          <w:rFonts w:ascii="Palatino Linotype" w:eastAsia="Calibri" w:hAnsi="Palatino Linotype"/>
          <w:b/>
          <w:sz w:val="26"/>
          <w:szCs w:val="26"/>
          <w:lang w:val="es-ES_tradnl"/>
        </w:rPr>
        <w:t>l</w:t>
      </w:r>
      <w:r w:rsidR="00267313" w:rsidRPr="00655CC9">
        <w:rPr>
          <w:rFonts w:ascii="Palatino Linotype" w:eastAsia="Calibri" w:hAnsi="Palatino Linotype"/>
          <w:b/>
          <w:sz w:val="26"/>
          <w:szCs w:val="26"/>
          <w:lang w:val="es-ES_tradnl"/>
        </w:rPr>
        <w:t xml:space="preserve">a solicitud de </w:t>
      </w:r>
      <w:r w:rsidR="00C053C5" w:rsidRPr="00655CC9">
        <w:rPr>
          <w:rFonts w:ascii="Palatino Linotype" w:eastAsia="Calibri" w:hAnsi="Palatino Linotype"/>
          <w:b/>
          <w:sz w:val="26"/>
          <w:szCs w:val="26"/>
          <w:lang w:val="es-ES_tradnl"/>
        </w:rPr>
        <w:t>acceso a</w:t>
      </w:r>
      <w:r w:rsidR="00267313" w:rsidRPr="00655CC9">
        <w:rPr>
          <w:rFonts w:ascii="Palatino Linotype" w:eastAsia="Calibri" w:hAnsi="Palatino Linotype"/>
          <w:b/>
          <w:sz w:val="26"/>
          <w:szCs w:val="26"/>
          <w:lang w:val="es-ES_tradnl"/>
        </w:rPr>
        <w:t xml:space="preserve"> d</w:t>
      </w:r>
      <w:r w:rsidRPr="00655CC9">
        <w:rPr>
          <w:rFonts w:ascii="Palatino Linotype" w:eastAsia="Calibri" w:hAnsi="Palatino Linotype"/>
          <w:b/>
          <w:sz w:val="26"/>
          <w:szCs w:val="26"/>
          <w:lang w:val="es-ES_tradnl"/>
        </w:rPr>
        <w:t xml:space="preserve">atos </w:t>
      </w:r>
      <w:r w:rsidR="00267313" w:rsidRPr="00655CC9">
        <w:rPr>
          <w:rFonts w:ascii="Palatino Linotype" w:eastAsia="Calibri" w:hAnsi="Palatino Linotype"/>
          <w:b/>
          <w:sz w:val="26"/>
          <w:szCs w:val="26"/>
          <w:lang w:val="es-ES_tradnl"/>
        </w:rPr>
        <w:t>p</w:t>
      </w:r>
      <w:r w:rsidRPr="00655CC9">
        <w:rPr>
          <w:rFonts w:ascii="Palatino Linotype" w:eastAsia="Calibri" w:hAnsi="Palatino Linotype"/>
          <w:b/>
          <w:sz w:val="26"/>
          <w:szCs w:val="26"/>
          <w:lang w:val="es-ES_tradnl"/>
        </w:rPr>
        <w:t>ersonales.</w:t>
      </w:r>
    </w:p>
    <w:p w14:paraId="3FFF6846" w14:textId="6B72C15D" w:rsidR="00DA297E" w:rsidRPr="00655CC9" w:rsidRDefault="00DA297E" w:rsidP="007C1357">
      <w:pPr>
        <w:spacing w:line="360" w:lineRule="auto"/>
        <w:jc w:val="both"/>
        <w:rPr>
          <w:rFonts w:ascii="Palatino Linotype" w:eastAsia="Calibri" w:hAnsi="Palatino Linotype"/>
          <w:b/>
          <w:lang w:val="es-ES_tradnl"/>
        </w:rPr>
      </w:pPr>
      <w:r w:rsidRPr="00655CC9">
        <w:rPr>
          <w:rFonts w:ascii="Palatino Linotype" w:eastAsia="Calibri" w:hAnsi="Palatino Linotype"/>
          <w:lang w:val="es-ES_tradnl"/>
        </w:rPr>
        <w:t xml:space="preserve">Con fecha </w:t>
      </w:r>
      <w:r w:rsidR="004719B9" w:rsidRPr="00655CC9">
        <w:rPr>
          <w:rFonts w:ascii="Palatino Linotype" w:eastAsia="Calibri" w:hAnsi="Palatino Linotype"/>
          <w:lang w:val="es-ES_tradnl"/>
        </w:rPr>
        <w:t>veintiuno de abril</w:t>
      </w:r>
      <w:r w:rsidR="00662C67" w:rsidRPr="00655CC9">
        <w:rPr>
          <w:rFonts w:ascii="Palatino Linotype" w:eastAsia="Calibri" w:hAnsi="Palatino Linotype"/>
          <w:lang w:val="es-ES_tradnl"/>
        </w:rPr>
        <w:t xml:space="preserve"> de dos mil veinticinco</w:t>
      </w:r>
      <w:r w:rsidRPr="00655CC9">
        <w:rPr>
          <w:rFonts w:ascii="Palatino Linotype" w:eastAsia="Calibri" w:hAnsi="Palatino Linotype"/>
          <w:lang w:val="es-ES_tradnl"/>
        </w:rPr>
        <w:t xml:space="preserve">, la </w:t>
      </w:r>
      <w:r w:rsidRPr="00655CC9">
        <w:rPr>
          <w:rFonts w:ascii="Palatino Linotype" w:eastAsia="Calibri" w:hAnsi="Palatino Linotype" w:cs="Arial"/>
          <w:bCs/>
          <w:lang w:val="es-ES_tradnl"/>
        </w:rPr>
        <w:t>Recurrente</w:t>
      </w:r>
      <w:r w:rsidRPr="00655CC9">
        <w:rPr>
          <w:rFonts w:ascii="Palatino Linotype" w:eastAsia="Calibri" w:hAnsi="Palatino Linotype"/>
          <w:bCs/>
          <w:lang w:val="es-ES_tradnl"/>
        </w:rPr>
        <w:t xml:space="preserve"> </w:t>
      </w:r>
      <w:r w:rsidRPr="00655CC9">
        <w:rPr>
          <w:rFonts w:ascii="Palatino Linotype" w:eastAsia="Calibri" w:hAnsi="Palatino Linotype"/>
          <w:lang w:val="es-ES_tradnl"/>
        </w:rPr>
        <w:t xml:space="preserve">presentó a través del Sistema de Acceso, Rectificación, Cancelación y Oposición de Datos Personales del Estado de México </w:t>
      </w:r>
      <w:r w:rsidRPr="00655CC9">
        <w:rPr>
          <w:rFonts w:ascii="Palatino Linotype" w:eastAsia="Calibri" w:hAnsi="Palatino Linotype"/>
          <w:b/>
          <w:lang w:val="es-ES_tradnl"/>
        </w:rPr>
        <w:t>(SARCOEM)</w:t>
      </w:r>
      <w:r w:rsidRPr="00655CC9">
        <w:rPr>
          <w:rFonts w:ascii="Palatino Linotype" w:eastAsia="Calibri" w:hAnsi="Palatino Linotype"/>
          <w:lang w:val="es-ES_tradnl"/>
        </w:rPr>
        <w:t xml:space="preserve"> ante el Sujeto Obligado</w:t>
      </w:r>
      <w:r w:rsidR="00DC55EE" w:rsidRPr="00655CC9">
        <w:rPr>
          <w:rFonts w:ascii="Palatino Linotype" w:eastAsia="Calibri" w:hAnsi="Palatino Linotype"/>
          <w:lang w:val="es-ES_tradnl"/>
        </w:rPr>
        <w:t xml:space="preserve"> la </w:t>
      </w:r>
      <w:r w:rsidRPr="00655CC9">
        <w:rPr>
          <w:rFonts w:ascii="Palatino Linotype" w:eastAsia="Calibri" w:hAnsi="Palatino Linotype" w:cs="Arial"/>
          <w:lang w:val="es-ES_tradnl"/>
        </w:rPr>
        <w:t xml:space="preserve">solicitud de </w:t>
      </w:r>
      <w:r w:rsidR="00AF340B" w:rsidRPr="00655CC9">
        <w:rPr>
          <w:rFonts w:ascii="Palatino Linotype" w:eastAsia="Calibri" w:hAnsi="Palatino Linotype" w:cs="Arial"/>
          <w:lang w:val="es-ES_tradnl"/>
        </w:rPr>
        <w:t>rectificación de</w:t>
      </w:r>
      <w:r w:rsidRPr="00655CC9">
        <w:rPr>
          <w:rFonts w:ascii="Palatino Linotype" w:eastAsia="Calibri" w:hAnsi="Palatino Linotype" w:cs="Arial"/>
          <w:lang w:val="es-ES_tradnl"/>
        </w:rPr>
        <w:t xml:space="preserve"> datos personales registrada bajo el número de expediente</w:t>
      </w:r>
      <w:r w:rsidRPr="00655CC9">
        <w:rPr>
          <w:rFonts w:ascii="Palatino Linotype" w:eastAsia="Calibri" w:hAnsi="Palatino Linotype"/>
          <w:b/>
          <w:bCs/>
          <w:lang w:val="es-ES_tradnl"/>
        </w:rPr>
        <w:t xml:space="preserve"> </w:t>
      </w:r>
      <w:r w:rsidR="004719B9" w:rsidRPr="00655CC9">
        <w:rPr>
          <w:rFonts w:ascii="Palatino Linotype" w:eastAsia="Calibri" w:hAnsi="Palatino Linotype" w:cs="Arial"/>
          <w:b/>
          <w:lang w:val="es-ES_tradnl"/>
        </w:rPr>
        <w:t>00003/SSALUD/AD/2025</w:t>
      </w:r>
      <w:r w:rsidRPr="00655CC9">
        <w:rPr>
          <w:rFonts w:ascii="Palatino Linotype" w:eastAsia="Calibri" w:hAnsi="Palatino Linotype" w:cs="Arial"/>
          <w:lang w:val="es-ES_tradnl" w:eastAsia="es-MX"/>
        </w:rPr>
        <w:t>,</w:t>
      </w:r>
      <w:r w:rsidRPr="00655CC9">
        <w:rPr>
          <w:rFonts w:ascii="Palatino Linotype" w:eastAsia="Calibri" w:hAnsi="Palatino Linotype" w:cs="Arial"/>
          <w:b/>
          <w:lang w:val="es-ES_tradnl" w:eastAsia="es-MX"/>
        </w:rPr>
        <w:t xml:space="preserve"> </w:t>
      </w:r>
      <w:r w:rsidRPr="00655CC9">
        <w:rPr>
          <w:rFonts w:ascii="Palatino Linotype" w:eastAsia="Calibri" w:hAnsi="Palatino Linotype"/>
          <w:lang w:val="es-ES_tradnl"/>
        </w:rPr>
        <w:t>mediante la cual requirió lo siguiente:</w:t>
      </w:r>
    </w:p>
    <w:p w14:paraId="44502A6F" w14:textId="77777777" w:rsidR="00DA297E" w:rsidRPr="00655CC9" w:rsidRDefault="00DA297E" w:rsidP="007C1357">
      <w:pPr>
        <w:spacing w:line="360" w:lineRule="auto"/>
        <w:ind w:left="567" w:right="51"/>
        <w:jc w:val="both"/>
        <w:rPr>
          <w:rFonts w:ascii="Palatino Linotype" w:eastAsia="Calibri" w:hAnsi="Palatino Linotype" w:cs="Arial"/>
          <w:i/>
          <w:lang w:val="es-ES_tradnl"/>
        </w:rPr>
      </w:pPr>
    </w:p>
    <w:p w14:paraId="7C49ACC1" w14:textId="3E75825B" w:rsidR="00DA297E" w:rsidRPr="00655CC9" w:rsidRDefault="00C65E1C" w:rsidP="007C1357">
      <w:pPr>
        <w:pStyle w:val="Sinespaciado"/>
        <w:rPr>
          <w:rFonts w:eastAsia="Calibri" w:cs="Arial"/>
        </w:rPr>
      </w:pPr>
      <w:r w:rsidRPr="00655CC9">
        <w:rPr>
          <w:rFonts w:eastAsia="Calibri"/>
        </w:rPr>
        <w:t>«</w:t>
      </w:r>
      <w:r w:rsidR="004719B9" w:rsidRPr="00655CC9">
        <w:rPr>
          <w:rFonts w:eastAsia="Calibri" w:cs="Arial"/>
        </w:rPr>
        <w:t xml:space="preserve">Solicito copia de la respuesta al escrito firmado por </w:t>
      </w:r>
      <w:proofErr w:type="spellStart"/>
      <w:r w:rsidR="009F3CF1">
        <w:rPr>
          <w:rFonts w:eastAsia="Calibri" w:cs="Arial"/>
        </w:rPr>
        <w:t>xxxxxxxxxxxxxxxxxxxxxxxxxxxxx</w:t>
      </w:r>
      <w:proofErr w:type="spellEnd"/>
      <w:r w:rsidR="004719B9" w:rsidRPr="00655CC9">
        <w:rPr>
          <w:rFonts w:eastAsia="Calibri" w:cs="Arial"/>
        </w:rPr>
        <w:t xml:space="preserve"> </w:t>
      </w:r>
      <w:r w:rsidR="009F3CF1">
        <w:rPr>
          <w:rFonts w:eastAsia="Calibri" w:cs="Arial"/>
        </w:rPr>
        <w:t>xxxxxxxxxxxxxxxxxxxxxxxxxxxxxxxxxxxxxxxxxxxxxxxxxxxxxxxxxxxxxxxxxxx</w:t>
      </w:r>
      <w:r w:rsidR="004719B9" w:rsidRPr="00655CC9">
        <w:rPr>
          <w:rFonts w:eastAsia="Calibri" w:cs="Arial"/>
        </w:rPr>
        <w:t>, que fue recibido en la Dirección General del Instituto de Salud del Estado de México en fecha 11 de abril de 2025. Se adjunta copia de acuse para mejor referencia.</w:t>
      </w:r>
      <w:r w:rsidRPr="00655CC9">
        <w:rPr>
          <w:rFonts w:eastAsia="Calibri" w:cs="Arial"/>
        </w:rPr>
        <w:t>»</w:t>
      </w:r>
      <w:r w:rsidR="00072562" w:rsidRPr="00655CC9">
        <w:rPr>
          <w:rFonts w:eastAsia="Calibri" w:cs="Arial"/>
        </w:rPr>
        <w:t>. (Sic)</w:t>
      </w:r>
    </w:p>
    <w:p w14:paraId="31756E29" w14:textId="77777777" w:rsidR="00B61730" w:rsidRPr="00655CC9" w:rsidRDefault="00B61730" w:rsidP="007C1357">
      <w:pPr>
        <w:spacing w:line="360" w:lineRule="auto"/>
        <w:ind w:left="567" w:right="567"/>
        <w:jc w:val="both"/>
        <w:rPr>
          <w:rFonts w:ascii="Palatino Linotype" w:eastAsia="Calibri" w:hAnsi="Palatino Linotype" w:cs="Arial"/>
          <w:b/>
          <w:lang w:val="es-ES_tradnl"/>
        </w:rPr>
      </w:pPr>
    </w:p>
    <w:p w14:paraId="0AA64E5F" w14:textId="77777777" w:rsidR="00ED2CEF" w:rsidRPr="00655CC9" w:rsidRDefault="00ED2CEF" w:rsidP="00ED2CEF">
      <w:pPr>
        <w:spacing w:before="240" w:after="240" w:line="360" w:lineRule="auto"/>
        <w:jc w:val="both"/>
        <w:rPr>
          <w:rFonts w:ascii="Palatino Linotype" w:hAnsi="Palatino Linotype"/>
        </w:rPr>
      </w:pPr>
      <w:r w:rsidRPr="00655CC9">
        <w:rPr>
          <w:rFonts w:ascii="Palatino Linotype" w:hAnsi="Palatino Linotype"/>
        </w:rPr>
        <w:t>Adjuntando los siguientes documentos electrónicos:</w:t>
      </w:r>
    </w:p>
    <w:p w14:paraId="13C737C5" w14:textId="092DAE1D" w:rsidR="004719B9" w:rsidRPr="00655CC9" w:rsidRDefault="004719B9" w:rsidP="004719B9">
      <w:pPr>
        <w:pStyle w:val="Prrafodelista"/>
        <w:numPr>
          <w:ilvl w:val="0"/>
          <w:numId w:val="29"/>
        </w:numPr>
        <w:rPr>
          <w:rFonts w:ascii="Palatino Linotype" w:hAnsi="Palatino Linotype"/>
        </w:rPr>
      </w:pPr>
      <w:r w:rsidRPr="00655CC9">
        <w:rPr>
          <w:rFonts w:ascii="Palatino Linotype" w:hAnsi="Palatino Linotype"/>
        </w:rPr>
        <w:lastRenderedPageBreak/>
        <w:t xml:space="preserve">ACUSE.pdf: Consta del acuse </w:t>
      </w:r>
      <w:r w:rsidR="00840AC9" w:rsidRPr="00655CC9">
        <w:rPr>
          <w:rFonts w:ascii="Palatino Linotype" w:hAnsi="Palatino Linotype"/>
        </w:rPr>
        <w:t>mediante el cual refiere que se realizó la entrega de diversos materiales al Centro Medico Lic. Adolfo López Mateos dependiente del Instituto de Salud del Estado de México, los cuales se detallan en una tabla que se observa incompleta.</w:t>
      </w:r>
    </w:p>
    <w:p w14:paraId="09CCB73A" w14:textId="46BAA1C5" w:rsidR="00ED2CEF" w:rsidRPr="00655CC9" w:rsidRDefault="00ED2CEF" w:rsidP="00ED2CEF">
      <w:pPr>
        <w:pStyle w:val="Prrafodelista"/>
        <w:numPr>
          <w:ilvl w:val="0"/>
          <w:numId w:val="29"/>
        </w:numPr>
        <w:spacing w:line="360" w:lineRule="auto"/>
        <w:ind w:right="51"/>
        <w:jc w:val="both"/>
        <w:rPr>
          <w:rFonts w:ascii="Palatino Linotype" w:eastAsia="Calibri" w:hAnsi="Palatino Linotype" w:cs="Arial"/>
          <w:b/>
          <w:lang w:val="es-ES_tradnl"/>
        </w:rPr>
      </w:pPr>
      <w:r w:rsidRPr="00655CC9">
        <w:rPr>
          <w:rFonts w:ascii="Palatino Linotype" w:hAnsi="Palatino Linotype"/>
        </w:rPr>
        <w:t xml:space="preserve">Identificación Oficial expedida por el Instituto Nacional Electoral a nombre de </w:t>
      </w:r>
      <w:proofErr w:type="spellStart"/>
      <w:r w:rsidR="00E955DD">
        <w:rPr>
          <w:rFonts w:ascii="Palatino Linotype" w:hAnsi="Palatino Linotype"/>
        </w:rPr>
        <w:t>xxxxxxxxxxxxxxxxxxxxx</w:t>
      </w:r>
      <w:proofErr w:type="spellEnd"/>
      <w:r w:rsidRPr="00655CC9">
        <w:rPr>
          <w:rFonts w:ascii="Palatino Linotype" w:hAnsi="Palatino Linotype"/>
        </w:rPr>
        <w:t xml:space="preserve"> por ambos lados.</w:t>
      </w:r>
    </w:p>
    <w:p w14:paraId="2710A20A" w14:textId="77777777" w:rsidR="00ED2CEF" w:rsidRPr="00655CC9" w:rsidRDefault="00ED2CEF" w:rsidP="007C1357">
      <w:pPr>
        <w:spacing w:line="360" w:lineRule="auto"/>
        <w:ind w:right="51"/>
        <w:jc w:val="both"/>
        <w:rPr>
          <w:rFonts w:ascii="Palatino Linotype" w:eastAsia="Calibri" w:hAnsi="Palatino Linotype" w:cs="Arial"/>
          <w:b/>
          <w:lang w:val="es-ES_tradnl"/>
        </w:rPr>
      </w:pPr>
    </w:p>
    <w:p w14:paraId="010FF317" w14:textId="4BCE4FC0" w:rsidR="009E3747" w:rsidRPr="00655CC9" w:rsidRDefault="00DA297E" w:rsidP="007C1357">
      <w:pPr>
        <w:spacing w:line="360" w:lineRule="auto"/>
        <w:ind w:right="51"/>
        <w:jc w:val="both"/>
        <w:rPr>
          <w:rFonts w:ascii="Palatino Linotype" w:eastAsia="Calibri" w:hAnsi="Palatino Linotype" w:cs="Arial"/>
          <w:lang w:val="es-ES_tradnl"/>
        </w:rPr>
      </w:pPr>
      <w:r w:rsidRPr="00655CC9">
        <w:rPr>
          <w:rFonts w:ascii="Palatino Linotype" w:eastAsia="Calibri" w:hAnsi="Palatino Linotype" w:cs="Arial"/>
          <w:b/>
          <w:lang w:val="es-ES_tradnl"/>
        </w:rPr>
        <w:t>MODALIDAD DE ACCESO:</w:t>
      </w:r>
      <w:r w:rsidRPr="00655CC9">
        <w:rPr>
          <w:rFonts w:ascii="Palatino Linotype" w:eastAsia="Calibri" w:hAnsi="Palatino Linotype" w:cs="Arial"/>
          <w:lang w:val="es-ES_tradnl"/>
        </w:rPr>
        <w:t xml:space="preserve"> </w:t>
      </w:r>
      <w:r w:rsidR="002B22E5" w:rsidRPr="00655CC9">
        <w:rPr>
          <w:rFonts w:ascii="Palatino Linotype" w:eastAsia="Calibri" w:hAnsi="Palatino Linotype" w:cs="Arial"/>
          <w:lang w:val="es-ES_tradnl"/>
        </w:rPr>
        <w:t>SARCOEM</w:t>
      </w:r>
    </w:p>
    <w:p w14:paraId="7603ED3C" w14:textId="14DD2EDA" w:rsidR="00516EEF" w:rsidRPr="00655CC9" w:rsidRDefault="00516EEF" w:rsidP="00FE088C">
      <w:pPr>
        <w:tabs>
          <w:tab w:val="left" w:pos="966"/>
        </w:tabs>
        <w:spacing w:line="360" w:lineRule="auto"/>
        <w:ind w:right="51"/>
        <w:jc w:val="both"/>
        <w:rPr>
          <w:rFonts w:ascii="Palatino Linotype" w:eastAsia="Calibri" w:hAnsi="Palatino Linotype" w:cs="Arial"/>
        </w:rPr>
      </w:pPr>
    </w:p>
    <w:p w14:paraId="11150A47" w14:textId="3658B58C" w:rsidR="00DA297E" w:rsidRPr="00655CC9" w:rsidRDefault="00DA297E" w:rsidP="007C1357">
      <w:pPr>
        <w:spacing w:line="360" w:lineRule="auto"/>
        <w:ind w:right="334"/>
        <w:jc w:val="both"/>
        <w:rPr>
          <w:rFonts w:ascii="Palatino Linotype" w:eastAsia="Calibri" w:hAnsi="Palatino Linotype" w:cs="Arial"/>
          <w:b/>
          <w:sz w:val="26"/>
          <w:szCs w:val="26"/>
          <w:lang w:val="es-ES_tradnl"/>
        </w:rPr>
      </w:pPr>
      <w:r w:rsidRPr="00655CC9">
        <w:rPr>
          <w:rFonts w:ascii="Palatino Linotype" w:eastAsia="Calibri" w:hAnsi="Palatino Linotype" w:cs="Arial"/>
          <w:b/>
          <w:sz w:val="26"/>
          <w:szCs w:val="26"/>
          <w:lang w:val="es-ES_tradnl"/>
        </w:rPr>
        <w:t xml:space="preserve">SEGUNDO. De la </w:t>
      </w:r>
      <w:r w:rsidR="002B22E5" w:rsidRPr="00655CC9">
        <w:rPr>
          <w:rFonts w:ascii="Palatino Linotype" w:eastAsia="Calibri" w:hAnsi="Palatino Linotype" w:cs="Arial"/>
          <w:b/>
          <w:sz w:val="26"/>
          <w:szCs w:val="26"/>
          <w:lang w:val="es-ES_tradnl"/>
        </w:rPr>
        <w:t>respuesta</w:t>
      </w:r>
      <w:r w:rsidRPr="00655CC9">
        <w:rPr>
          <w:rFonts w:ascii="Palatino Linotype" w:eastAsia="Calibri" w:hAnsi="Palatino Linotype" w:cs="Arial"/>
          <w:b/>
          <w:sz w:val="26"/>
          <w:szCs w:val="26"/>
          <w:lang w:val="es-ES_tradnl"/>
        </w:rPr>
        <w:t xml:space="preserve"> del Sujeto Obligado. </w:t>
      </w:r>
    </w:p>
    <w:p w14:paraId="6F380A46" w14:textId="5A2FE83D" w:rsidR="00DA297E" w:rsidRPr="00655CC9" w:rsidRDefault="00DA297E" w:rsidP="007C1357">
      <w:pPr>
        <w:spacing w:line="360" w:lineRule="auto"/>
        <w:jc w:val="both"/>
        <w:rPr>
          <w:rFonts w:ascii="Palatino Linotype" w:eastAsia="Calibri" w:hAnsi="Palatino Linotype" w:cs="Arial"/>
          <w:lang w:val="es-ES_tradnl"/>
        </w:rPr>
      </w:pPr>
      <w:r w:rsidRPr="00655CC9">
        <w:rPr>
          <w:rFonts w:ascii="Palatino Linotype" w:eastAsia="Calibri" w:hAnsi="Palatino Linotype" w:cs="Arial"/>
          <w:lang w:val="es-ES_tradnl"/>
        </w:rPr>
        <w:t xml:space="preserve">De las constancias que obran en el expediente electrónico del SARCOEM se advierte que </w:t>
      </w:r>
      <w:r w:rsidR="00BE1183" w:rsidRPr="00655CC9">
        <w:rPr>
          <w:rFonts w:ascii="Palatino Linotype" w:eastAsia="Calibri" w:hAnsi="Palatino Linotype" w:cs="Arial"/>
          <w:lang w:val="es-ES_tradnl"/>
        </w:rPr>
        <w:t xml:space="preserve">el </w:t>
      </w:r>
      <w:r w:rsidR="00840AC9" w:rsidRPr="00655CC9">
        <w:rPr>
          <w:rFonts w:ascii="Palatino Linotype" w:eastAsia="Calibri" w:hAnsi="Palatino Linotype" w:cs="Arial"/>
          <w:lang w:val="es-ES_tradnl"/>
        </w:rPr>
        <w:t>veintidós de abril</w:t>
      </w:r>
      <w:r w:rsidR="00EF4B9A" w:rsidRPr="00655CC9">
        <w:rPr>
          <w:rFonts w:ascii="Palatino Linotype" w:eastAsia="Calibri" w:hAnsi="Palatino Linotype" w:cs="Arial"/>
          <w:lang w:val="es-ES_tradnl"/>
        </w:rPr>
        <w:t xml:space="preserve"> de dos mil veinticinco</w:t>
      </w:r>
      <w:r w:rsidR="00BE1183" w:rsidRPr="00655CC9">
        <w:rPr>
          <w:rFonts w:ascii="Palatino Linotype" w:eastAsia="Calibri" w:hAnsi="Palatino Linotype" w:cs="Arial"/>
          <w:lang w:val="es-ES_tradnl"/>
        </w:rPr>
        <w:t xml:space="preserve">, </w:t>
      </w:r>
      <w:r w:rsidRPr="00655CC9">
        <w:rPr>
          <w:rFonts w:ascii="Palatino Linotype" w:eastAsia="Calibri" w:hAnsi="Palatino Linotype" w:cs="Arial"/>
          <w:lang w:val="es-ES_tradnl"/>
        </w:rPr>
        <w:t>el Sujeto Obligado</w:t>
      </w:r>
      <w:r w:rsidR="00BE1183" w:rsidRPr="00655CC9">
        <w:rPr>
          <w:rFonts w:ascii="Palatino Linotype" w:eastAsia="Calibri" w:hAnsi="Palatino Linotype" w:cs="Arial"/>
          <w:lang w:val="es-ES_tradnl"/>
        </w:rPr>
        <w:t xml:space="preserve"> </w:t>
      </w:r>
      <w:r w:rsidR="002B22E5" w:rsidRPr="00655CC9">
        <w:rPr>
          <w:rFonts w:ascii="Palatino Linotype" w:eastAsia="Calibri" w:hAnsi="Palatino Linotype" w:cs="Arial"/>
          <w:lang w:val="es-ES_tradnl"/>
        </w:rPr>
        <w:t>emitió su respuesta en los siguientes términos</w:t>
      </w:r>
      <w:r w:rsidRPr="00655CC9">
        <w:rPr>
          <w:rFonts w:ascii="Palatino Linotype" w:eastAsia="Calibri" w:hAnsi="Palatino Linotype" w:cs="Arial"/>
          <w:lang w:val="es-ES_tradnl"/>
        </w:rPr>
        <w:t>:</w:t>
      </w:r>
    </w:p>
    <w:p w14:paraId="3F80D822" w14:textId="77777777" w:rsidR="007C1357" w:rsidRPr="00655CC9" w:rsidRDefault="007C1357" w:rsidP="007C1357">
      <w:pPr>
        <w:spacing w:line="360" w:lineRule="auto"/>
        <w:jc w:val="both"/>
        <w:rPr>
          <w:rFonts w:ascii="Palatino Linotype" w:eastAsia="Calibri" w:hAnsi="Palatino Linotype"/>
          <w:color w:val="000000"/>
          <w:lang w:val="es-ES_tradnl"/>
        </w:rPr>
      </w:pPr>
    </w:p>
    <w:p w14:paraId="363564CF" w14:textId="69E1E71B" w:rsidR="00840AC9" w:rsidRPr="00655CC9" w:rsidRDefault="006945D9" w:rsidP="00840AC9">
      <w:pPr>
        <w:pStyle w:val="Sinespaciado"/>
        <w:spacing w:line="276" w:lineRule="auto"/>
        <w:jc w:val="right"/>
        <w:rPr>
          <w:rFonts w:eastAsia="Calibri"/>
          <w:sz w:val="24"/>
          <w:lang w:val="es-ES_tradnl"/>
        </w:rPr>
      </w:pPr>
      <w:r w:rsidRPr="00655CC9">
        <w:rPr>
          <w:rFonts w:eastAsia="Calibri"/>
          <w:sz w:val="24"/>
          <w:lang w:val="es-ES_tradnl"/>
        </w:rPr>
        <w:t>«</w:t>
      </w:r>
      <w:r w:rsidR="00840AC9" w:rsidRPr="00655CC9">
        <w:t xml:space="preserve"> </w:t>
      </w:r>
      <w:r w:rsidR="00840AC9" w:rsidRPr="00655CC9">
        <w:rPr>
          <w:rFonts w:eastAsia="Calibri"/>
          <w:sz w:val="24"/>
          <w:lang w:val="es-ES_tradnl"/>
        </w:rPr>
        <w:t>Folio de la solicitud: 00003/SSALUD/AD/2025</w:t>
      </w:r>
    </w:p>
    <w:p w14:paraId="1A6BEEEC" w14:textId="77777777" w:rsidR="00840AC9" w:rsidRPr="00655CC9" w:rsidRDefault="00840AC9" w:rsidP="00840AC9">
      <w:pPr>
        <w:pStyle w:val="Sinespaciado"/>
        <w:spacing w:line="276" w:lineRule="auto"/>
        <w:rPr>
          <w:rFonts w:eastAsia="Calibri"/>
          <w:sz w:val="24"/>
          <w:lang w:val="es-ES_tradnl"/>
        </w:rPr>
      </w:pPr>
    </w:p>
    <w:p w14:paraId="396925DA" w14:textId="77777777" w:rsidR="00840AC9" w:rsidRPr="00655CC9" w:rsidRDefault="00840AC9" w:rsidP="00840AC9">
      <w:pPr>
        <w:pStyle w:val="Sinespaciado"/>
        <w:spacing w:line="276" w:lineRule="auto"/>
        <w:rPr>
          <w:rFonts w:eastAsia="Calibri"/>
          <w:sz w:val="24"/>
          <w:lang w:val="es-ES_tradnl"/>
        </w:rPr>
      </w:pPr>
      <w:r w:rsidRPr="00655CC9">
        <w:rPr>
          <w:rFonts w:eastAsia="Calibri"/>
          <w:sz w:val="24"/>
          <w:lang w:val="es-ES_tradnl"/>
        </w:rPr>
        <w:t>Se brinda orientación a su solicitud</w:t>
      </w:r>
    </w:p>
    <w:p w14:paraId="39B98DBB" w14:textId="77777777" w:rsidR="00840AC9" w:rsidRPr="00655CC9" w:rsidRDefault="00840AC9" w:rsidP="00840AC9">
      <w:pPr>
        <w:pStyle w:val="Sinespaciado"/>
        <w:spacing w:line="276" w:lineRule="auto"/>
        <w:rPr>
          <w:rFonts w:eastAsia="Calibri"/>
          <w:sz w:val="24"/>
          <w:lang w:val="es-ES_tradnl"/>
        </w:rPr>
      </w:pPr>
    </w:p>
    <w:p w14:paraId="11DDEF12" w14:textId="77777777" w:rsidR="00840AC9" w:rsidRPr="00655CC9" w:rsidRDefault="00840AC9" w:rsidP="00840AC9">
      <w:pPr>
        <w:pStyle w:val="Sinespaciado"/>
        <w:spacing w:line="276" w:lineRule="auto"/>
        <w:rPr>
          <w:rFonts w:eastAsia="Calibri"/>
          <w:sz w:val="24"/>
          <w:lang w:val="es-ES_tradnl"/>
        </w:rPr>
      </w:pPr>
      <w:r w:rsidRPr="00655CC9">
        <w:rPr>
          <w:rFonts w:eastAsia="Calibri"/>
          <w:sz w:val="24"/>
          <w:lang w:val="es-ES_tradnl"/>
        </w:rPr>
        <w:t>ATENTAMENTE</w:t>
      </w:r>
    </w:p>
    <w:p w14:paraId="34024515" w14:textId="0A2934F9" w:rsidR="00DA297E" w:rsidRPr="00655CC9" w:rsidRDefault="00840AC9" w:rsidP="00840AC9">
      <w:pPr>
        <w:pStyle w:val="Sinespaciado"/>
        <w:spacing w:line="276" w:lineRule="auto"/>
        <w:rPr>
          <w:rFonts w:eastAsia="Calibri"/>
          <w:sz w:val="24"/>
          <w:lang w:val="es-ES_tradnl"/>
        </w:rPr>
      </w:pPr>
      <w:r w:rsidRPr="00655CC9">
        <w:rPr>
          <w:rFonts w:eastAsia="Calibri"/>
          <w:sz w:val="24"/>
          <w:lang w:val="es-ES_tradnl"/>
        </w:rPr>
        <w:t>LIC. ENRIQUE VINCENT DÁVILA</w:t>
      </w:r>
      <w:r w:rsidR="006945D9" w:rsidRPr="00655CC9">
        <w:rPr>
          <w:rFonts w:eastAsia="Calibri"/>
          <w:sz w:val="24"/>
          <w:lang w:val="es-ES_tradnl"/>
        </w:rPr>
        <w:t>»</w:t>
      </w:r>
      <w:r w:rsidR="00DA297E" w:rsidRPr="00655CC9">
        <w:rPr>
          <w:rFonts w:eastAsia="Calibri"/>
          <w:sz w:val="24"/>
          <w:lang w:val="es-ES_tradnl"/>
        </w:rPr>
        <w:t xml:space="preserve"> (Sic).</w:t>
      </w:r>
    </w:p>
    <w:p w14:paraId="56210035" w14:textId="02C27471" w:rsidR="00DA297E" w:rsidRPr="00655CC9" w:rsidRDefault="00DA297E" w:rsidP="007C1357">
      <w:pPr>
        <w:spacing w:line="360" w:lineRule="auto"/>
        <w:jc w:val="both"/>
        <w:rPr>
          <w:rFonts w:ascii="Palatino Linotype" w:eastAsia="Calibri" w:hAnsi="Palatino Linotype" w:cs="Arial"/>
          <w:bCs/>
          <w:lang w:val="es-ES_tradnl"/>
        </w:rPr>
      </w:pPr>
    </w:p>
    <w:p w14:paraId="78F9C3AD" w14:textId="04AA410F" w:rsidR="002B22E5" w:rsidRPr="00655CC9" w:rsidRDefault="00FB7E31" w:rsidP="007C1357">
      <w:pPr>
        <w:spacing w:line="360" w:lineRule="auto"/>
        <w:jc w:val="both"/>
        <w:rPr>
          <w:rFonts w:ascii="Palatino Linotype" w:eastAsia="Calibri" w:hAnsi="Palatino Linotype" w:cs="Arial"/>
          <w:bCs/>
          <w:lang w:val="es-ES_tradnl"/>
        </w:rPr>
      </w:pPr>
      <w:r w:rsidRPr="00655CC9">
        <w:rPr>
          <w:rFonts w:ascii="Palatino Linotype" w:eastAsia="Calibri" w:hAnsi="Palatino Linotype" w:cs="Arial"/>
          <w:bCs/>
          <w:lang w:val="es-ES_tradnl"/>
        </w:rPr>
        <w:t xml:space="preserve">El Sujeto Obligado anexó a su respuesta </w:t>
      </w:r>
      <w:r w:rsidR="00C053C5" w:rsidRPr="00655CC9">
        <w:rPr>
          <w:rFonts w:ascii="Palatino Linotype" w:eastAsia="Calibri" w:hAnsi="Palatino Linotype" w:cs="Arial"/>
          <w:bCs/>
          <w:lang w:val="es-ES_tradnl"/>
        </w:rPr>
        <w:t xml:space="preserve">el archivo electrónico denominado </w:t>
      </w:r>
      <w:r w:rsidR="00C65E1C" w:rsidRPr="00655CC9">
        <w:rPr>
          <w:rFonts w:ascii="Palatino Linotype" w:eastAsia="Calibri" w:hAnsi="Palatino Linotype" w:cs="Arial"/>
          <w:b/>
          <w:lang w:val="es-ES_tradnl"/>
        </w:rPr>
        <w:t>«</w:t>
      </w:r>
      <w:r w:rsidR="00840AC9" w:rsidRPr="00655CC9">
        <w:rPr>
          <w:rFonts w:ascii="Palatino Linotype" w:eastAsia="Calibri" w:hAnsi="Palatino Linotype" w:cs="Arial"/>
          <w:b/>
          <w:lang w:val="es-ES_tradnl"/>
        </w:rPr>
        <w:t>sol 00003 SARCOEM.pdf</w:t>
      </w:r>
      <w:r w:rsidR="00C65E1C" w:rsidRPr="00655CC9">
        <w:rPr>
          <w:rFonts w:ascii="Palatino Linotype" w:eastAsia="Calibri" w:hAnsi="Palatino Linotype" w:cs="Arial"/>
          <w:b/>
          <w:lang w:val="es-ES_tradnl"/>
        </w:rPr>
        <w:t>»</w:t>
      </w:r>
      <w:r w:rsidRPr="00655CC9">
        <w:rPr>
          <w:rFonts w:ascii="Palatino Linotype" w:eastAsia="Calibri" w:hAnsi="Palatino Linotype" w:cs="Arial"/>
          <w:bCs/>
          <w:lang w:val="es-ES_tradnl"/>
        </w:rPr>
        <w:t>, cuyo contenido no se reproduce por ser del conocimiento de las partes; no obstante, se realizará el análisis de su contenido en el estudio correspondiente.</w:t>
      </w:r>
    </w:p>
    <w:p w14:paraId="4828F081" w14:textId="77777777" w:rsidR="00DA297E" w:rsidRPr="00655CC9" w:rsidRDefault="00DA297E" w:rsidP="00FD40A3">
      <w:pPr>
        <w:spacing w:line="360" w:lineRule="auto"/>
        <w:jc w:val="both"/>
        <w:rPr>
          <w:rFonts w:ascii="Palatino Linotype" w:eastAsia="Calibri" w:hAnsi="Palatino Linotype"/>
          <w:iCs/>
          <w:lang w:val="es-ES_tradnl"/>
        </w:rPr>
      </w:pPr>
    </w:p>
    <w:p w14:paraId="659F72C8" w14:textId="1A161EE9" w:rsidR="00DA297E" w:rsidRPr="00655CC9" w:rsidRDefault="005264CE" w:rsidP="007C1357">
      <w:pPr>
        <w:spacing w:line="360" w:lineRule="auto"/>
        <w:jc w:val="both"/>
        <w:rPr>
          <w:rFonts w:ascii="Palatino Linotype" w:eastAsia="Calibri" w:hAnsi="Palatino Linotype" w:cs="Arial"/>
          <w:b/>
          <w:sz w:val="26"/>
          <w:szCs w:val="26"/>
          <w:lang w:val="es-ES_tradnl"/>
        </w:rPr>
      </w:pPr>
      <w:r w:rsidRPr="00655CC9">
        <w:rPr>
          <w:rFonts w:ascii="Palatino Linotype" w:eastAsia="Calibri" w:hAnsi="Palatino Linotype" w:cs="Arial"/>
          <w:b/>
          <w:sz w:val="26"/>
          <w:szCs w:val="26"/>
          <w:lang w:val="es-ES_tradnl"/>
        </w:rPr>
        <w:t>TERCERO</w:t>
      </w:r>
      <w:r w:rsidR="00DA297E" w:rsidRPr="00655CC9">
        <w:rPr>
          <w:rFonts w:ascii="Palatino Linotype" w:eastAsia="Calibri" w:hAnsi="Palatino Linotype" w:cs="Arial"/>
          <w:b/>
          <w:sz w:val="26"/>
          <w:szCs w:val="26"/>
          <w:lang w:val="es-ES_tradnl"/>
        </w:rPr>
        <w:t>. Del Recurso de Revisión.</w:t>
      </w:r>
    </w:p>
    <w:p w14:paraId="31034E68" w14:textId="4953D55D" w:rsidR="00DA297E" w:rsidRPr="00655CC9" w:rsidRDefault="00DA297E" w:rsidP="007C1357">
      <w:pPr>
        <w:spacing w:line="360" w:lineRule="auto"/>
        <w:jc w:val="both"/>
        <w:rPr>
          <w:rFonts w:ascii="Palatino Linotype" w:eastAsia="Calibri" w:hAnsi="Palatino Linotype" w:cs="Arial"/>
          <w:lang w:val="es-ES_tradnl"/>
        </w:rPr>
      </w:pPr>
      <w:r w:rsidRPr="00655CC9">
        <w:rPr>
          <w:rFonts w:ascii="Palatino Linotype" w:eastAsia="Calibri" w:hAnsi="Palatino Linotype"/>
          <w:lang w:val="es-ES_tradnl"/>
        </w:rPr>
        <w:lastRenderedPageBreak/>
        <w:t xml:space="preserve">El </w:t>
      </w:r>
      <w:r w:rsidR="00A76089" w:rsidRPr="00655CC9">
        <w:rPr>
          <w:rFonts w:ascii="Palatino Linotype" w:eastAsia="Calibri" w:hAnsi="Palatino Linotype"/>
          <w:lang w:val="es-ES_tradnl"/>
        </w:rPr>
        <w:t>cinco de junio</w:t>
      </w:r>
      <w:r w:rsidR="009A34B8" w:rsidRPr="00655CC9">
        <w:rPr>
          <w:rFonts w:ascii="Palatino Linotype" w:eastAsia="Calibri" w:hAnsi="Palatino Linotype"/>
          <w:lang w:val="es-ES_tradnl"/>
        </w:rPr>
        <w:t xml:space="preserve"> de dos mil veinticinco</w:t>
      </w:r>
      <w:r w:rsidR="00C65E1C" w:rsidRPr="00655CC9">
        <w:rPr>
          <w:rFonts w:ascii="Palatino Linotype" w:eastAsia="Calibri" w:hAnsi="Palatino Linotype"/>
          <w:lang w:val="es-ES_tradnl"/>
        </w:rPr>
        <w:t xml:space="preserve">, </w:t>
      </w:r>
      <w:r w:rsidR="009A34B8" w:rsidRPr="00655CC9">
        <w:rPr>
          <w:rFonts w:ascii="Palatino Linotype" w:eastAsia="Calibri" w:hAnsi="Palatino Linotype"/>
          <w:lang w:val="es-ES_tradnl"/>
        </w:rPr>
        <w:t>la</w:t>
      </w:r>
      <w:r w:rsidRPr="00655CC9">
        <w:rPr>
          <w:rFonts w:ascii="Palatino Linotype" w:eastAsia="Calibri" w:hAnsi="Palatino Linotype"/>
          <w:lang w:val="es-ES_tradnl"/>
        </w:rPr>
        <w:t xml:space="preserve"> Recurrente interpuso el recurso de revisión al que se le asignó el número de expediente con número de folio </w:t>
      </w:r>
      <w:r w:rsidR="00840AC9" w:rsidRPr="00655CC9">
        <w:rPr>
          <w:rFonts w:ascii="Palatino Linotype" w:eastAsia="Calibri" w:hAnsi="Palatino Linotype"/>
          <w:b/>
          <w:lang w:val="es-ES_tradnl"/>
        </w:rPr>
        <w:t>06600</w:t>
      </w:r>
      <w:r w:rsidR="00C053C5" w:rsidRPr="00655CC9">
        <w:rPr>
          <w:rFonts w:ascii="Palatino Linotype" w:eastAsia="Calibri" w:hAnsi="Palatino Linotype"/>
          <w:b/>
          <w:lang w:val="es-ES_tradnl"/>
        </w:rPr>
        <w:t>/INFOEM/A</w:t>
      </w:r>
      <w:r w:rsidR="0016555A" w:rsidRPr="00655CC9">
        <w:rPr>
          <w:rFonts w:ascii="Palatino Linotype" w:eastAsia="Calibri" w:hAnsi="Palatino Linotype"/>
          <w:b/>
          <w:lang w:val="es-ES_tradnl"/>
        </w:rPr>
        <w:t>D/RR/2025</w:t>
      </w:r>
      <w:r w:rsidRPr="00655CC9">
        <w:rPr>
          <w:rFonts w:ascii="Palatino Linotype" w:eastAsia="Calibri" w:hAnsi="Palatino Linotype"/>
          <w:lang w:val="es-ES_tradnl"/>
        </w:rPr>
        <w:t xml:space="preserve">, señalando </w:t>
      </w:r>
      <w:r w:rsidR="00C65E1C" w:rsidRPr="00655CC9">
        <w:rPr>
          <w:rFonts w:ascii="Palatino Linotype" w:eastAsia="Calibri" w:hAnsi="Palatino Linotype"/>
          <w:lang w:val="es-ES_tradnl"/>
        </w:rPr>
        <w:t>lo siguiente</w:t>
      </w:r>
      <w:r w:rsidRPr="00655CC9">
        <w:rPr>
          <w:rFonts w:ascii="Palatino Linotype" w:eastAsia="Calibri" w:hAnsi="Palatino Linotype" w:cs="Arial"/>
          <w:lang w:val="es-ES_tradnl"/>
        </w:rPr>
        <w:t>:</w:t>
      </w:r>
    </w:p>
    <w:p w14:paraId="66E3A6E6" w14:textId="77777777" w:rsidR="00DA297E" w:rsidRPr="00655CC9" w:rsidRDefault="00DA297E" w:rsidP="007C1357">
      <w:pPr>
        <w:spacing w:line="360" w:lineRule="auto"/>
        <w:rPr>
          <w:rFonts w:ascii="Palatino Linotype" w:eastAsia="Calibri" w:hAnsi="Palatino Linotype"/>
          <w:lang w:val="es-ES_tradnl"/>
        </w:rPr>
      </w:pPr>
    </w:p>
    <w:p w14:paraId="4686AB75" w14:textId="4756B3AE" w:rsidR="00DA297E" w:rsidRPr="00655CC9" w:rsidRDefault="00DA297E" w:rsidP="00D53925">
      <w:pPr>
        <w:spacing w:line="360" w:lineRule="auto"/>
        <w:jc w:val="both"/>
        <w:rPr>
          <w:rFonts w:ascii="Palatino Linotype" w:eastAsia="Calibri" w:hAnsi="Palatino Linotype" w:cs="Arial"/>
          <w:b/>
          <w:lang w:val="es-ES_tradnl"/>
        </w:rPr>
      </w:pPr>
      <w:r w:rsidRPr="00655CC9">
        <w:rPr>
          <w:rFonts w:ascii="Palatino Linotype" w:eastAsia="Calibri" w:hAnsi="Palatino Linotype" w:cs="Arial"/>
          <w:b/>
          <w:lang w:val="es-ES_tradnl"/>
        </w:rPr>
        <w:t>Acto Impugnado</w:t>
      </w:r>
      <w:r w:rsidR="00355F0A" w:rsidRPr="00655CC9">
        <w:rPr>
          <w:rFonts w:ascii="Palatino Linotype" w:eastAsia="Calibri" w:hAnsi="Palatino Linotype" w:cs="Arial"/>
          <w:b/>
          <w:lang w:val="es-ES_tradnl"/>
        </w:rPr>
        <w:t>:</w:t>
      </w:r>
    </w:p>
    <w:p w14:paraId="58D8DC92" w14:textId="70834C75" w:rsidR="00DA297E" w:rsidRPr="00655CC9" w:rsidRDefault="00C65E1C" w:rsidP="00C053C5">
      <w:pPr>
        <w:pStyle w:val="Sinespaciado"/>
        <w:rPr>
          <w:rFonts w:eastAsia="Calibri"/>
          <w:lang w:val="es-ES_tradnl"/>
        </w:rPr>
      </w:pPr>
      <w:r w:rsidRPr="00655CC9">
        <w:rPr>
          <w:rFonts w:eastAsia="Calibri"/>
          <w:lang w:val="es-ES_tradnl"/>
        </w:rPr>
        <w:t>«</w:t>
      </w:r>
      <w:r w:rsidR="00840AC9" w:rsidRPr="00655CC9">
        <w:rPr>
          <w:rFonts w:eastAsia="Calibri"/>
          <w:lang w:val="es-ES_tradnl"/>
        </w:rPr>
        <w:t>LA MNEGATIVA DEL SUJETO OBLIGADO PARA PROPORCIONAR LA INFORMACIÓN SOLICITADA</w:t>
      </w:r>
      <w:r w:rsidRPr="00655CC9">
        <w:rPr>
          <w:rFonts w:eastAsia="Calibri"/>
          <w:lang w:val="es-ES_tradnl"/>
        </w:rPr>
        <w:t>»</w:t>
      </w:r>
      <w:r w:rsidR="00DA297E" w:rsidRPr="00655CC9">
        <w:rPr>
          <w:rFonts w:eastAsia="Calibri"/>
          <w:lang w:val="es-ES_tradnl"/>
        </w:rPr>
        <w:t xml:space="preserve"> (Sic)</w:t>
      </w:r>
    </w:p>
    <w:p w14:paraId="046621AF" w14:textId="77777777" w:rsidR="002A2C38" w:rsidRPr="00655CC9" w:rsidRDefault="002A2C38" w:rsidP="00D53925">
      <w:pPr>
        <w:spacing w:line="360" w:lineRule="auto"/>
        <w:jc w:val="both"/>
        <w:rPr>
          <w:rFonts w:ascii="Palatino Linotype" w:eastAsia="Calibri" w:hAnsi="Palatino Linotype" w:cs="Arial"/>
          <w:b/>
          <w:lang w:val="es-ES_tradnl"/>
        </w:rPr>
      </w:pPr>
    </w:p>
    <w:p w14:paraId="20A58591" w14:textId="6437ECDB" w:rsidR="00DA297E" w:rsidRPr="00655CC9" w:rsidRDefault="00DA297E" w:rsidP="00D53925">
      <w:pPr>
        <w:spacing w:line="360" w:lineRule="auto"/>
        <w:jc w:val="both"/>
        <w:rPr>
          <w:rFonts w:ascii="Palatino Linotype" w:eastAsia="Calibri" w:hAnsi="Palatino Linotype" w:cs="Arial"/>
          <w:b/>
          <w:lang w:val="es-ES_tradnl"/>
        </w:rPr>
      </w:pPr>
      <w:r w:rsidRPr="00655CC9">
        <w:rPr>
          <w:rFonts w:ascii="Palatino Linotype" w:eastAsia="Calibri" w:hAnsi="Palatino Linotype" w:cs="Arial"/>
          <w:b/>
          <w:lang w:val="es-ES_tradnl"/>
        </w:rPr>
        <w:t>Razones o motivos de inconformidad</w:t>
      </w:r>
      <w:r w:rsidR="00355F0A" w:rsidRPr="00655CC9">
        <w:rPr>
          <w:rFonts w:ascii="Palatino Linotype" w:eastAsia="Calibri" w:hAnsi="Palatino Linotype" w:cs="Arial"/>
          <w:b/>
          <w:lang w:val="es-ES_tradnl"/>
        </w:rPr>
        <w:t>:</w:t>
      </w:r>
    </w:p>
    <w:p w14:paraId="0901C573" w14:textId="1EFCF755" w:rsidR="00DA297E" w:rsidRPr="00655CC9" w:rsidRDefault="00C65E1C" w:rsidP="00C053C5">
      <w:pPr>
        <w:pStyle w:val="Sinespaciado"/>
        <w:rPr>
          <w:rFonts w:eastAsia="Calibri"/>
          <w:sz w:val="24"/>
        </w:rPr>
      </w:pPr>
      <w:r w:rsidRPr="00655CC9">
        <w:rPr>
          <w:rFonts w:eastAsia="Calibri"/>
          <w:sz w:val="24"/>
        </w:rPr>
        <w:t>«</w:t>
      </w:r>
      <w:r w:rsidR="00840AC9" w:rsidRPr="00655CC9">
        <w:rPr>
          <w:rFonts w:eastAsia="Calibri"/>
        </w:rPr>
        <w:t>EL SUJETO OBLIGADO PRETENDE DESLINDARSE DE LA OBLIGACIÓN DE PROPORCIONAR LA INFORMACIÓN CON EL ARGUMENTO DE QUE SE TRATA DE INFORMACIÓN PRESUPUESTAL, SIN EMBARGO EL DOCUMENTO QUE SE SOLICITÓ SOLAMENTE IMPLICA ENTREGAR LA RESPUESTA QUE SE DIO AL OFICIO MENCIONADO EN LA SOLICITUD DE INFORMACIÓN.</w:t>
      </w:r>
      <w:r w:rsidRPr="00655CC9">
        <w:rPr>
          <w:rFonts w:eastAsia="Calibri"/>
          <w:sz w:val="24"/>
        </w:rPr>
        <w:t>»</w:t>
      </w:r>
      <w:r w:rsidR="00DA297E" w:rsidRPr="00655CC9">
        <w:rPr>
          <w:rFonts w:eastAsia="Calibri"/>
          <w:sz w:val="24"/>
        </w:rPr>
        <w:t xml:space="preserve"> (Sic)</w:t>
      </w:r>
    </w:p>
    <w:p w14:paraId="390304E3" w14:textId="77777777" w:rsidR="00355F0A" w:rsidRPr="00655CC9" w:rsidRDefault="00355F0A" w:rsidP="007C1357">
      <w:pPr>
        <w:spacing w:line="360" w:lineRule="auto"/>
        <w:jc w:val="both"/>
        <w:rPr>
          <w:rFonts w:ascii="Palatino Linotype" w:eastAsia="Calibri" w:hAnsi="Palatino Linotype" w:cs="Arial"/>
          <w:bCs/>
          <w:lang w:val="es-ES_tradnl"/>
        </w:rPr>
      </w:pPr>
    </w:p>
    <w:p w14:paraId="42872C50" w14:textId="3A6BE2D6" w:rsidR="00DA297E" w:rsidRPr="00655CC9" w:rsidRDefault="00A37476" w:rsidP="007C1357">
      <w:pPr>
        <w:spacing w:line="360" w:lineRule="auto"/>
        <w:jc w:val="both"/>
        <w:rPr>
          <w:rFonts w:ascii="Palatino Linotype" w:eastAsia="Calibri" w:hAnsi="Palatino Linotype" w:cs="Arial"/>
          <w:b/>
          <w:sz w:val="26"/>
          <w:szCs w:val="26"/>
          <w:lang w:val="es-ES_tradnl"/>
        </w:rPr>
      </w:pPr>
      <w:r w:rsidRPr="00655CC9">
        <w:rPr>
          <w:rFonts w:ascii="Palatino Linotype" w:eastAsia="Calibri" w:hAnsi="Palatino Linotype" w:cs="Arial"/>
          <w:b/>
          <w:sz w:val="26"/>
          <w:szCs w:val="26"/>
          <w:lang w:val="es-ES_tradnl"/>
        </w:rPr>
        <w:t>CUAR</w:t>
      </w:r>
      <w:r w:rsidR="00DA297E" w:rsidRPr="00655CC9">
        <w:rPr>
          <w:rFonts w:ascii="Palatino Linotype" w:eastAsia="Calibri" w:hAnsi="Palatino Linotype" w:cs="Arial"/>
          <w:b/>
          <w:sz w:val="26"/>
          <w:szCs w:val="26"/>
          <w:lang w:val="es-ES_tradnl"/>
        </w:rPr>
        <w:t>TO. Del turno del recurso de revisión.</w:t>
      </w:r>
    </w:p>
    <w:p w14:paraId="1BEBB078" w14:textId="095F2EC6" w:rsidR="00C53071" w:rsidRPr="00655CC9" w:rsidRDefault="00DA297E" w:rsidP="00C053C5">
      <w:pPr>
        <w:spacing w:line="360" w:lineRule="auto"/>
        <w:jc w:val="both"/>
        <w:rPr>
          <w:rFonts w:ascii="Palatino Linotype" w:eastAsia="Calibri" w:hAnsi="Palatino Linotype" w:cs="Arial"/>
        </w:rPr>
      </w:pPr>
      <w:r w:rsidRPr="00655CC9">
        <w:rPr>
          <w:rFonts w:ascii="Palatino Linotype" w:eastAsia="Calibri" w:hAnsi="Palatino Linotype" w:cs="Arial"/>
        </w:rPr>
        <w:t>E</w:t>
      </w:r>
      <w:r w:rsidR="00C06262" w:rsidRPr="00655CC9">
        <w:rPr>
          <w:rFonts w:ascii="Palatino Linotype" w:eastAsia="Calibri" w:hAnsi="Palatino Linotype" w:cs="Arial"/>
        </w:rPr>
        <w:t xml:space="preserve">l </w:t>
      </w:r>
      <w:r w:rsidRPr="00655CC9">
        <w:rPr>
          <w:rFonts w:ascii="Palatino Linotype" w:eastAsia="Calibri" w:hAnsi="Palatino Linotype" w:cs="Arial"/>
        </w:rPr>
        <w:t xml:space="preserve">recurso </w:t>
      </w:r>
      <w:r w:rsidR="008E1D68" w:rsidRPr="00655CC9">
        <w:rPr>
          <w:rFonts w:ascii="Palatino Linotype" w:eastAsia="Calibri" w:hAnsi="Palatino Linotype" w:cs="Arial"/>
        </w:rPr>
        <w:t xml:space="preserve">de revisión de mérito </w:t>
      </w:r>
      <w:r w:rsidRPr="00655CC9">
        <w:rPr>
          <w:rFonts w:ascii="Palatino Linotype" w:eastAsia="Calibri" w:hAnsi="Palatino Linotype" w:cs="Arial"/>
        </w:rPr>
        <w:t>se registró en el SARCOEM</w:t>
      </w:r>
      <w:r w:rsidR="003B36D7" w:rsidRPr="00655CC9">
        <w:rPr>
          <w:rFonts w:ascii="Palatino Linotype" w:eastAsia="Calibri" w:hAnsi="Palatino Linotype" w:cs="Arial"/>
        </w:rPr>
        <w:t xml:space="preserve"> y fue turnado al </w:t>
      </w:r>
      <w:r w:rsidR="003B36D7" w:rsidRPr="00655CC9">
        <w:rPr>
          <w:rFonts w:ascii="Palatino Linotype" w:eastAsia="Calibri" w:hAnsi="Palatino Linotype" w:cs="Arial"/>
          <w:b/>
        </w:rPr>
        <w:t>Comisionado</w:t>
      </w:r>
      <w:r w:rsidR="00C06262" w:rsidRPr="00655CC9">
        <w:rPr>
          <w:rFonts w:ascii="Palatino Linotype" w:eastAsia="Calibri" w:hAnsi="Palatino Linotype" w:cs="Arial"/>
          <w:b/>
        </w:rPr>
        <w:t xml:space="preserve"> </w:t>
      </w:r>
      <w:r w:rsidR="003B36D7" w:rsidRPr="00655CC9">
        <w:rPr>
          <w:rFonts w:ascii="Palatino Linotype" w:eastAsia="Calibri" w:hAnsi="Palatino Linotype" w:cs="Arial"/>
          <w:b/>
        </w:rPr>
        <w:t>José Martínez Vilchis</w:t>
      </w:r>
      <w:r w:rsidRPr="00655CC9">
        <w:rPr>
          <w:rFonts w:ascii="Palatino Linotype" w:eastAsia="Calibri" w:hAnsi="Palatino Linotype" w:cs="Arial"/>
        </w:rPr>
        <w:t xml:space="preserve">, a efecto de que decretara su admisión o desechamiento, ello en términos de los artículos 11 y 127 de la Ley de Protección de Datos Personales en Posesión de Sujetos Obligados del Estado de México y Municipios, </w:t>
      </w:r>
      <w:r w:rsidR="008E1D68" w:rsidRPr="00655CC9">
        <w:rPr>
          <w:rFonts w:ascii="Palatino Linotype" w:eastAsia="Calibri" w:hAnsi="Palatino Linotype" w:cs="Arial"/>
        </w:rPr>
        <w:t>con</w:t>
      </w:r>
      <w:r w:rsidRPr="00655CC9">
        <w:rPr>
          <w:rFonts w:ascii="Palatino Linotype" w:eastAsia="Calibri" w:hAnsi="Palatino Linotype" w:cs="Arial"/>
        </w:rPr>
        <w:t xml:space="preserve"> relación </w:t>
      </w:r>
      <w:r w:rsidR="008E1D68" w:rsidRPr="00655CC9">
        <w:rPr>
          <w:rFonts w:ascii="Palatino Linotype" w:eastAsia="Calibri" w:hAnsi="Palatino Linotype" w:cs="Arial"/>
        </w:rPr>
        <w:t>a</w:t>
      </w:r>
      <w:r w:rsidRPr="00655CC9">
        <w:rPr>
          <w:rFonts w:ascii="Palatino Linotype" w:eastAsia="Calibri" w:hAnsi="Palatino Linotype" w:cs="Arial"/>
        </w:rPr>
        <w:t xml:space="preserve">l diverso 185, fracción I, de la </w:t>
      </w:r>
      <w:r w:rsidRPr="00655CC9">
        <w:rPr>
          <w:rFonts w:ascii="Palatino Linotype" w:eastAsia="Calibri" w:hAnsi="Palatino Linotype"/>
        </w:rPr>
        <w:t>Ley de Transparencia y Acceso a la Información Pública del Estado de México y Municipios, de aplicación supletoria a la citada Ley de Protección de Datos Personales por disposición de su artículo 11</w:t>
      </w:r>
      <w:r w:rsidRPr="00655CC9">
        <w:rPr>
          <w:rFonts w:ascii="Palatino Linotype" w:eastAsia="Calibri" w:hAnsi="Palatino Linotype" w:cs="Arial"/>
        </w:rPr>
        <w:t>.</w:t>
      </w:r>
    </w:p>
    <w:p w14:paraId="7BD0B988" w14:textId="77777777" w:rsidR="00DA297E" w:rsidRPr="00655CC9" w:rsidRDefault="00DA297E" w:rsidP="007C1357">
      <w:pPr>
        <w:spacing w:line="360" w:lineRule="auto"/>
        <w:jc w:val="both"/>
        <w:rPr>
          <w:rFonts w:ascii="Palatino Linotype" w:eastAsia="Calibri" w:hAnsi="Palatino Linotype" w:cs="Arial"/>
          <w:lang w:val="es-ES_tradnl"/>
        </w:rPr>
      </w:pPr>
    </w:p>
    <w:p w14:paraId="4F785256" w14:textId="77777777" w:rsidR="00840AC9" w:rsidRPr="00655CC9" w:rsidRDefault="00840AC9" w:rsidP="00840AC9">
      <w:pPr>
        <w:spacing w:line="360" w:lineRule="auto"/>
        <w:jc w:val="both"/>
        <w:rPr>
          <w:rFonts w:ascii="Palatino Linotype" w:eastAsia="Calibri" w:hAnsi="Palatino Linotype" w:cs="Arial"/>
          <w:b/>
          <w:sz w:val="28"/>
        </w:rPr>
      </w:pPr>
      <w:r w:rsidRPr="00655CC9">
        <w:rPr>
          <w:rFonts w:ascii="Palatino Linotype" w:eastAsia="Calibri" w:hAnsi="Palatino Linotype" w:cs="Arial"/>
          <w:b/>
          <w:sz w:val="28"/>
        </w:rPr>
        <w:t>QUINTO. De la Admisión del recurso de revisión y Etapa de Conciliación.</w:t>
      </w:r>
    </w:p>
    <w:p w14:paraId="55FB807D" w14:textId="77777777" w:rsidR="00840AC9" w:rsidRPr="00655CC9" w:rsidRDefault="00840AC9" w:rsidP="00840AC9">
      <w:pPr>
        <w:spacing w:line="360" w:lineRule="auto"/>
        <w:jc w:val="both"/>
        <w:rPr>
          <w:rFonts w:ascii="Palatino Linotype" w:eastAsia="Calibri" w:hAnsi="Palatino Linotype" w:cs="Arial"/>
        </w:rPr>
      </w:pPr>
      <w:r w:rsidRPr="00655CC9">
        <w:rPr>
          <w:rFonts w:ascii="Palatino Linotype" w:eastAsia="Calibri" w:hAnsi="Palatino Linotype" w:cs="Arial"/>
        </w:rPr>
        <w:lastRenderedPageBreak/>
        <w:t xml:space="preserve">En fecha </w:t>
      </w:r>
      <w:r w:rsidRPr="00655CC9">
        <w:rPr>
          <w:rFonts w:ascii="Palatino Linotype" w:eastAsia="Calibri" w:hAnsi="Palatino Linotype"/>
        </w:rPr>
        <w:t>doce de junio de dos mil veinticinco</w:t>
      </w:r>
      <w:r w:rsidRPr="00655CC9">
        <w:rPr>
          <w:rFonts w:ascii="Palatino Linotype" w:eastAsia="Calibri"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2C7D0DAF" w14:textId="77777777" w:rsidR="00840AC9" w:rsidRPr="00655CC9" w:rsidRDefault="00840AC9" w:rsidP="00840AC9">
      <w:pPr>
        <w:spacing w:line="360" w:lineRule="auto"/>
        <w:jc w:val="both"/>
        <w:rPr>
          <w:rFonts w:ascii="Palatino Linotype" w:eastAsia="Calibri" w:hAnsi="Palatino Linotype" w:cs="Arial"/>
        </w:rPr>
      </w:pPr>
    </w:p>
    <w:p w14:paraId="5482B6FC" w14:textId="77777777" w:rsidR="00840AC9" w:rsidRPr="00655CC9" w:rsidRDefault="00840AC9" w:rsidP="00840AC9">
      <w:pPr>
        <w:spacing w:line="360" w:lineRule="auto"/>
        <w:jc w:val="both"/>
        <w:rPr>
          <w:rFonts w:ascii="Palatino Linotype" w:eastAsia="Calibri" w:hAnsi="Palatino Linotype" w:cs="Arial"/>
        </w:rPr>
      </w:pPr>
      <w:r w:rsidRPr="00655CC9">
        <w:rPr>
          <w:rFonts w:ascii="Palatino Linotype" w:eastAsia="Calibri" w:hAnsi="Palatino Linotype" w:cs="Arial"/>
        </w:rPr>
        <w:t xml:space="preserve">Asimismo, y derivado del acuerdo de admisión de exhortación a la conciliación, se aprecia que, </w:t>
      </w:r>
      <w:r w:rsidRPr="00655CC9">
        <w:rPr>
          <w:rFonts w:ascii="Palatino Linotype" w:eastAsia="Calibri" w:hAnsi="Palatino Linotype" w:cs="Arial"/>
          <w:b/>
        </w:rPr>
        <w:t>el Sujeto Obligado</w:t>
      </w:r>
      <w:r w:rsidRPr="00655CC9">
        <w:rPr>
          <w:rFonts w:ascii="Palatino Linotype" w:eastAsia="Calibri" w:hAnsi="Palatino Linotype" w:cs="Arial"/>
        </w:rPr>
        <w:t xml:space="preserve"> no manifestó su voluntad para conciliar, robustece lo anterior, la siguiente imagen ilustrativa:</w:t>
      </w:r>
    </w:p>
    <w:p w14:paraId="35B2B52B" w14:textId="0303C5FF" w:rsidR="00840AC9" w:rsidRPr="00655CC9" w:rsidRDefault="008E5191" w:rsidP="00840AC9">
      <w:pPr>
        <w:spacing w:line="360" w:lineRule="auto"/>
        <w:jc w:val="center"/>
        <w:rPr>
          <w:rFonts w:ascii="Palatino Linotype" w:eastAsia="Calibri" w:hAnsi="Palatino Linotype" w:cs="Arial"/>
        </w:rPr>
      </w:pPr>
      <w:r w:rsidRPr="00655CC9">
        <w:rPr>
          <w:rFonts w:ascii="Palatino Linotype" w:eastAsia="Calibri" w:hAnsi="Palatino Linotype" w:cs="Arial"/>
          <w:noProof/>
          <w:lang w:val="es-MX" w:eastAsia="es-MX"/>
        </w:rPr>
        <w:drawing>
          <wp:inline distT="0" distB="0" distL="0" distR="0" wp14:anchorId="42CF88AD" wp14:editId="1507DF8D">
            <wp:extent cx="5083372" cy="1200150"/>
            <wp:effectExtent l="190500" t="190500" r="193675"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04516" cy="1205142"/>
                    </a:xfrm>
                    <a:prstGeom prst="rect">
                      <a:avLst/>
                    </a:prstGeom>
                    <a:ln>
                      <a:noFill/>
                    </a:ln>
                    <a:effectLst>
                      <a:outerShdw blurRad="190500" algn="tl" rotWithShape="0">
                        <a:srgbClr val="000000">
                          <a:alpha val="70000"/>
                        </a:srgbClr>
                      </a:outerShdw>
                    </a:effectLst>
                  </pic:spPr>
                </pic:pic>
              </a:graphicData>
            </a:graphic>
          </wp:inline>
        </w:drawing>
      </w:r>
    </w:p>
    <w:p w14:paraId="23DD015F" w14:textId="77777777" w:rsidR="00840AC9" w:rsidRPr="00655CC9" w:rsidRDefault="00840AC9" w:rsidP="00840AC9">
      <w:pPr>
        <w:spacing w:line="360" w:lineRule="auto"/>
        <w:jc w:val="both"/>
        <w:rPr>
          <w:rFonts w:ascii="Palatino Linotype" w:eastAsia="Calibri" w:hAnsi="Palatino Linotype" w:cs="Arial"/>
          <w:b/>
          <w:sz w:val="26"/>
          <w:szCs w:val="26"/>
          <w:lang w:val="es-ES_tradnl"/>
        </w:rPr>
      </w:pPr>
    </w:p>
    <w:p w14:paraId="0C617873" w14:textId="4298BFDE" w:rsidR="00ED2CEF" w:rsidRPr="00655CC9" w:rsidRDefault="00ED2CEF" w:rsidP="00ED2CEF">
      <w:pPr>
        <w:spacing w:line="360" w:lineRule="auto"/>
        <w:jc w:val="both"/>
        <w:rPr>
          <w:rFonts w:ascii="Palatino Linotype" w:eastAsia="Calibri" w:hAnsi="Palatino Linotype" w:cs="Arial"/>
          <w:b/>
          <w:sz w:val="28"/>
          <w:szCs w:val="28"/>
        </w:rPr>
      </w:pPr>
      <w:r w:rsidRPr="00655CC9">
        <w:rPr>
          <w:rFonts w:ascii="Palatino Linotype" w:eastAsia="Calibri" w:hAnsi="Palatino Linotype" w:cs="Arial"/>
          <w:b/>
          <w:sz w:val="28"/>
          <w:szCs w:val="28"/>
        </w:rPr>
        <w:t>SEXTO. De la exhortación a Conciliación a las partes</w:t>
      </w:r>
    </w:p>
    <w:p w14:paraId="1C9ABDC9" w14:textId="4D00322A" w:rsidR="00ED2CEF" w:rsidRPr="00655CC9" w:rsidRDefault="00ED2CEF" w:rsidP="00ED2CEF">
      <w:pPr>
        <w:spacing w:line="360" w:lineRule="auto"/>
        <w:jc w:val="both"/>
        <w:rPr>
          <w:rFonts w:ascii="Palatino Linotype" w:eastAsia="Calibri" w:hAnsi="Palatino Linotype" w:cs="Arial"/>
        </w:rPr>
      </w:pPr>
      <w:r w:rsidRPr="00655CC9">
        <w:rPr>
          <w:rFonts w:ascii="Palatino Linotype" w:eastAsia="Calibri" w:hAnsi="Palatino Linotype" w:cs="Arial"/>
        </w:rPr>
        <w:t xml:space="preserve">Derivado del acuerdo de admisión, en fecha </w:t>
      </w:r>
      <w:r w:rsidRPr="00655CC9">
        <w:rPr>
          <w:rFonts w:ascii="Palatino Linotype" w:eastAsia="Calibri" w:hAnsi="Palatino Linotype" w:cs="Arial"/>
          <w:b/>
          <w:bCs/>
        </w:rPr>
        <w:t xml:space="preserve">cuatro de agosto de dos mil veinticinco, </w:t>
      </w:r>
      <w:r w:rsidRPr="00655CC9">
        <w:rPr>
          <w:rFonts w:ascii="Palatino Linotype" w:eastAsia="Calibri" w:hAnsi="Palatino Linotype" w:cs="Arial"/>
        </w:rPr>
        <w:t xml:space="preserve">este Órgano Garante emitió acuerdo de exhortación a las partes para llegar a una conciliación, misma que fue aceptada únicamente por la parte recurrente. </w:t>
      </w:r>
    </w:p>
    <w:p w14:paraId="030C27A8" w14:textId="77777777" w:rsidR="00ED2CEF" w:rsidRPr="00655CC9" w:rsidRDefault="00ED2CEF" w:rsidP="007C1357">
      <w:pPr>
        <w:spacing w:line="360" w:lineRule="auto"/>
        <w:jc w:val="both"/>
        <w:rPr>
          <w:rFonts w:ascii="Palatino Linotype" w:eastAsia="Calibri" w:hAnsi="Palatino Linotype" w:cs="Arial"/>
          <w:b/>
          <w:sz w:val="26"/>
          <w:szCs w:val="26"/>
          <w:lang w:val="es-ES_tradnl"/>
        </w:rPr>
      </w:pPr>
    </w:p>
    <w:p w14:paraId="4A99D88A" w14:textId="21A93FB9" w:rsidR="00DA297E" w:rsidRPr="00655CC9" w:rsidRDefault="0039273C" w:rsidP="007C1357">
      <w:pPr>
        <w:spacing w:line="360" w:lineRule="auto"/>
        <w:jc w:val="both"/>
        <w:rPr>
          <w:rFonts w:ascii="Palatino Linotype" w:eastAsia="Calibri" w:hAnsi="Palatino Linotype" w:cs="Arial"/>
          <w:b/>
          <w:sz w:val="26"/>
          <w:szCs w:val="26"/>
          <w:lang w:val="es-ES_tradnl"/>
        </w:rPr>
      </w:pPr>
      <w:r w:rsidRPr="00655CC9">
        <w:rPr>
          <w:rFonts w:ascii="Palatino Linotype" w:eastAsia="Calibri" w:hAnsi="Palatino Linotype" w:cs="Arial"/>
          <w:b/>
          <w:sz w:val="26"/>
          <w:szCs w:val="26"/>
          <w:lang w:val="es-ES_tradnl"/>
        </w:rPr>
        <w:t>S</w:t>
      </w:r>
      <w:r w:rsidR="001A3718" w:rsidRPr="00655CC9">
        <w:rPr>
          <w:rFonts w:ascii="Palatino Linotype" w:eastAsia="Calibri" w:hAnsi="Palatino Linotype" w:cs="Arial"/>
          <w:b/>
          <w:sz w:val="26"/>
          <w:szCs w:val="26"/>
          <w:lang w:val="es-ES_tradnl"/>
        </w:rPr>
        <w:t>ÉPTIMO</w:t>
      </w:r>
      <w:r w:rsidR="00DA297E" w:rsidRPr="00655CC9">
        <w:rPr>
          <w:rFonts w:ascii="Palatino Linotype" w:eastAsia="Calibri" w:hAnsi="Palatino Linotype" w:cs="Arial"/>
          <w:b/>
          <w:sz w:val="26"/>
          <w:szCs w:val="26"/>
          <w:lang w:val="es-ES_tradnl"/>
        </w:rPr>
        <w:t>. De la etapa de instrucción.</w:t>
      </w:r>
    </w:p>
    <w:p w14:paraId="0B14FA35" w14:textId="553B39C8" w:rsidR="00DA297E" w:rsidRPr="00655CC9" w:rsidRDefault="00C24B94" w:rsidP="007C1357">
      <w:pPr>
        <w:spacing w:line="360" w:lineRule="auto"/>
        <w:jc w:val="both"/>
        <w:rPr>
          <w:rFonts w:ascii="Palatino Linotype" w:eastAsia="Calibri" w:hAnsi="Palatino Linotype" w:cs="Arial"/>
          <w:b/>
          <w:lang w:val="es-ES_tradnl"/>
        </w:rPr>
      </w:pPr>
      <w:r w:rsidRPr="00655CC9">
        <w:rPr>
          <w:rFonts w:ascii="Palatino Linotype" w:eastAsia="Calibri" w:hAnsi="Palatino Linotype" w:cs="Arial"/>
          <w:lang w:val="es-ES_tradnl"/>
        </w:rPr>
        <w:lastRenderedPageBreak/>
        <w:t>Durante la etapa de manifestaciones,</w:t>
      </w:r>
      <w:r w:rsidRPr="00655CC9">
        <w:rPr>
          <w:rFonts w:ascii="Palatino Linotype" w:eastAsia="Calibri" w:hAnsi="Palatino Linotype" w:cs="Arial"/>
          <w:b/>
          <w:lang w:val="es-ES_tradnl"/>
        </w:rPr>
        <w:t xml:space="preserve"> </w:t>
      </w:r>
      <w:r w:rsidRPr="00655CC9">
        <w:rPr>
          <w:rFonts w:ascii="Palatino Linotype" w:eastAsia="Calibri" w:hAnsi="Palatino Linotype" w:cs="Arial"/>
          <w:lang w:val="es-ES_tradnl"/>
        </w:rPr>
        <w:t xml:space="preserve">de las constancias que obran en el SARCOEM, se advierte que en fecha </w:t>
      </w:r>
      <w:r w:rsidR="0020019E" w:rsidRPr="00655CC9">
        <w:rPr>
          <w:rFonts w:ascii="Palatino Linotype" w:eastAsia="Calibri" w:hAnsi="Palatino Linotype" w:cs="Arial"/>
          <w:lang w:val="es-ES_tradnl"/>
        </w:rPr>
        <w:t>dos de septiembre</w:t>
      </w:r>
      <w:r w:rsidRPr="00655CC9">
        <w:rPr>
          <w:rFonts w:ascii="Palatino Linotype" w:eastAsia="Calibri" w:hAnsi="Palatino Linotype" w:cs="Arial"/>
          <w:lang w:val="es-ES_tradnl"/>
        </w:rPr>
        <w:t xml:space="preserve"> de dos mil </w:t>
      </w:r>
      <w:r w:rsidR="00080E7F" w:rsidRPr="00655CC9">
        <w:rPr>
          <w:rFonts w:ascii="Palatino Linotype" w:eastAsia="Calibri" w:hAnsi="Palatino Linotype" w:cs="Arial"/>
          <w:lang w:val="es-ES_tradnl"/>
        </w:rPr>
        <w:t>veinticinco</w:t>
      </w:r>
      <w:r w:rsidRPr="00655CC9">
        <w:rPr>
          <w:rFonts w:ascii="Palatino Linotype" w:eastAsia="Calibri" w:hAnsi="Palatino Linotype" w:cs="Arial"/>
          <w:lang w:val="es-ES_tradnl"/>
        </w:rPr>
        <w:t xml:space="preserve">, el Sujeto Obligado </w:t>
      </w:r>
      <w:r w:rsidR="00C659EC" w:rsidRPr="00655CC9">
        <w:rPr>
          <w:rFonts w:ascii="Palatino Linotype" w:eastAsia="Calibri" w:hAnsi="Palatino Linotype" w:cs="Arial"/>
          <w:lang w:val="es-ES_tradnl"/>
        </w:rPr>
        <w:t>fue omiso en presentar su informe justificado; por su parte el recurrente, también fue omiso en rendir su informe justificado.</w:t>
      </w:r>
    </w:p>
    <w:p w14:paraId="7943AABA" w14:textId="17645F9B" w:rsidR="00793C1A" w:rsidRPr="00655CC9" w:rsidRDefault="00793C1A" w:rsidP="007C1357">
      <w:pPr>
        <w:spacing w:line="360" w:lineRule="auto"/>
        <w:rPr>
          <w:rFonts w:ascii="Palatino Linotype" w:hAnsi="Palatino Linotype"/>
          <w:lang w:val="es-ES_tradnl"/>
        </w:rPr>
      </w:pPr>
    </w:p>
    <w:p w14:paraId="33F98BBF" w14:textId="7A9E3D60" w:rsidR="00DA297E" w:rsidRPr="00655CC9" w:rsidRDefault="0039273C" w:rsidP="007C1357">
      <w:pPr>
        <w:spacing w:line="360" w:lineRule="auto"/>
        <w:jc w:val="both"/>
        <w:rPr>
          <w:rFonts w:ascii="Palatino Linotype" w:hAnsi="Palatino Linotype"/>
          <w:b/>
          <w:sz w:val="26"/>
          <w:szCs w:val="26"/>
          <w:lang w:val="es-ES_tradnl"/>
        </w:rPr>
      </w:pPr>
      <w:r w:rsidRPr="00655CC9">
        <w:rPr>
          <w:rFonts w:ascii="Palatino Linotype" w:hAnsi="Palatino Linotype" w:cs="Arial"/>
          <w:b/>
          <w:sz w:val="26"/>
          <w:szCs w:val="26"/>
          <w:lang w:val="es-ES_tradnl"/>
        </w:rPr>
        <w:t>SÉPTIMO</w:t>
      </w:r>
      <w:r w:rsidR="00DA297E" w:rsidRPr="00655CC9">
        <w:rPr>
          <w:rFonts w:ascii="Palatino Linotype" w:hAnsi="Palatino Linotype"/>
          <w:b/>
          <w:sz w:val="26"/>
          <w:szCs w:val="26"/>
          <w:lang w:val="es-ES_tradnl"/>
        </w:rPr>
        <w:t>. Del cierre de instrucción.</w:t>
      </w:r>
    </w:p>
    <w:p w14:paraId="0772E0B4" w14:textId="6A36A02A" w:rsidR="00DA297E" w:rsidRPr="00655CC9" w:rsidRDefault="00C24B94" w:rsidP="007C1357">
      <w:pPr>
        <w:spacing w:line="360" w:lineRule="auto"/>
        <w:jc w:val="both"/>
        <w:rPr>
          <w:rFonts w:ascii="Palatino Linotype" w:hAnsi="Palatino Linotype"/>
        </w:rPr>
      </w:pPr>
      <w:r w:rsidRPr="00655CC9">
        <w:rPr>
          <w:rFonts w:ascii="Palatino Linotype" w:hAnsi="Palatino Linotype"/>
        </w:rPr>
        <w:t xml:space="preserve">Por lo anterior, en fecha </w:t>
      </w:r>
      <w:r w:rsidR="0020019E" w:rsidRPr="00655CC9">
        <w:rPr>
          <w:rFonts w:ascii="Palatino Linotype" w:hAnsi="Palatino Linotype"/>
        </w:rPr>
        <w:t xml:space="preserve">veintitrés de septiembre </w:t>
      </w:r>
      <w:r w:rsidRPr="00655CC9">
        <w:rPr>
          <w:rFonts w:ascii="Palatino Linotype" w:hAnsi="Palatino Linotype"/>
        </w:rPr>
        <w:t xml:space="preserve">de dos mil </w:t>
      </w:r>
      <w:r w:rsidR="00080E7F" w:rsidRPr="00655CC9">
        <w:rPr>
          <w:rFonts w:ascii="Palatino Linotype" w:hAnsi="Palatino Linotype"/>
        </w:rPr>
        <w:t>veinticinco</w:t>
      </w:r>
      <w:r w:rsidR="00DA297E" w:rsidRPr="00655CC9">
        <w:rPr>
          <w:rFonts w:ascii="Palatino Linotype" w:hAnsi="Palatino Linotype"/>
        </w:rPr>
        <w:t>, mediante acuerdo de</w:t>
      </w:r>
      <w:r w:rsidR="00793C1A" w:rsidRPr="00655CC9">
        <w:rPr>
          <w:rFonts w:ascii="Palatino Linotype" w:hAnsi="Palatino Linotype"/>
        </w:rPr>
        <w:t>l</w:t>
      </w:r>
      <w:r w:rsidR="00DA297E" w:rsidRPr="00655CC9">
        <w:rPr>
          <w:rFonts w:ascii="Palatino Linotype" w:hAnsi="Palatino Linotype"/>
        </w:rPr>
        <w:t xml:space="preserve"> </w:t>
      </w:r>
      <w:r w:rsidR="00793C1A" w:rsidRPr="00655CC9">
        <w:rPr>
          <w:rFonts w:ascii="Palatino Linotype" w:hAnsi="Palatino Linotype"/>
          <w:b/>
          <w:bCs/>
        </w:rPr>
        <w:t>Comisionad</w:t>
      </w:r>
      <w:r w:rsidR="002E6789" w:rsidRPr="00655CC9">
        <w:rPr>
          <w:rFonts w:ascii="Palatino Linotype" w:hAnsi="Palatino Linotype"/>
          <w:b/>
          <w:bCs/>
        </w:rPr>
        <w:t xml:space="preserve">o </w:t>
      </w:r>
      <w:r w:rsidR="00793C1A" w:rsidRPr="00655CC9">
        <w:rPr>
          <w:rFonts w:ascii="Palatino Linotype" w:hAnsi="Palatino Linotype"/>
          <w:b/>
          <w:bCs/>
        </w:rPr>
        <w:t>Presidente</w:t>
      </w:r>
      <w:r w:rsidR="00DA297E" w:rsidRPr="00655CC9">
        <w:rPr>
          <w:rFonts w:ascii="Palatino Linotype" w:hAnsi="Palatino Linotype"/>
          <w:b/>
          <w:bCs/>
        </w:rPr>
        <w:t xml:space="preserve"> </w:t>
      </w:r>
      <w:r w:rsidR="00793C1A" w:rsidRPr="00655CC9">
        <w:rPr>
          <w:rFonts w:ascii="Palatino Linotype" w:hAnsi="Palatino Linotype"/>
          <w:b/>
          <w:bCs/>
        </w:rPr>
        <w:t>José Martínez Vilchis</w:t>
      </w:r>
      <w:r w:rsidR="00DA297E" w:rsidRPr="00655CC9">
        <w:rPr>
          <w:rFonts w:ascii="Palatino Linotype" w:hAnsi="Palatino Linotype"/>
        </w:rPr>
        <w:t>, una vez transcurrido el plazo otorgado a las partes para que manifestaran lo que a su derecho conviniera, ofrecieran pruebas que estimaran convenientes y rindieran alegatos, se decretó el cierre de instrucción,</w:t>
      </w:r>
      <w:r w:rsidRPr="00655CC9">
        <w:rPr>
          <w:rFonts w:ascii="Palatino Linotype" w:hAnsi="Palatino Linotype"/>
        </w:rPr>
        <w:t xml:space="preserve"> en términos del artículo 185 f</w:t>
      </w:r>
      <w:r w:rsidR="00DA297E" w:rsidRPr="00655CC9">
        <w:rPr>
          <w:rFonts w:ascii="Palatino Linotype" w:hAnsi="Palatino Linotype"/>
        </w:rPr>
        <w:t>racción VI, de la Ley de Transparencia y Acceso a la Información Pública del Estado de México y Municipios.</w:t>
      </w:r>
    </w:p>
    <w:p w14:paraId="4283FB13" w14:textId="2EF6055E" w:rsidR="00F1795F" w:rsidRPr="00655CC9" w:rsidRDefault="00F1795F" w:rsidP="007C1357">
      <w:pPr>
        <w:spacing w:line="360" w:lineRule="auto"/>
        <w:jc w:val="both"/>
        <w:rPr>
          <w:rFonts w:ascii="Palatino Linotype" w:hAnsi="Palatino Linotype"/>
          <w:lang w:val="es-ES_tradnl"/>
        </w:rPr>
      </w:pPr>
    </w:p>
    <w:p w14:paraId="55144A14" w14:textId="77777777" w:rsidR="00DA297E" w:rsidRPr="00655CC9" w:rsidRDefault="00DA297E" w:rsidP="007C1357">
      <w:pPr>
        <w:spacing w:line="360" w:lineRule="auto"/>
        <w:jc w:val="center"/>
        <w:rPr>
          <w:rFonts w:ascii="Palatino Linotype" w:eastAsia="Calibri" w:hAnsi="Palatino Linotype" w:cs="Arial"/>
          <w:b/>
          <w:sz w:val="28"/>
          <w:szCs w:val="28"/>
          <w:lang w:val="es-ES_tradnl"/>
        </w:rPr>
      </w:pPr>
      <w:r w:rsidRPr="00655CC9">
        <w:rPr>
          <w:rFonts w:ascii="Palatino Linotype" w:eastAsia="Calibri" w:hAnsi="Palatino Linotype" w:cs="Arial"/>
          <w:b/>
          <w:sz w:val="28"/>
          <w:szCs w:val="28"/>
          <w:lang w:val="es-ES_tradnl"/>
        </w:rPr>
        <w:t>C O N S I D E R A N D O</w:t>
      </w:r>
    </w:p>
    <w:p w14:paraId="066AB56A" w14:textId="77777777" w:rsidR="00DA297E" w:rsidRPr="00655CC9" w:rsidRDefault="00DA297E" w:rsidP="007C1357">
      <w:pPr>
        <w:spacing w:line="360" w:lineRule="auto"/>
        <w:jc w:val="both"/>
        <w:rPr>
          <w:rFonts w:ascii="Palatino Linotype" w:eastAsia="Calibri" w:hAnsi="Palatino Linotype"/>
          <w:b/>
          <w:lang w:val="es-ES_tradnl"/>
        </w:rPr>
      </w:pPr>
    </w:p>
    <w:p w14:paraId="46BE564F" w14:textId="77777777" w:rsidR="00DA297E" w:rsidRPr="00655CC9" w:rsidRDefault="00DA297E" w:rsidP="007C1357">
      <w:pPr>
        <w:spacing w:line="360" w:lineRule="auto"/>
        <w:jc w:val="both"/>
        <w:rPr>
          <w:rFonts w:ascii="Palatino Linotype" w:eastAsia="Calibri" w:hAnsi="Palatino Linotype"/>
          <w:sz w:val="26"/>
          <w:szCs w:val="26"/>
          <w:lang w:val="es-ES_tradnl"/>
        </w:rPr>
      </w:pPr>
      <w:r w:rsidRPr="00655CC9">
        <w:rPr>
          <w:rFonts w:ascii="Palatino Linotype" w:eastAsia="Calibri" w:hAnsi="Palatino Linotype"/>
          <w:b/>
          <w:sz w:val="26"/>
          <w:szCs w:val="26"/>
          <w:lang w:val="es-ES_tradnl"/>
        </w:rPr>
        <w:t>PRIMERO.</w:t>
      </w:r>
      <w:r w:rsidRPr="00655CC9">
        <w:rPr>
          <w:rFonts w:ascii="Palatino Linotype" w:eastAsia="Calibri" w:hAnsi="Palatino Linotype"/>
          <w:sz w:val="26"/>
          <w:szCs w:val="26"/>
          <w:lang w:val="es-ES_tradnl"/>
        </w:rPr>
        <w:t xml:space="preserve"> </w:t>
      </w:r>
      <w:r w:rsidRPr="00655CC9">
        <w:rPr>
          <w:rFonts w:ascii="Palatino Linotype" w:eastAsia="Calibri" w:hAnsi="Palatino Linotype"/>
          <w:b/>
          <w:sz w:val="26"/>
          <w:szCs w:val="26"/>
          <w:lang w:val="es-ES_tradnl"/>
        </w:rPr>
        <w:t>De la Competencia</w:t>
      </w:r>
      <w:r w:rsidRPr="00655CC9">
        <w:rPr>
          <w:rFonts w:ascii="Palatino Linotype" w:eastAsia="Calibri" w:hAnsi="Palatino Linotype"/>
          <w:sz w:val="26"/>
          <w:szCs w:val="26"/>
          <w:lang w:val="es-ES_tradnl"/>
        </w:rPr>
        <w:t xml:space="preserve">. </w:t>
      </w:r>
    </w:p>
    <w:p w14:paraId="4FDEFCB2" w14:textId="7DD9874E" w:rsidR="00DA297E" w:rsidRPr="00655CC9" w:rsidRDefault="00C659EC" w:rsidP="007C1357">
      <w:pPr>
        <w:spacing w:line="360" w:lineRule="auto"/>
        <w:jc w:val="both"/>
        <w:rPr>
          <w:rFonts w:ascii="Palatino Linotype" w:eastAsia="Calibri" w:hAnsi="Palatino Linotype" w:cs="Arial"/>
          <w:lang w:val="es-ES_tradnl"/>
        </w:rPr>
      </w:pPr>
      <w:r w:rsidRPr="00655CC9">
        <w:rPr>
          <w:rFonts w:ascii="Palatino Linotype" w:eastAsia="Calibri" w:hAnsi="Palatino Linotype"/>
          <w:lang w:val="es-ES_tradnl"/>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w:t>
      </w:r>
      <w:r w:rsidRPr="00655CC9">
        <w:rPr>
          <w:rFonts w:ascii="Palatino Linotype" w:eastAsia="Calibri" w:hAnsi="Palatino Linotype"/>
          <w:lang w:val="es-ES_tradnl"/>
        </w:rPr>
        <w:lastRenderedPageBreak/>
        <w:t>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3891241D" w14:textId="77777777" w:rsidR="00DA297E" w:rsidRPr="00655CC9" w:rsidRDefault="00DA297E" w:rsidP="007C1357">
      <w:pPr>
        <w:spacing w:line="360" w:lineRule="auto"/>
        <w:jc w:val="both"/>
        <w:rPr>
          <w:rFonts w:ascii="Palatino Linotype" w:eastAsia="Calibri" w:hAnsi="Palatino Linotype" w:cs="Arial"/>
          <w:lang w:val="es-ES_tradnl"/>
        </w:rPr>
      </w:pPr>
    </w:p>
    <w:p w14:paraId="33233225" w14:textId="77777777" w:rsidR="00DA297E" w:rsidRPr="00655CC9" w:rsidRDefault="00DA297E" w:rsidP="007C1357">
      <w:pPr>
        <w:widowControl w:val="0"/>
        <w:autoSpaceDE w:val="0"/>
        <w:autoSpaceDN w:val="0"/>
        <w:adjustRightInd w:val="0"/>
        <w:spacing w:line="360" w:lineRule="auto"/>
        <w:jc w:val="both"/>
        <w:rPr>
          <w:rFonts w:ascii="Palatino Linotype" w:eastAsia="Calibri" w:hAnsi="Palatino Linotype" w:cs="Arial"/>
          <w:b/>
          <w:sz w:val="26"/>
          <w:szCs w:val="26"/>
          <w:lang w:val="es-ES_tradnl"/>
        </w:rPr>
      </w:pPr>
      <w:r w:rsidRPr="00655CC9">
        <w:rPr>
          <w:rFonts w:ascii="Palatino Linotype" w:eastAsia="Calibri" w:hAnsi="Palatino Linotype"/>
          <w:b/>
          <w:sz w:val="26"/>
          <w:szCs w:val="26"/>
          <w:lang w:val="es-ES_tradnl"/>
        </w:rPr>
        <w:t>SEGUNDO</w:t>
      </w:r>
      <w:r w:rsidRPr="00655CC9">
        <w:rPr>
          <w:rFonts w:ascii="Palatino Linotype" w:eastAsia="Calibri" w:hAnsi="Palatino Linotype" w:cs="Arial"/>
          <w:b/>
          <w:sz w:val="26"/>
          <w:szCs w:val="26"/>
          <w:lang w:val="es-ES_tradnl"/>
        </w:rPr>
        <w:t>. Sobre los alcances del recurso de revisión.</w:t>
      </w:r>
    </w:p>
    <w:p w14:paraId="68478576" w14:textId="5BCF36FA" w:rsidR="00DA297E" w:rsidRPr="00655CC9" w:rsidRDefault="00DA297E" w:rsidP="007C1357">
      <w:pPr>
        <w:widowControl w:val="0"/>
        <w:autoSpaceDE w:val="0"/>
        <w:autoSpaceDN w:val="0"/>
        <w:adjustRightInd w:val="0"/>
        <w:spacing w:line="360" w:lineRule="auto"/>
        <w:jc w:val="both"/>
        <w:rPr>
          <w:rFonts w:ascii="Palatino Linotype" w:eastAsia="Calibri" w:hAnsi="Palatino Linotype" w:cs="Arial"/>
          <w:lang w:val="es-ES_tradnl"/>
        </w:rPr>
      </w:pPr>
      <w:r w:rsidRPr="00655CC9">
        <w:rPr>
          <w:rFonts w:ascii="Palatino Linotype" w:eastAsia="Calibri" w:hAnsi="Palatino Linotype" w:cs="Arial"/>
          <w:lang w:val="es-ES_tradnl"/>
        </w:rPr>
        <w:t xml:space="preserve">El </w:t>
      </w:r>
      <w:r w:rsidRPr="00655CC9">
        <w:rPr>
          <w:rFonts w:ascii="Palatino Linotype" w:eastAsia="Calibri" w:hAnsi="Palatino Linotype"/>
          <w:lang w:val="es-ES_tradnl"/>
        </w:rPr>
        <w:t>recurso</w:t>
      </w:r>
      <w:r w:rsidRPr="00655CC9">
        <w:rPr>
          <w:rFonts w:ascii="Palatino Linotype" w:eastAsia="Calibri" w:hAnsi="Palatino Linotype" w:cs="Arial"/>
          <w:lang w:val="es-ES_tradn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377D0D3B" w14:textId="77777777" w:rsidR="00F808D3" w:rsidRPr="00655CC9" w:rsidRDefault="00F808D3" w:rsidP="007C1357">
      <w:pPr>
        <w:widowControl w:val="0"/>
        <w:autoSpaceDE w:val="0"/>
        <w:autoSpaceDN w:val="0"/>
        <w:adjustRightInd w:val="0"/>
        <w:spacing w:line="360" w:lineRule="auto"/>
        <w:jc w:val="both"/>
        <w:rPr>
          <w:rFonts w:ascii="Palatino Linotype" w:eastAsia="Calibri" w:hAnsi="Palatino Linotype" w:cs="Arial"/>
          <w:lang w:val="es-ES_tradnl"/>
        </w:rPr>
      </w:pPr>
    </w:p>
    <w:p w14:paraId="1AD7FFC6" w14:textId="5371664D" w:rsidR="00DA297E" w:rsidRPr="00655CC9" w:rsidRDefault="00DA297E" w:rsidP="00F808D3">
      <w:pPr>
        <w:pStyle w:val="Sinespaciado"/>
        <w:rPr>
          <w:rFonts w:eastAsia="Calibri"/>
          <w:lang w:val="es-ES_tradnl"/>
        </w:rPr>
      </w:pPr>
      <w:r w:rsidRPr="00655CC9">
        <w:rPr>
          <w:rFonts w:eastAsia="Calibri"/>
          <w:b/>
          <w:lang w:val="es-ES_tradnl"/>
        </w:rPr>
        <w:t xml:space="preserve">Artículo 128. </w:t>
      </w:r>
      <w:r w:rsidRPr="00655CC9">
        <w:rPr>
          <w:rFonts w:eastAsia="Calibri"/>
          <w:u w:val="single"/>
          <w:lang w:val="es-ES_tradnl"/>
        </w:rPr>
        <w:t>El titular, por sí mismo o a través de su representante, podrán interponer un recurso de revisión ante el Instituto</w:t>
      </w:r>
      <w:r w:rsidRPr="00655CC9">
        <w:rPr>
          <w:rFonts w:eastAsia="Calibri"/>
          <w:lang w:val="es-ES_tradnl"/>
        </w:rPr>
        <w:t xml:space="preserve"> o la Unidad de Transparencia del responsable que haya conocido de la solicitud para el ejercicio de los derechos ARCO, </w:t>
      </w:r>
      <w:r w:rsidRPr="00655CC9">
        <w:rPr>
          <w:rFonts w:eastAsia="Calibri"/>
          <w:b/>
          <w:u w:val="single"/>
          <w:lang w:val="es-ES_tradnl"/>
        </w:rPr>
        <w:t>dentro de un plazo que no podrá exceder de quince días contados a partir del siguiente a la fecha de la notificación de la respuesta</w:t>
      </w:r>
      <w:r w:rsidRPr="00655CC9">
        <w:rPr>
          <w:rFonts w:eastAsia="Calibri"/>
          <w:lang w:val="es-ES_tradnl"/>
        </w:rPr>
        <w:t xml:space="preserve">. </w:t>
      </w:r>
    </w:p>
    <w:p w14:paraId="6B7C04BA" w14:textId="77777777" w:rsidR="00DA297E" w:rsidRPr="00655CC9" w:rsidRDefault="00DA297E" w:rsidP="00F808D3">
      <w:pPr>
        <w:pStyle w:val="Sinespaciado"/>
        <w:rPr>
          <w:rFonts w:eastAsia="Calibri"/>
          <w:lang w:val="es-ES_tradnl"/>
        </w:rPr>
      </w:pPr>
    </w:p>
    <w:p w14:paraId="0FCE3D72" w14:textId="43506439" w:rsidR="00DA297E" w:rsidRPr="00655CC9" w:rsidRDefault="00DA297E" w:rsidP="00F808D3">
      <w:pPr>
        <w:pStyle w:val="Sinespaciado"/>
        <w:rPr>
          <w:rFonts w:eastAsia="Calibri"/>
        </w:rPr>
      </w:pPr>
      <w:r w:rsidRPr="00655CC9">
        <w:rPr>
          <w:rFonts w:eastAsia="Calibri"/>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13731DCA" w14:textId="77777777" w:rsidR="00DA297E" w:rsidRPr="00655CC9" w:rsidRDefault="00DA297E" w:rsidP="007C1357">
      <w:pPr>
        <w:widowControl w:val="0"/>
        <w:autoSpaceDE w:val="0"/>
        <w:autoSpaceDN w:val="0"/>
        <w:adjustRightInd w:val="0"/>
        <w:spacing w:line="360" w:lineRule="auto"/>
        <w:jc w:val="both"/>
        <w:rPr>
          <w:rFonts w:ascii="Palatino Linotype" w:eastAsia="Calibri" w:hAnsi="Palatino Linotype" w:cs="Arial"/>
          <w:lang w:val="es-ES_tradnl"/>
        </w:rPr>
      </w:pPr>
    </w:p>
    <w:p w14:paraId="424A9BEF" w14:textId="0EC47639" w:rsidR="00DA297E" w:rsidRPr="00655CC9" w:rsidRDefault="00DA297E" w:rsidP="007C1357">
      <w:pPr>
        <w:widowControl w:val="0"/>
        <w:autoSpaceDE w:val="0"/>
        <w:autoSpaceDN w:val="0"/>
        <w:adjustRightInd w:val="0"/>
        <w:spacing w:line="360" w:lineRule="auto"/>
        <w:jc w:val="both"/>
        <w:rPr>
          <w:rFonts w:ascii="Palatino Linotype" w:eastAsia="Calibri" w:hAnsi="Palatino Linotype" w:cs="Arial"/>
          <w:lang w:val="es-ES_tradnl"/>
        </w:rPr>
      </w:pPr>
      <w:r w:rsidRPr="00655CC9">
        <w:rPr>
          <w:rFonts w:ascii="Palatino Linotype" w:eastAsia="Calibri" w:hAnsi="Palatino Linotype" w:cs="Arial"/>
          <w:lang w:val="es-ES_tradnl"/>
        </w:rPr>
        <w:t xml:space="preserve">En esa tesitura, atendiendo a que </w:t>
      </w:r>
      <w:r w:rsidR="00F808D3" w:rsidRPr="00655CC9">
        <w:rPr>
          <w:rFonts w:ascii="Palatino Linotype" w:eastAsia="Calibri" w:hAnsi="Palatino Linotype" w:cs="Arial"/>
          <w:lang w:val="es-ES_tradnl"/>
        </w:rPr>
        <w:t>e</w:t>
      </w:r>
      <w:r w:rsidRPr="00655CC9">
        <w:rPr>
          <w:rFonts w:ascii="Palatino Linotype" w:eastAsia="Calibri" w:hAnsi="Palatino Linotype" w:cs="Arial"/>
          <w:lang w:val="es-ES_tradnl"/>
        </w:rPr>
        <w:t xml:space="preserve">l Sujeto Obligado notificó la respuesta a la </w:t>
      </w:r>
      <w:r w:rsidRPr="00655CC9">
        <w:rPr>
          <w:rFonts w:ascii="Palatino Linotype" w:eastAsia="Calibri" w:hAnsi="Palatino Linotype"/>
          <w:lang w:val="es-ES_tradnl"/>
        </w:rPr>
        <w:t>solicitud de acceso a datos personales</w:t>
      </w:r>
      <w:r w:rsidRPr="00655CC9">
        <w:rPr>
          <w:rFonts w:ascii="Palatino Linotype" w:eastAsia="Calibri" w:hAnsi="Palatino Linotype" w:cs="Arial"/>
          <w:lang w:val="es-ES_tradnl"/>
        </w:rPr>
        <w:t xml:space="preserve"> el día</w:t>
      </w:r>
      <w:r w:rsidRPr="00655CC9">
        <w:rPr>
          <w:rFonts w:ascii="Palatino Linotype" w:eastAsia="Calibri" w:hAnsi="Palatino Linotype" w:cs="Arial"/>
          <w:b/>
          <w:lang w:val="es-ES_tradnl"/>
        </w:rPr>
        <w:t xml:space="preserve"> </w:t>
      </w:r>
      <w:r w:rsidR="00C659EC" w:rsidRPr="00655CC9">
        <w:rPr>
          <w:rFonts w:ascii="Palatino Linotype" w:eastAsia="Calibri" w:hAnsi="Palatino Linotype" w:cs="Arial"/>
          <w:b/>
          <w:lang w:val="es-ES_tradnl"/>
        </w:rPr>
        <w:t>dieciocho de marzo</w:t>
      </w:r>
      <w:r w:rsidR="007A63E3" w:rsidRPr="00655CC9">
        <w:rPr>
          <w:rFonts w:ascii="Palatino Linotype" w:eastAsia="Calibri" w:hAnsi="Palatino Linotype" w:cs="Arial"/>
          <w:b/>
          <w:lang w:val="es-ES_tradnl"/>
        </w:rPr>
        <w:t xml:space="preserve"> de dos mil veinticinco</w:t>
      </w:r>
      <w:r w:rsidRPr="00655CC9">
        <w:rPr>
          <w:rFonts w:ascii="Palatino Linotype" w:eastAsia="Calibri" w:hAnsi="Palatino Linotype" w:cs="Arial"/>
          <w:lang w:val="es-ES_tradnl"/>
        </w:rPr>
        <w:t xml:space="preserve">, el plazo de quince días hábiles previsto en el artículo 128, de la Ley de Protección de Datos Personales en Posesión de Sujetos Obligados del Estado de México y Municipios; en ese </w:t>
      </w:r>
      <w:r w:rsidRPr="00655CC9">
        <w:rPr>
          <w:rFonts w:ascii="Palatino Linotype" w:eastAsia="Calibri" w:hAnsi="Palatino Linotype" w:cs="Arial"/>
          <w:lang w:val="es-ES_tradnl"/>
        </w:rPr>
        <w:lastRenderedPageBreak/>
        <w:t xml:space="preserve">tenor, si el recurso de revisión que nos ocupa, se interpuso </w:t>
      </w:r>
      <w:r w:rsidR="00F808D3" w:rsidRPr="00655CC9">
        <w:rPr>
          <w:rFonts w:ascii="Palatino Linotype" w:eastAsia="Calibri" w:hAnsi="Palatino Linotype" w:cs="Arial"/>
          <w:lang w:val="es-ES_tradnl"/>
        </w:rPr>
        <w:t xml:space="preserve">el mismo día de la emisión </w:t>
      </w:r>
      <w:r w:rsidRPr="00655CC9">
        <w:rPr>
          <w:rFonts w:ascii="Palatino Linotype" w:eastAsia="Calibri" w:hAnsi="Palatino Linotype" w:cs="Arial"/>
          <w:lang w:val="es-ES_tradnl"/>
        </w:rPr>
        <w:t>de la respuesta por parte del Sujeto Obligado, éste se encuentra dentro de los márgenes temporales previstos en el artículo antes mencionado.</w:t>
      </w:r>
    </w:p>
    <w:p w14:paraId="434CF997" w14:textId="77777777" w:rsidR="00DA297E" w:rsidRPr="00655CC9" w:rsidRDefault="00DA297E" w:rsidP="007C1357">
      <w:pPr>
        <w:widowControl w:val="0"/>
        <w:autoSpaceDE w:val="0"/>
        <w:autoSpaceDN w:val="0"/>
        <w:adjustRightInd w:val="0"/>
        <w:spacing w:line="360" w:lineRule="auto"/>
        <w:jc w:val="both"/>
        <w:rPr>
          <w:rFonts w:ascii="Palatino Linotype" w:eastAsia="Calibri" w:hAnsi="Palatino Linotype" w:cs="Arial"/>
          <w:lang w:val="es-ES_tradnl"/>
        </w:rPr>
      </w:pPr>
    </w:p>
    <w:p w14:paraId="23F62D3F" w14:textId="77777777" w:rsidR="006B3676" w:rsidRPr="00655CC9" w:rsidRDefault="006B3676" w:rsidP="006B3676">
      <w:pPr>
        <w:widowControl w:val="0"/>
        <w:autoSpaceDE w:val="0"/>
        <w:autoSpaceDN w:val="0"/>
        <w:adjustRightInd w:val="0"/>
        <w:spacing w:line="360" w:lineRule="auto"/>
        <w:jc w:val="both"/>
        <w:rPr>
          <w:rFonts w:ascii="Palatino Linotype" w:hAnsi="Palatino Linotype" w:cs="Arial"/>
          <w:b/>
          <w:sz w:val="28"/>
          <w:szCs w:val="28"/>
          <w:lang w:val="es-ES_tradnl"/>
        </w:rPr>
      </w:pPr>
      <w:r w:rsidRPr="00655CC9">
        <w:rPr>
          <w:rFonts w:ascii="Palatino Linotype" w:hAnsi="Palatino Linotype" w:cs="Arial"/>
          <w:b/>
          <w:sz w:val="28"/>
          <w:szCs w:val="28"/>
          <w:lang w:val="es-ES_tradnl"/>
        </w:rPr>
        <w:t xml:space="preserve">TERCERO. Estudio de improcedencia y sobreseimiento. </w:t>
      </w:r>
    </w:p>
    <w:p w14:paraId="363287B4" w14:textId="77777777" w:rsidR="006B3676" w:rsidRPr="00655CC9" w:rsidRDefault="006B3676" w:rsidP="006B3676">
      <w:pPr>
        <w:widowControl w:val="0"/>
        <w:autoSpaceDE w:val="0"/>
        <w:autoSpaceDN w:val="0"/>
        <w:adjustRightInd w:val="0"/>
        <w:spacing w:line="360" w:lineRule="auto"/>
        <w:jc w:val="both"/>
        <w:rPr>
          <w:rFonts w:ascii="Palatino Linotype" w:hAnsi="Palatino Linotype" w:cs="Arial"/>
          <w:szCs w:val="28"/>
          <w:lang w:val="es-ES_tradnl"/>
        </w:rPr>
      </w:pPr>
      <w:r w:rsidRPr="00655CC9">
        <w:rPr>
          <w:rFonts w:ascii="Palatino Linotype" w:hAnsi="Palatino Linotype" w:cs="Arial"/>
          <w:szCs w:val="28"/>
          <w:lang w:val="es-ES_tradnl"/>
        </w:rPr>
        <w:t>Este Instituto, previo al análisis de fondo del presente asunto, realizará el estudio preferente y oficioso de las causales de sobreseimiento e improcedencia, en lo que corresponde a las causales de improcedencia, el artículo 112, de la Ley General de Protección de Datos en Posesión de Sujetos Obligados, indica las siguientes:</w:t>
      </w:r>
    </w:p>
    <w:p w14:paraId="4B8CD89C" w14:textId="77777777" w:rsidR="006B3676" w:rsidRPr="00655CC9" w:rsidRDefault="006B3676" w:rsidP="006B3676">
      <w:pPr>
        <w:widowControl w:val="0"/>
        <w:autoSpaceDE w:val="0"/>
        <w:autoSpaceDN w:val="0"/>
        <w:adjustRightInd w:val="0"/>
        <w:spacing w:line="360" w:lineRule="auto"/>
        <w:jc w:val="both"/>
        <w:rPr>
          <w:rFonts w:ascii="Palatino Linotype" w:hAnsi="Palatino Linotype" w:cs="Arial"/>
          <w:szCs w:val="28"/>
          <w:lang w:val="es-ES_tradnl"/>
        </w:rPr>
      </w:pPr>
    </w:p>
    <w:p w14:paraId="755EB8CD" w14:textId="77777777" w:rsidR="006B3676" w:rsidRPr="00655CC9" w:rsidRDefault="006B3676" w:rsidP="006B3676">
      <w:pPr>
        <w:widowControl w:val="0"/>
        <w:autoSpaceDE w:val="0"/>
        <w:autoSpaceDN w:val="0"/>
        <w:adjustRightInd w:val="0"/>
        <w:ind w:left="567" w:right="618"/>
        <w:jc w:val="both"/>
        <w:rPr>
          <w:rFonts w:ascii="Palatino Linotype" w:hAnsi="Palatino Linotype" w:cs="Arial"/>
          <w:bCs/>
          <w:i/>
          <w:sz w:val="22"/>
          <w:szCs w:val="28"/>
          <w:lang w:val="es-ES_tradnl"/>
        </w:rPr>
      </w:pPr>
      <w:r w:rsidRPr="00655CC9">
        <w:rPr>
          <w:rFonts w:ascii="Palatino Linotype" w:hAnsi="Palatino Linotype" w:cs="Arial"/>
          <w:b/>
          <w:i/>
          <w:sz w:val="22"/>
          <w:szCs w:val="28"/>
          <w:lang w:val="es-ES_tradnl"/>
        </w:rPr>
        <w:t xml:space="preserve">Artículo 112. </w:t>
      </w:r>
      <w:r w:rsidRPr="00655CC9">
        <w:rPr>
          <w:rFonts w:ascii="Palatino Linotype" w:hAnsi="Palatino Linotype" w:cs="Arial"/>
          <w:bCs/>
          <w:i/>
          <w:sz w:val="22"/>
          <w:szCs w:val="28"/>
          <w:lang w:val="es-ES_tradnl"/>
        </w:rPr>
        <w:t>El recurso de revisión podrá ser desechado por improcedente cuando:</w:t>
      </w:r>
    </w:p>
    <w:p w14:paraId="4DE49266" w14:textId="77777777" w:rsidR="006B3676" w:rsidRPr="00655CC9"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655CC9">
        <w:rPr>
          <w:rFonts w:ascii="Palatino Linotype" w:hAnsi="Palatino Linotype" w:cs="Arial"/>
          <w:i/>
          <w:sz w:val="22"/>
          <w:szCs w:val="28"/>
          <w:lang w:val="es-ES_tradnl"/>
        </w:rPr>
        <w:t>I. Sea extemporáneo por haber transcurrido el plazo establecido en el artículo 103 de la presente Ley;</w:t>
      </w:r>
    </w:p>
    <w:p w14:paraId="54D12BB2" w14:textId="77777777" w:rsidR="006B3676" w:rsidRPr="00655CC9"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655CC9">
        <w:rPr>
          <w:rFonts w:ascii="Palatino Linotype" w:hAnsi="Palatino Linotype" w:cs="Arial"/>
          <w:i/>
          <w:sz w:val="22"/>
          <w:szCs w:val="28"/>
          <w:lang w:val="es-ES_tradnl"/>
        </w:rPr>
        <w:t>II. El titular o su representante no acrediten debidamente su identidad y personalidad de este último;</w:t>
      </w:r>
    </w:p>
    <w:p w14:paraId="778620EE" w14:textId="43552D70" w:rsidR="006B3676" w:rsidRPr="00655CC9" w:rsidRDefault="006B3676" w:rsidP="006B3676">
      <w:pPr>
        <w:widowControl w:val="0"/>
        <w:autoSpaceDE w:val="0"/>
        <w:autoSpaceDN w:val="0"/>
        <w:adjustRightInd w:val="0"/>
        <w:ind w:left="567" w:right="618"/>
        <w:jc w:val="both"/>
        <w:rPr>
          <w:rFonts w:ascii="Palatino Linotype" w:hAnsi="Palatino Linotype" w:cs="Arial"/>
          <w:i/>
          <w:sz w:val="22"/>
          <w:szCs w:val="22"/>
        </w:rPr>
      </w:pPr>
      <w:r w:rsidRPr="00655CC9">
        <w:rPr>
          <w:rFonts w:ascii="Palatino Linotype" w:hAnsi="Palatino Linotype" w:cs="Arial"/>
          <w:i/>
          <w:sz w:val="22"/>
          <w:szCs w:val="22"/>
        </w:rPr>
        <w:t>III. El Instituto o, en su caso, los Organismos garantes hayan resuelto anteriormente en definitiva sobre la materia del mismo;</w:t>
      </w:r>
    </w:p>
    <w:p w14:paraId="6FAA3F6C" w14:textId="35BCF4B6" w:rsidR="006B3676" w:rsidRPr="00655CC9"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655CC9">
        <w:rPr>
          <w:rFonts w:ascii="Palatino Linotype" w:hAnsi="Palatino Linotype" w:cs="Arial"/>
          <w:i/>
          <w:sz w:val="22"/>
          <w:szCs w:val="28"/>
          <w:lang w:val="es-ES_tradnl"/>
        </w:rPr>
        <w:t>IV. No se actualice alguna de las causales del recurso de revisión previstas en el artículo 104 de la presente Ley;</w:t>
      </w:r>
    </w:p>
    <w:p w14:paraId="715000E7" w14:textId="2D04A77C" w:rsidR="006B3676" w:rsidRPr="00655CC9"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655CC9">
        <w:rPr>
          <w:rFonts w:ascii="Palatino Linotype" w:hAnsi="Palatino Linotype" w:cs="Arial"/>
          <w:i/>
          <w:sz w:val="22"/>
          <w:szCs w:val="28"/>
          <w:lang w:val="es-ES_tradnl"/>
        </w:rPr>
        <w:t>V. Se esté tramitando ante los tribunales competentes algún recurso o medio de defensa interpuesto por el recurrente, o en su caso, por el tercero interesado, en contra del acto recurrido ante el Instituto o los Organismos garantes, según corresponda;</w:t>
      </w:r>
    </w:p>
    <w:p w14:paraId="253F82B3" w14:textId="269A10D2" w:rsidR="006B3676" w:rsidRPr="00655CC9"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655CC9">
        <w:rPr>
          <w:rFonts w:ascii="Palatino Linotype" w:hAnsi="Palatino Linotype" w:cs="Arial"/>
          <w:i/>
          <w:sz w:val="22"/>
          <w:szCs w:val="28"/>
          <w:lang w:val="es-ES_tradnl"/>
        </w:rPr>
        <w:t xml:space="preserve">VI. El recurrente modifique o amplíe su petición en el recurso de revisión, únicamente respecto de los nuevos contenidos, o </w:t>
      </w:r>
    </w:p>
    <w:p w14:paraId="1085CC58" w14:textId="77777777" w:rsidR="006B3676" w:rsidRPr="00655CC9"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655CC9">
        <w:rPr>
          <w:rFonts w:ascii="Palatino Linotype" w:hAnsi="Palatino Linotype" w:cs="Arial"/>
          <w:i/>
          <w:sz w:val="22"/>
          <w:szCs w:val="28"/>
          <w:lang w:val="es-ES_tradnl"/>
        </w:rPr>
        <w:t>VII. El recurrente no acredite interés jurídico.</w:t>
      </w:r>
    </w:p>
    <w:p w14:paraId="77FD1219" w14:textId="77777777" w:rsidR="006B3676" w:rsidRPr="00655CC9" w:rsidRDefault="006B3676" w:rsidP="006B3676">
      <w:pPr>
        <w:widowControl w:val="0"/>
        <w:autoSpaceDE w:val="0"/>
        <w:autoSpaceDN w:val="0"/>
        <w:adjustRightInd w:val="0"/>
        <w:spacing w:line="360" w:lineRule="auto"/>
        <w:jc w:val="both"/>
        <w:rPr>
          <w:rFonts w:ascii="Palatino Linotype" w:hAnsi="Palatino Linotype" w:cs="Arial"/>
          <w:szCs w:val="28"/>
          <w:lang w:val="es-ES_tradnl"/>
        </w:rPr>
      </w:pPr>
    </w:p>
    <w:p w14:paraId="42AC49E2" w14:textId="50082CCC" w:rsidR="006B3676" w:rsidRPr="00655CC9" w:rsidRDefault="006B3676" w:rsidP="006B3676">
      <w:pPr>
        <w:widowControl w:val="0"/>
        <w:autoSpaceDE w:val="0"/>
        <w:autoSpaceDN w:val="0"/>
        <w:adjustRightInd w:val="0"/>
        <w:spacing w:line="360" w:lineRule="auto"/>
        <w:jc w:val="both"/>
        <w:rPr>
          <w:rFonts w:ascii="Palatino Linotype" w:hAnsi="Palatino Linotype" w:cs="Arial"/>
          <w:szCs w:val="28"/>
          <w:lang w:val="es-ES_tradnl"/>
        </w:rPr>
      </w:pPr>
      <w:r w:rsidRPr="00655CC9">
        <w:rPr>
          <w:rFonts w:ascii="Palatino Linotype" w:hAnsi="Palatino Linotype" w:cs="Arial"/>
          <w:szCs w:val="28"/>
          <w:lang w:val="es-ES_tradnl"/>
        </w:rPr>
        <w:t>Con base en lo establecido en el precepto de referencia, a la fecha que se resuelve no se actualizan las caus</w:t>
      </w:r>
      <w:r w:rsidR="00672752" w:rsidRPr="00655CC9">
        <w:rPr>
          <w:rFonts w:ascii="Palatino Linotype" w:hAnsi="Palatino Linotype" w:cs="Arial"/>
          <w:szCs w:val="28"/>
          <w:lang w:val="es-ES_tradnl"/>
        </w:rPr>
        <w:t>ales de improcedencia; ya que el</w:t>
      </w:r>
      <w:r w:rsidRPr="00655CC9">
        <w:rPr>
          <w:rFonts w:ascii="Palatino Linotype" w:hAnsi="Palatino Linotype" w:cs="Arial"/>
          <w:szCs w:val="28"/>
          <w:lang w:val="es-ES_tradnl"/>
        </w:rPr>
        <w:t xml:space="preserve"> Recurrente presentó su recurso dentro del término de quince días otorgado por la Ley; no se tiene conocimiento de que </w:t>
      </w:r>
      <w:r w:rsidRPr="00655CC9">
        <w:rPr>
          <w:rFonts w:ascii="Palatino Linotype" w:hAnsi="Palatino Linotype" w:cs="Arial"/>
          <w:szCs w:val="28"/>
          <w:lang w:val="es-ES_tradnl"/>
        </w:rPr>
        <w:lastRenderedPageBreak/>
        <w:t xml:space="preserve">el Instituto o, en su caso, los Organismos garantes hayan resuelto anteriormente en definitiva sobre la materia del mismo; se actualizó la causal de procedencia establecida en la fracción II, del artículo 103, de la Ley General de Protección de Datos en Posesión de Sujetos  Obligados: no se tiene conocimiento de que se esté tramitando ante los tribunales competentes algún recurso o medio de defensa interpuesto por la Recurrente, o en su caso, por el tercero interesado, en contra del acto recurrido ante el Instituto o los Organismos garantes, el particular no amplió su solicitud a través de su medio de impugnación y no fue necesario que la </w:t>
      </w:r>
      <w:r w:rsidRPr="00655CC9">
        <w:rPr>
          <w:rFonts w:ascii="Palatino Linotype" w:hAnsi="Palatino Linotype" w:cs="Arial"/>
          <w:b/>
          <w:szCs w:val="28"/>
          <w:lang w:val="es-ES_tradnl"/>
        </w:rPr>
        <w:t>Recurrente</w:t>
      </w:r>
      <w:r w:rsidRPr="00655CC9">
        <w:rPr>
          <w:rFonts w:ascii="Palatino Linotype" w:hAnsi="Palatino Linotype" w:cs="Arial"/>
          <w:szCs w:val="28"/>
          <w:lang w:val="es-ES_tradnl"/>
        </w:rPr>
        <w:t xml:space="preserve"> acreditara su interés jurídico, ya que es la titular de los datos personales solicitados.</w:t>
      </w:r>
    </w:p>
    <w:p w14:paraId="669B463B" w14:textId="77777777" w:rsidR="006B3676" w:rsidRPr="00655CC9" w:rsidRDefault="006B3676" w:rsidP="006B3676">
      <w:pPr>
        <w:widowControl w:val="0"/>
        <w:autoSpaceDE w:val="0"/>
        <w:autoSpaceDN w:val="0"/>
        <w:adjustRightInd w:val="0"/>
        <w:spacing w:line="360" w:lineRule="auto"/>
        <w:jc w:val="both"/>
        <w:rPr>
          <w:rFonts w:ascii="Palatino Linotype" w:hAnsi="Palatino Linotype" w:cs="Arial"/>
          <w:szCs w:val="28"/>
          <w:lang w:val="es-ES_tradnl"/>
        </w:rPr>
      </w:pPr>
    </w:p>
    <w:p w14:paraId="6DE22B2F" w14:textId="77777777" w:rsidR="006B3676" w:rsidRPr="00655CC9" w:rsidRDefault="006B3676" w:rsidP="006B3676">
      <w:pPr>
        <w:widowControl w:val="0"/>
        <w:autoSpaceDE w:val="0"/>
        <w:autoSpaceDN w:val="0"/>
        <w:adjustRightInd w:val="0"/>
        <w:spacing w:line="360" w:lineRule="auto"/>
        <w:jc w:val="both"/>
        <w:rPr>
          <w:rFonts w:ascii="Palatino Linotype" w:hAnsi="Palatino Linotype" w:cs="Arial"/>
          <w:szCs w:val="28"/>
          <w:lang w:val="es-ES_tradnl"/>
        </w:rPr>
      </w:pPr>
      <w:r w:rsidRPr="00655CC9">
        <w:rPr>
          <w:rFonts w:ascii="Palatino Linotype" w:hAnsi="Palatino Linotype" w:cs="Arial"/>
          <w:szCs w:val="28"/>
          <w:lang w:val="es-ES_tradnl"/>
        </w:rPr>
        <w:t>Por otra parte, el artículo 113, de la Ley General de Protección de Datos en Posesión de Sujetos Obligados, consagra lo relativo al sobreseimiento, en los términos siguientes:</w:t>
      </w:r>
    </w:p>
    <w:p w14:paraId="189F9D8B" w14:textId="77777777" w:rsidR="006B3676" w:rsidRPr="00655CC9" w:rsidRDefault="006B3676" w:rsidP="006B3676">
      <w:pPr>
        <w:widowControl w:val="0"/>
        <w:autoSpaceDE w:val="0"/>
        <w:autoSpaceDN w:val="0"/>
        <w:adjustRightInd w:val="0"/>
        <w:spacing w:line="360" w:lineRule="auto"/>
        <w:jc w:val="both"/>
        <w:rPr>
          <w:rFonts w:ascii="Palatino Linotype" w:hAnsi="Palatino Linotype" w:cs="Arial"/>
          <w:szCs w:val="28"/>
          <w:lang w:val="es-ES_tradnl"/>
        </w:rPr>
      </w:pPr>
    </w:p>
    <w:p w14:paraId="3E6B8D87" w14:textId="77777777" w:rsidR="006B3676" w:rsidRPr="00655CC9"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655CC9">
        <w:rPr>
          <w:rFonts w:ascii="Palatino Linotype" w:hAnsi="Palatino Linotype" w:cs="Arial"/>
          <w:b/>
          <w:i/>
          <w:sz w:val="22"/>
          <w:szCs w:val="28"/>
          <w:lang w:val="es-ES_tradnl"/>
        </w:rPr>
        <w:t xml:space="preserve">Artículo 113. </w:t>
      </w:r>
      <w:r w:rsidRPr="00655CC9">
        <w:rPr>
          <w:rFonts w:ascii="Palatino Linotype" w:hAnsi="Palatino Linotype" w:cs="Arial"/>
          <w:i/>
          <w:sz w:val="22"/>
          <w:szCs w:val="28"/>
          <w:lang w:val="es-ES_tradnl"/>
        </w:rPr>
        <w:t xml:space="preserve">El recurso de revisión solo podrá ser sobreseído cuando: </w:t>
      </w:r>
    </w:p>
    <w:p w14:paraId="3F213814" w14:textId="77777777" w:rsidR="006B3676" w:rsidRPr="00655CC9"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655CC9">
        <w:rPr>
          <w:rFonts w:ascii="Palatino Linotype" w:hAnsi="Palatino Linotype" w:cs="Arial"/>
          <w:i/>
          <w:sz w:val="22"/>
          <w:szCs w:val="28"/>
          <w:lang w:val="es-ES_tradnl"/>
        </w:rPr>
        <w:t xml:space="preserve">I. El recurrente se desista expresamente; </w:t>
      </w:r>
    </w:p>
    <w:p w14:paraId="78712E67" w14:textId="77777777" w:rsidR="006B3676" w:rsidRPr="00655CC9"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655CC9">
        <w:rPr>
          <w:rFonts w:ascii="Palatino Linotype" w:hAnsi="Palatino Linotype" w:cs="Arial"/>
          <w:i/>
          <w:sz w:val="22"/>
          <w:szCs w:val="28"/>
          <w:lang w:val="es-ES_tradnl"/>
        </w:rPr>
        <w:t xml:space="preserve">II. El recurrente fallezca; </w:t>
      </w:r>
    </w:p>
    <w:p w14:paraId="290E2F23" w14:textId="77777777" w:rsidR="006B3676" w:rsidRPr="00655CC9"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655CC9">
        <w:rPr>
          <w:rFonts w:ascii="Palatino Linotype" w:hAnsi="Palatino Linotype" w:cs="Arial"/>
          <w:i/>
          <w:sz w:val="22"/>
          <w:szCs w:val="28"/>
          <w:lang w:val="es-ES_tradnl"/>
        </w:rPr>
        <w:t xml:space="preserve">III. Admitido el recurso de revisión, se actualice alguna causal de improcedencia en los términos de la presente Ley; </w:t>
      </w:r>
    </w:p>
    <w:p w14:paraId="20332629" w14:textId="77777777" w:rsidR="006B3676" w:rsidRPr="00655CC9"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655CC9">
        <w:rPr>
          <w:rFonts w:ascii="Palatino Linotype" w:hAnsi="Palatino Linotype" w:cs="Arial"/>
          <w:i/>
          <w:sz w:val="22"/>
          <w:szCs w:val="28"/>
          <w:lang w:val="es-ES_tradnl"/>
        </w:rPr>
        <w:t xml:space="preserve">IV. El responsable modifique o revoque su respuesta de tal manera que el recurso de revisión quede sin materia, o </w:t>
      </w:r>
    </w:p>
    <w:p w14:paraId="654BC191" w14:textId="77777777" w:rsidR="006B3676" w:rsidRPr="00655CC9"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655CC9">
        <w:rPr>
          <w:rFonts w:ascii="Palatino Linotype" w:hAnsi="Palatino Linotype" w:cs="Arial"/>
          <w:i/>
          <w:sz w:val="22"/>
          <w:szCs w:val="28"/>
          <w:lang w:val="es-ES_tradnl"/>
        </w:rPr>
        <w:t>V. Quede sin materia el recurso de revisión</w:t>
      </w:r>
    </w:p>
    <w:p w14:paraId="264DCD3D" w14:textId="77777777" w:rsidR="006B3676" w:rsidRPr="00655CC9" w:rsidRDefault="006B3676" w:rsidP="006B3676">
      <w:pPr>
        <w:widowControl w:val="0"/>
        <w:autoSpaceDE w:val="0"/>
        <w:autoSpaceDN w:val="0"/>
        <w:adjustRightInd w:val="0"/>
        <w:spacing w:line="360" w:lineRule="auto"/>
        <w:jc w:val="both"/>
        <w:rPr>
          <w:rFonts w:ascii="Palatino Linotype" w:hAnsi="Palatino Linotype" w:cs="Arial"/>
          <w:szCs w:val="28"/>
          <w:lang w:val="es-ES_tradnl"/>
        </w:rPr>
      </w:pPr>
    </w:p>
    <w:p w14:paraId="11C776C7" w14:textId="6DE25548" w:rsidR="006B3676" w:rsidRPr="00655CC9" w:rsidRDefault="006B3676" w:rsidP="006B3676">
      <w:pPr>
        <w:widowControl w:val="0"/>
        <w:autoSpaceDE w:val="0"/>
        <w:autoSpaceDN w:val="0"/>
        <w:adjustRightInd w:val="0"/>
        <w:spacing w:line="360" w:lineRule="auto"/>
        <w:jc w:val="both"/>
        <w:rPr>
          <w:rFonts w:ascii="Palatino Linotype" w:hAnsi="Palatino Linotype" w:cs="Arial"/>
          <w:szCs w:val="28"/>
          <w:lang w:val="es-ES_tradnl"/>
        </w:rPr>
      </w:pPr>
      <w:r w:rsidRPr="00655CC9">
        <w:rPr>
          <w:rFonts w:ascii="Palatino Linotype" w:hAnsi="Palatino Linotype" w:cs="Arial"/>
          <w:szCs w:val="28"/>
          <w:lang w:val="es-ES_tradnl"/>
        </w:rPr>
        <w:t xml:space="preserve">Del análisis  realizado por este Instituto, no se actualiza ninguna de las causales de sobreseimiento mencionadas; ya que la Recurrente no se ha desistido del recurso, no existe constancia que permita inferir que el particular haya fallecido; asimismo, no se advierte que el recurso de revisión actualice alguna causal de improcedencia establecida en el artículo 112, de la Ley citada, asimismo el responsable no modificó su respuesta de </w:t>
      </w:r>
      <w:r w:rsidRPr="00655CC9">
        <w:rPr>
          <w:rFonts w:ascii="Palatino Linotype" w:hAnsi="Palatino Linotype" w:cs="Arial"/>
          <w:szCs w:val="28"/>
          <w:lang w:val="es-ES_tradnl"/>
        </w:rPr>
        <w:lastRenderedPageBreak/>
        <w:t>tal manera que haya dejado sin materia el presente recurso de revisión ni que se haya quedado sin materia por alguna otra circunstancia, siendo oportuno entrar al estudio de fondo del presente asunto.</w:t>
      </w:r>
    </w:p>
    <w:p w14:paraId="1EEEA4D8" w14:textId="77777777" w:rsidR="006B3676" w:rsidRPr="00655CC9" w:rsidRDefault="006B3676" w:rsidP="006B3676">
      <w:pPr>
        <w:widowControl w:val="0"/>
        <w:autoSpaceDE w:val="0"/>
        <w:autoSpaceDN w:val="0"/>
        <w:adjustRightInd w:val="0"/>
        <w:spacing w:line="360" w:lineRule="auto"/>
        <w:jc w:val="both"/>
        <w:rPr>
          <w:rFonts w:ascii="Palatino Linotype" w:hAnsi="Palatino Linotype" w:cs="Arial"/>
          <w:szCs w:val="28"/>
          <w:lang w:val="es-ES_tradnl"/>
        </w:rPr>
      </w:pPr>
    </w:p>
    <w:p w14:paraId="2C246D10" w14:textId="77777777" w:rsidR="006B3676" w:rsidRPr="00655CC9" w:rsidRDefault="006B3676" w:rsidP="006B3676">
      <w:pPr>
        <w:widowControl w:val="0"/>
        <w:autoSpaceDE w:val="0"/>
        <w:autoSpaceDN w:val="0"/>
        <w:adjustRightInd w:val="0"/>
        <w:spacing w:line="360" w:lineRule="auto"/>
        <w:jc w:val="both"/>
        <w:rPr>
          <w:rFonts w:ascii="Palatino Linotype" w:hAnsi="Palatino Linotype" w:cs="Arial"/>
          <w:b/>
          <w:sz w:val="28"/>
          <w:szCs w:val="28"/>
          <w:lang w:val="es-ES_tradnl"/>
        </w:rPr>
      </w:pPr>
      <w:r w:rsidRPr="00655CC9">
        <w:rPr>
          <w:rFonts w:ascii="Palatino Linotype" w:hAnsi="Palatino Linotype" w:cs="Arial"/>
          <w:b/>
          <w:sz w:val="28"/>
          <w:szCs w:val="28"/>
          <w:lang w:val="es-ES_tradnl"/>
        </w:rPr>
        <w:t>CUARTO. Estudio y resolución del asunto</w:t>
      </w:r>
      <w:r w:rsidRPr="00655CC9">
        <w:rPr>
          <w:rFonts w:ascii="Palatino Linotype" w:hAnsi="Palatino Linotype"/>
          <w:b/>
          <w:sz w:val="28"/>
          <w:szCs w:val="28"/>
          <w:lang w:val="es-ES_tradnl"/>
        </w:rPr>
        <w:t xml:space="preserve">. </w:t>
      </w:r>
    </w:p>
    <w:p w14:paraId="2B26AB76" w14:textId="09A9A9AC" w:rsidR="00DA297E" w:rsidRPr="00655CC9" w:rsidRDefault="00DA297E" w:rsidP="007C1357">
      <w:pPr>
        <w:widowControl w:val="0"/>
        <w:autoSpaceDE w:val="0"/>
        <w:autoSpaceDN w:val="0"/>
        <w:adjustRightInd w:val="0"/>
        <w:spacing w:line="360" w:lineRule="auto"/>
        <w:jc w:val="both"/>
        <w:rPr>
          <w:rFonts w:ascii="Palatino Linotype" w:eastAsia="Calibri" w:hAnsi="Palatino Linotype" w:cs="Arial"/>
          <w:lang w:val="es-ES_tradnl"/>
        </w:rPr>
      </w:pPr>
      <w:r w:rsidRPr="00655CC9">
        <w:rPr>
          <w:rFonts w:ascii="Palatino Linotype" w:eastAsia="Calibri" w:hAnsi="Palatino Linotype" w:cs="Arial"/>
          <w:lang w:val="es-ES_tradnl"/>
        </w:rPr>
        <w:t xml:space="preserve">En una aproximación inicial, vale la pena mencionar que el ejercicio de los derechos </w:t>
      </w:r>
      <w:r w:rsidRPr="00655CC9">
        <w:rPr>
          <w:rFonts w:ascii="Palatino Linotype" w:eastAsia="Calibri" w:hAnsi="Palatino Linotype" w:cs="Arial"/>
          <w:bCs/>
          <w:lang w:val="es-ES_tradnl"/>
        </w:rPr>
        <w:t xml:space="preserve">ARCO </w:t>
      </w:r>
      <w:r w:rsidRPr="00655CC9">
        <w:rPr>
          <w:rFonts w:ascii="Palatino Linotype" w:eastAsia="Calibri" w:hAnsi="Palatino Linotype" w:cs="Arial"/>
          <w:lang w:val="es-ES_tradnl"/>
        </w:rPr>
        <w:t xml:space="preserve">se encuentra regulado por el artículo 6 apartado A, y 16, segundo párrafo, de la Constitución de los Estados Unidos Mexicanos, el cual establece que: </w:t>
      </w:r>
    </w:p>
    <w:p w14:paraId="058C9BB9" w14:textId="77777777" w:rsidR="00DA297E" w:rsidRPr="00655CC9" w:rsidRDefault="00DA297E" w:rsidP="007C1357">
      <w:pPr>
        <w:spacing w:line="360" w:lineRule="auto"/>
        <w:rPr>
          <w:rFonts w:ascii="Palatino Linotype" w:hAnsi="Palatino Linotype"/>
          <w:lang w:val="es-ES_tradnl"/>
        </w:rPr>
      </w:pPr>
    </w:p>
    <w:p w14:paraId="36DACE64" w14:textId="4F94A982" w:rsidR="0042327E" w:rsidRPr="00655CC9" w:rsidRDefault="0042327E" w:rsidP="00AA0F30">
      <w:pPr>
        <w:pStyle w:val="Sinespaciado"/>
        <w:rPr>
          <w:rFonts w:eastAsia="Calibri"/>
          <w:lang w:val="es-ES_tradnl"/>
        </w:rPr>
      </w:pPr>
      <w:r w:rsidRPr="00655CC9">
        <w:rPr>
          <w:rFonts w:eastAsia="Calibri"/>
          <w:b/>
          <w:lang w:val="es-ES_tradnl"/>
        </w:rPr>
        <w:t>Artículo 16.</w:t>
      </w:r>
      <w:r w:rsidRPr="00655CC9">
        <w:rPr>
          <w:rFonts w:eastAsia="Calibri"/>
          <w:lang w:val="es-ES_tradnl"/>
        </w:rPr>
        <w:t xml:space="preserve"> […]</w:t>
      </w:r>
    </w:p>
    <w:p w14:paraId="032C9671" w14:textId="77777777" w:rsidR="0042327E" w:rsidRPr="00655CC9" w:rsidRDefault="0042327E" w:rsidP="00AA0F30">
      <w:pPr>
        <w:pStyle w:val="Sinespaciado"/>
        <w:rPr>
          <w:rFonts w:eastAsia="Calibri"/>
          <w:lang w:val="es-ES_tradnl"/>
        </w:rPr>
      </w:pPr>
    </w:p>
    <w:p w14:paraId="5A62E17A" w14:textId="117804E0" w:rsidR="0042327E" w:rsidRPr="00655CC9" w:rsidRDefault="00DA297E" w:rsidP="28CAB825">
      <w:pPr>
        <w:pStyle w:val="Sinespaciado"/>
        <w:rPr>
          <w:rFonts w:eastAsia="Calibri"/>
        </w:rPr>
      </w:pPr>
      <w:r w:rsidRPr="00655CC9">
        <w:rPr>
          <w:rFonts w:eastAsia="Calibri"/>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w:t>
      </w:r>
      <w:r w:rsidR="00672752" w:rsidRPr="00655CC9">
        <w:rPr>
          <w:rFonts w:eastAsia="Calibri"/>
        </w:rPr>
        <w:t>roteger los derechos de terceros</w:t>
      </w:r>
      <w:r w:rsidR="0042327E" w:rsidRPr="00655CC9">
        <w:rPr>
          <w:rFonts w:eastAsia="Calibri"/>
        </w:rPr>
        <w:t>.</w:t>
      </w:r>
      <w:r w:rsidR="00672752" w:rsidRPr="00655CC9">
        <w:rPr>
          <w:rFonts w:eastAsia="Calibri"/>
        </w:rPr>
        <w:t xml:space="preserve"> </w:t>
      </w:r>
    </w:p>
    <w:p w14:paraId="7E3EB11D" w14:textId="1E70F8CA" w:rsidR="00DA297E" w:rsidRPr="00655CC9" w:rsidRDefault="00672752" w:rsidP="00AA0F30">
      <w:pPr>
        <w:pStyle w:val="Sinespaciado"/>
        <w:rPr>
          <w:rFonts w:eastAsia="Calibri"/>
          <w:lang w:val="es-ES_tradnl"/>
        </w:rPr>
      </w:pPr>
      <w:r w:rsidRPr="00655CC9">
        <w:rPr>
          <w:rFonts w:eastAsia="Calibri"/>
          <w:lang w:val="es-ES_tradnl"/>
        </w:rPr>
        <w:t>[…].</w:t>
      </w:r>
    </w:p>
    <w:p w14:paraId="461DAC7B" w14:textId="77777777" w:rsidR="00DA297E" w:rsidRPr="00655CC9" w:rsidRDefault="00DA297E"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p>
    <w:p w14:paraId="02EC49AB" w14:textId="471B0632" w:rsidR="00AA0F30" w:rsidRPr="00655CC9" w:rsidRDefault="00DA297E"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r w:rsidRPr="00655CC9">
        <w:rPr>
          <w:rFonts w:ascii="Palatino Linotype" w:eastAsia="Calibri" w:hAnsi="Palatino Linotype" w:cs="Arial"/>
          <w:lang w:val="es-ES_tradnl"/>
        </w:rPr>
        <w:t>En este sentido, dichas prerrogativas se encuentran invariablemente ligadas a los principios de licitud, finalidad, lealtad, consentimiento, calidad, proporcionalidad, información y responsabilidad.</w:t>
      </w:r>
    </w:p>
    <w:p w14:paraId="72C97B49" w14:textId="368B9888" w:rsidR="006B3676" w:rsidRPr="00655CC9" w:rsidRDefault="006B3676"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p>
    <w:p w14:paraId="044FA3C9" w14:textId="0C8267A8" w:rsidR="004103C8" w:rsidRPr="00655CC9" w:rsidRDefault="006B3676" w:rsidP="0056570A">
      <w:pPr>
        <w:widowControl w:val="0"/>
        <w:autoSpaceDE w:val="0"/>
        <w:autoSpaceDN w:val="0"/>
        <w:adjustRightInd w:val="0"/>
        <w:spacing w:line="360" w:lineRule="auto"/>
        <w:ind w:right="51"/>
        <w:jc w:val="both"/>
        <w:rPr>
          <w:rFonts w:ascii="Palatino Linotype" w:eastAsia="Calibri" w:hAnsi="Palatino Linotype" w:cs="Arial"/>
          <w:lang w:val="es-ES_tradnl"/>
        </w:rPr>
      </w:pPr>
      <w:r w:rsidRPr="00655CC9">
        <w:rPr>
          <w:rFonts w:ascii="Palatino Linotype" w:eastAsia="Calibri" w:hAnsi="Palatino Linotype" w:cs="Arial"/>
          <w:lang w:val="es-ES_tradnl"/>
        </w:rPr>
        <w:t>Aho</w:t>
      </w:r>
      <w:r w:rsidR="00672752" w:rsidRPr="00655CC9">
        <w:rPr>
          <w:rFonts w:ascii="Palatino Linotype" w:eastAsia="Calibri" w:hAnsi="Palatino Linotype" w:cs="Arial"/>
          <w:lang w:val="es-ES_tradnl"/>
        </w:rPr>
        <w:t xml:space="preserve">ra bien, </w:t>
      </w:r>
      <w:r w:rsidR="003F34E4" w:rsidRPr="00655CC9">
        <w:rPr>
          <w:rFonts w:ascii="Palatino Linotype" w:eastAsia="Calibri" w:hAnsi="Palatino Linotype" w:cs="Arial"/>
          <w:lang w:val="es-ES_tradnl"/>
        </w:rPr>
        <w:t xml:space="preserve">con la finalidad de ilustrar la controversia suscitada, se trae a colación </w:t>
      </w:r>
      <w:r w:rsidR="0042327E" w:rsidRPr="00655CC9">
        <w:rPr>
          <w:rFonts w:ascii="Palatino Linotype" w:eastAsia="Calibri" w:hAnsi="Palatino Linotype" w:cs="Arial"/>
          <w:lang w:val="es-ES_tradnl"/>
        </w:rPr>
        <w:t xml:space="preserve">que </w:t>
      </w:r>
      <w:r w:rsidR="0020019E" w:rsidRPr="00655CC9">
        <w:rPr>
          <w:rFonts w:ascii="Palatino Linotype" w:eastAsia="Calibri" w:hAnsi="Palatino Linotype" w:cs="Arial"/>
          <w:lang w:val="es-ES_tradnl"/>
        </w:rPr>
        <w:t>la parte re</w:t>
      </w:r>
      <w:r w:rsidR="003F34E4" w:rsidRPr="00655CC9">
        <w:rPr>
          <w:rFonts w:ascii="Palatino Linotype" w:eastAsia="Calibri" w:hAnsi="Palatino Linotype" w:cs="Arial"/>
          <w:lang w:val="es-ES_tradnl"/>
        </w:rPr>
        <w:t>c</w:t>
      </w:r>
      <w:r w:rsidR="0020019E" w:rsidRPr="00655CC9">
        <w:rPr>
          <w:rFonts w:ascii="Palatino Linotype" w:eastAsia="Calibri" w:hAnsi="Palatino Linotype" w:cs="Arial"/>
          <w:lang w:val="es-ES_tradnl"/>
        </w:rPr>
        <w:t>urrente</w:t>
      </w:r>
      <w:r w:rsidR="003F34E4" w:rsidRPr="00655CC9">
        <w:rPr>
          <w:rFonts w:ascii="Palatino Linotype" w:eastAsia="Calibri" w:hAnsi="Palatino Linotype" w:cs="Arial"/>
          <w:lang w:val="es-ES_tradnl"/>
        </w:rPr>
        <w:t>, requirió lo siguiente:</w:t>
      </w:r>
    </w:p>
    <w:p w14:paraId="0591A4AB" w14:textId="4C8D865A" w:rsidR="003F34E4" w:rsidRPr="00655CC9" w:rsidRDefault="008E5191" w:rsidP="008E5191">
      <w:pPr>
        <w:pStyle w:val="Prrafodelista"/>
        <w:widowControl w:val="0"/>
        <w:numPr>
          <w:ilvl w:val="0"/>
          <w:numId w:val="30"/>
        </w:numPr>
        <w:autoSpaceDE w:val="0"/>
        <w:autoSpaceDN w:val="0"/>
        <w:adjustRightInd w:val="0"/>
        <w:spacing w:line="360" w:lineRule="auto"/>
        <w:ind w:right="51"/>
        <w:jc w:val="both"/>
        <w:rPr>
          <w:rFonts w:ascii="Palatino Linotype" w:eastAsia="Calibri" w:hAnsi="Palatino Linotype" w:cs="Arial"/>
          <w:lang w:val="es-ES_tradnl"/>
        </w:rPr>
      </w:pPr>
      <w:r w:rsidRPr="00655CC9">
        <w:rPr>
          <w:rFonts w:ascii="Palatino Linotype" w:eastAsia="Calibri" w:hAnsi="Palatino Linotype" w:cs="Arial"/>
          <w:lang w:val="es-ES_tradnl"/>
        </w:rPr>
        <w:t xml:space="preserve">Solicito copia de la respuesta al escrito firmado por </w:t>
      </w:r>
      <w:proofErr w:type="spellStart"/>
      <w:r w:rsidR="009F3CF1">
        <w:rPr>
          <w:rFonts w:ascii="Palatino Linotype" w:eastAsia="Calibri" w:hAnsi="Palatino Linotype" w:cs="Arial"/>
          <w:lang w:val="es-ES_tradnl"/>
        </w:rPr>
        <w:t>xxxxxxxxxxxxxxxxxxxxx</w:t>
      </w:r>
      <w:proofErr w:type="spellEnd"/>
      <w:r w:rsidRPr="00655CC9">
        <w:rPr>
          <w:rFonts w:ascii="Palatino Linotype" w:eastAsia="Calibri" w:hAnsi="Palatino Linotype" w:cs="Arial"/>
          <w:lang w:val="es-ES_tradnl"/>
        </w:rPr>
        <w:t xml:space="preserve"> </w:t>
      </w:r>
      <w:r w:rsidR="009F3CF1">
        <w:rPr>
          <w:rFonts w:ascii="Palatino Linotype" w:eastAsia="Calibri" w:hAnsi="Palatino Linotype" w:cs="Arial"/>
          <w:lang w:val="es-ES_tradnl"/>
        </w:rPr>
        <w:t>xxxxxxxxxxxxxxxxxxxxxxxxxxxxxxxxxxxxxxxxxxxxxxxxxxxxxxxxxxxxxxxxxxxxx</w:t>
      </w:r>
      <w:r w:rsidRPr="00655CC9">
        <w:rPr>
          <w:rFonts w:ascii="Palatino Linotype" w:eastAsia="Calibri" w:hAnsi="Palatino Linotype" w:cs="Arial"/>
          <w:lang w:val="es-ES_tradnl"/>
        </w:rPr>
        <w:t xml:space="preserve"> </w:t>
      </w:r>
      <w:proofErr w:type="spellStart"/>
      <w:r w:rsidR="009F3CF1">
        <w:rPr>
          <w:rFonts w:ascii="Palatino Linotype" w:eastAsia="Calibri" w:hAnsi="Palatino Linotype" w:cs="Arial"/>
          <w:lang w:val="es-ES_tradnl"/>
        </w:rPr>
        <w:lastRenderedPageBreak/>
        <w:t>xxxxxxxxxxxxx</w:t>
      </w:r>
      <w:bookmarkStart w:id="0" w:name="_GoBack"/>
      <w:bookmarkEnd w:id="0"/>
      <w:proofErr w:type="spellEnd"/>
      <w:r w:rsidRPr="00655CC9">
        <w:rPr>
          <w:rFonts w:ascii="Palatino Linotype" w:eastAsia="Calibri" w:hAnsi="Palatino Linotype" w:cs="Arial"/>
          <w:lang w:val="es-ES_tradnl"/>
        </w:rPr>
        <w:t>, que fue recibido en la Dirección General del Instituto de Salud del Estado de México en fecha 11 de abril de 2025. Se adjunta copia de acuse para mejor referencia.</w:t>
      </w:r>
      <w:r w:rsidR="003F34E4" w:rsidRPr="00655CC9">
        <w:rPr>
          <w:rFonts w:ascii="Palatino Linotype" w:eastAsia="Calibri" w:hAnsi="Palatino Linotype" w:cs="Arial"/>
          <w:lang w:val="es-ES_tradnl"/>
        </w:rPr>
        <w:t xml:space="preserve"> </w:t>
      </w:r>
    </w:p>
    <w:p w14:paraId="3775D091" w14:textId="77777777" w:rsidR="004103C8" w:rsidRPr="00655CC9" w:rsidRDefault="004103C8" w:rsidP="004103C8">
      <w:pPr>
        <w:widowControl w:val="0"/>
        <w:autoSpaceDE w:val="0"/>
        <w:autoSpaceDN w:val="0"/>
        <w:adjustRightInd w:val="0"/>
        <w:spacing w:line="360" w:lineRule="auto"/>
        <w:ind w:right="51"/>
        <w:jc w:val="both"/>
        <w:rPr>
          <w:rFonts w:ascii="Palatino Linotype" w:eastAsia="Calibri" w:hAnsi="Palatino Linotype" w:cs="Arial"/>
          <w:lang w:val="es-ES_tradnl"/>
        </w:rPr>
      </w:pPr>
    </w:p>
    <w:p w14:paraId="4BD24A9B" w14:textId="019907BE" w:rsidR="0003071A" w:rsidRPr="00655CC9" w:rsidRDefault="0003071A" w:rsidP="0003071A">
      <w:pPr>
        <w:widowControl w:val="0"/>
        <w:autoSpaceDE w:val="0"/>
        <w:autoSpaceDN w:val="0"/>
        <w:adjustRightInd w:val="0"/>
        <w:spacing w:line="360" w:lineRule="auto"/>
        <w:ind w:right="51"/>
        <w:jc w:val="both"/>
        <w:rPr>
          <w:rFonts w:ascii="Palatino Linotype" w:eastAsia="Calibri" w:hAnsi="Palatino Linotype" w:cs="Arial"/>
          <w:lang w:val="es-ES_tradnl"/>
        </w:rPr>
      </w:pPr>
      <w:r w:rsidRPr="00655CC9">
        <w:rPr>
          <w:rFonts w:ascii="Palatino Linotype" w:eastAsia="Calibri" w:hAnsi="Palatino Linotype" w:cs="Arial"/>
          <w:lang w:val="es-ES_tradnl"/>
        </w:rPr>
        <w:t>A la solicitud de acceso a datos, el Sujeto Obligado respondió mediante la entrega de</w:t>
      </w:r>
      <w:r w:rsidR="00C663F5" w:rsidRPr="00655CC9">
        <w:rPr>
          <w:rFonts w:ascii="Palatino Linotype" w:eastAsia="Calibri" w:hAnsi="Palatino Linotype" w:cs="Arial"/>
          <w:lang w:val="es-ES_tradnl"/>
        </w:rPr>
        <w:t xml:space="preserve">l archivo electrónico denominado </w:t>
      </w:r>
      <w:r w:rsidR="00C663F5" w:rsidRPr="00655CC9">
        <w:rPr>
          <w:rFonts w:ascii="Palatino Linotype" w:eastAsia="Calibri" w:hAnsi="Palatino Linotype" w:cs="Arial"/>
          <w:i/>
          <w:lang w:val="es-ES_tradnl"/>
        </w:rPr>
        <w:t>“</w:t>
      </w:r>
      <w:r w:rsidR="008E5191" w:rsidRPr="00655CC9">
        <w:rPr>
          <w:rFonts w:ascii="Palatino Linotype" w:eastAsia="Calibri" w:hAnsi="Palatino Linotype" w:cs="Arial"/>
          <w:i/>
          <w:lang w:val="es-ES_tradnl"/>
        </w:rPr>
        <w:t>sol 00003 SARCOEM.pdf</w:t>
      </w:r>
      <w:r w:rsidR="00C663F5" w:rsidRPr="00655CC9">
        <w:rPr>
          <w:rFonts w:ascii="Palatino Linotype" w:eastAsia="Calibri" w:hAnsi="Palatino Linotype" w:cs="Arial"/>
          <w:i/>
          <w:lang w:val="es-ES_tradnl"/>
        </w:rPr>
        <w:t xml:space="preserve">”, </w:t>
      </w:r>
      <w:r w:rsidR="00C663F5" w:rsidRPr="00655CC9">
        <w:rPr>
          <w:rFonts w:ascii="Palatino Linotype" w:eastAsia="Calibri" w:hAnsi="Palatino Linotype" w:cs="Arial"/>
          <w:lang w:val="es-ES_tradnl"/>
        </w:rPr>
        <w:t>el cual</w:t>
      </w:r>
      <w:r w:rsidR="0056570A" w:rsidRPr="00655CC9">
        <w:rPr>
          <w:rFonts w:ascii="Palatino Linotype" w:eastAsia="Calibri" w:hAnsi="Palatino Linotype" w:cs="Arial"/>
          <w:lang w:val="es-ES_tradnl"/>
        </w:rPr>
        <w:t xml:space="preserve"> contiene </w:t>
      </w:r>
      <w:r w:rsidR="00C663F5" w:rsidRPr="00655CC9">
        <w:rPr>
          <w:rFonts w:ascii="Palatino Linotype" w:eastAsia="Calibri" w:hAnsi="Palatino Linotype" w:cs="Arial"/>
          <w:lang w:val="es-ES_tradnl"/>
        </w:rPr>
        <w:t>lo siguiente</w:t>
      </w:r>
      <w:r w:rsidRPr="00655CC9">
        <w:rPr>
          <w:rFonts w:ascii="Palatino Linotype" w:eastAsia="Calibri" w:hAnsi="Palatino Linotype" w:cs="Arial"/>
          <w:lang w:val="es-ES_tradnl"/>
        </w:rPr>
        <w:t xml:space="preserve">: </w:t>
      </w:r>
    </w:p>
    <w:p w14:paraId="2EB30215" w14:textId="77777777" w:rsidR="0003071A" w:rsidRPr="00655CC9" w:rsidRDefault="0003071A"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p>
    <w:p w14:paraId="1FCC4DE8" w14:textId="07715017" w:rsidR="0003071A" w:rsidRPr="00655CC9" w:rsidRDefault="008E5191" w:rsidP="008E5191">
      <w:pPr>
        <w:pStyle w:val="Prrafodelista"/>
        <w:widowControl w:val="0"/>
        <w:numPr>
          <w:ilvl w:val="0"/>
          <w:numId w:val="25"/>
        </w:numPr>
        <w:autoSpaceDE w:val="0"/>
        <w:autoSpaceDN w:val="0"/>
        <w:adjustRightInd w:val="0"/>
        <w:spacing w:line="360" w:lineRule="auto"/>
        <w:ind w:right="51"/>
        <w:jc w:val="both"/>
        <w:rPr>
          <w:rFonts w:ascii="Palatino Linotype" w:eastAsia="Calibri" w:hAnsi="Palatino Linotype" w:cs="Arial"/>
          <w:lang w:val="es-ES_tradnl"/>
        </w:rPr>
      </w:pPr>
      <w:r w:rsidRPr="00655CC9">
        <w:rPr>
          <w:rFonts w:ascii="Palatino Linotype" w:eastAsia="Calibri" w:hAnsi="Palatino Linotype" w:cs="Arial"/>
          <w:b/>
          <w:lang w:val="es-ES_tradnl"/>
        </w:rPr>
        <w:t>sol 00003 SARCOEM.pdf</w:t>
      </w:r>
      <w:r w:rsidR="00C663F5" w:rsidRPr="00655CC9">
        <w:rPr>
          <w:rFonts w:ascii="Palatino Linotype" w:eastAsia="Calibri" w:hAnsi="Palatino Linotype" w:cs="Arial"/>
          <w:b/>
          <w:lang w:val="es-ES_tradnl"/>
        </w:rPr>
        <w:t>:</w:t>
      </w:r>
      <w:r w:rsidR="00326545" w:rsidRPr="00655CC9">
        <w:rPr>
          <w:rFonts w:ascii="Palatino Linotype" w:eastAsia="Calibri" w:hAnsi="Palatino Linotype" w:cs="Arial"/>
          <w:lang w:val="es-ES_tradnl"/>
        </w:rPr>
        <w:t xml:space="preserve"> </w:t>
      </w:r>
      <w:r w:rsidRPr="00655CC9">
        <w:rPr>
          <w:rFonts w:ascii="Palatino Linotype" w:eastAsia="Calibri" w:hAnsi="Palatino Linotype" w:cs="Arial"/>
          <w:lang w:val="es-ES_tradnl"/>
        </w:rPr>
        <w:t xml:space="preserve">Consta de un documento electrónico remitido por la Titular de la Unidad de Información, Planeación, Programación y Evaluación, mediante el cual medularmente </w:t>
      </w:r>
      <w:r w:rsidR="00137962" w:rsidRPr="00655CC9">
        <w:rPr>
          <w:rFonts w:ascii="Palatino Linotype" w:eastAsia="Calibri" w:hAnsi="Palatino Linotype" w:cs="Arial"/>
          <w:lang w:val="es-ES_tradnl"/>
        </w:rPr>
        <w:t>refiere que una vez realizado el análisis correspondiente, el Sujeto Obligado, Secretaría de Salud del Estado de México identificó no contar con la información solicitada y por tanto, estar imposibilitado para atender en forma positiva el requerimiento; la información solicitad, corresponde a documentales que son administradas por el Instituto de Salud del Estado de México (ISEM), por lo anterior, se sugiere canalizar la solicitud de información al Instituto de Salud del Estado de México (ISEM), pudiendo ser esto a través de tres direcciones electrónicas que adjunta en formato abierto, aunado a lo anterior hace del conocimiento que podrá interponer Recurso de Revisión en caso de no satisfacer la respuesta en un término de 15 días hábiles.</w:t>
      </w:r>
    </w:p>
    <w:p w14:paraId="2511F41F" w14:textId="77777777" w:rsidR="0056570A" w:rsidRPr="00655CC9" w:rsidRDefault="0056570A"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p>
    <w:p w14:paraId="1E9ECC48" w14:textId="414B1E56" w:rsidR="00B84684" w:rsidRPr="00655CC9" w:rsidRDefault="00207B86"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r w:rsidRPr="00655CC9">
        <w:rPr>
          <w:rFonts w:ascii="Palatino Linotype" w:eastAsia="Calibri" w:hAnsi="Palatino Linotype" w:cs="Arial"/>
          <w:lang w:val="es-ES_tradnl"/>
        </w:rPr>
        <w:t>Ante la respuesta proporcionada</w:t>
      </w:r>
      <w:r w:rsidR="0026707C" w:rsidRPr="00655CC9">
        <w:rPr>
          <w:rFonts w:ascii="Palatino Linotype" w:eastAsia="Calibri" w:hAnsi="Palatino Linotype" w:cs="Arial"/>
          <w:lang w:val="es-ES_tradnl"/>
        </w:rPr>
        <w:t xml:space="preserve">, </w:t>
      </w:r>
      <w:r w:rsidR="00484279" w:rsidRPr="00655CC9">
        <w:rPr>
          <w:rFonts w:ascii="Palatino Linotype" w:eastAsia="Calibri" w:hAnsi="Palatino Linotype" w:cs="Arial"/>
          <w:lang w:val="es-ES_tradnl"/>
        </w:rPr>
        <w:t xml:space="preserve">la </w:t>
      </w:r>
      <w:r w:rsidR="000C761F" w:rsidRPr="00655CC9">
        <w:rPr>
          <w:rFonts w:ascii="Palatino Linotype" w:eastAsia="Calibri" w:hAnsi="Palatino Linotype" w:cs="Arial"/>
          <w:lang w:val="es-ES_tradnl"/>
        </w:rPr>
        <w:t xml:space="preserve">Recurrente consideró que su derecho </w:t>
      </w:r>
      <w:r w:rsidR="00484279" w:rsidRPr="00655CC9">
        <w:rPr>
          <w:rFonts w:ascii="Palatino Linotype" w:eastAsia="Calibri" w:hAnsi="Palatino Linotype" w:cs="Arial"/>
          <w:lang w:val="es-ES_tradnl"/>
        </w:rPr>
        <w:t xml:space="preserve">a la </w:t>
      </w:r>
      <w:r w:rsidR="00E743C9" w:rsidRPr="00655CC9">
        <w:rPr>
          <w:rFonts w:ascii="Palatino Linotype" w:eastAsia="Calibri" w:hAnsi="Palatino Linotype" w:cs="Arial"/>
          <w:lang w:val="es-ES_tradnl"/>
        </w:rPr>
        <w:t xml:space="preserve">cancelación </w:t>
      </w:r>
      <w:r w:rsidR="00484279" w:rsidRPr="00655CC9">
        <w:rPr>
          <w:rFonts w:ascii="Palatino Linotype" w:eastAsia="Calibri" w:hAnsi="Palatino Linotype" w:cs="Arial"/>
          <w:lang w:val="es-ES_tradnl"/>
        </w:rPr>
        <w:t xml:space="preserve"> de </w:t>
      </w:r>
      <w:r w:rsidR="000C761F" w:rsidRPr="00655CC9">
        <w:rPr>
          <w:rFonts w:ascii="Palatino Linotype" w:eastAsia="Calibri" w:hAnsi="Palatino Linotype" w:cs="Arial"/>
          <w:lang w:val="es-ES_tradnl"/>
        </w:rPr>
        <w:t>datos personales se había vulnerado, por lo que interpuso recurso de revisión</w:t>
      </w:r>
      <w:r w:rsidR="00D11C33" w:rsidRPr="00655CC9">
        <w:rPr>
          <w:rFonts w:ascii="Palatino Linotype" w:eastAsia="Calibri" w:hAnsi="Palatino Linotype" w:cs="Arial"/>
          <w:lang w:val="es-ES_tradnl"/>
        </w:rPr>
        <w:t xml:space="preserve"> señalando como como acto impugnado </w:t>
      </w:r>
      <w:r w:rsidR="001F62E7" w:rsidRPr="00655CC9">
        <w:rPr>
          <w:rFonts w:ascii="Palatino Linotype" w:eastAsia="Calibri" w:hAnsi="Palatino Linotype" w:cs="Arial"/>
          <w:i/>
          <w:lang w:val="es-ES_tradnl"/>
        </w:rPr>
        <w:t>“</w:t>
      </w:r>
      <w:r w:rsidR="00137962" w:rsidRPr="00655CC9">
        <w:rPr>
          <w:rFonts w:ascii="Palatino Linotype" w:eastAsia="Calibri" w:hAnsi="Palatino Linotype" w:cs="Arial"/>
          <w:i/>
          <w:lang w:val="es-ES_tradnl"/>
        </w:rPr>
        <w:t>LA MNEGATIVA DEL SUJETO OBLIGADO PARA PROPORCIONAR LA INFORMACIÓN SOLICITADA</w:t>
      </w:r>
      <w:r w:rsidR="001F62E7" w:rsidRPr="00655CC9">
        <w:rPr>
          <w:rFonts w:ascii="Palatino Linotype" w:eastAsia="Calibri" w:hAnsi="Palatino Linotype" w:cs="Arial"/>
          <w:i/>
          <w:lang w:val="es-ES_tradnl"/>
        </w:rPr>
        <w:t>”</w:t>
      </w:r>
      <w:r w:rsidR="00484279" w:rsidRPr="00655CC9">
        <w:rPr>
          <w:rFonts w:ascii="Palatino Linotype" w:eastAsia="Calibri" w:hAnsi="Palatino Linotype" w:cs="Arial"/>
          <w:lang w:val="es-ES_tradnl"/>
        </w:rPr>
        <w:t xml:space="preserve">; </w:t>
      </w:r>
      <w:r w:rsidR="00D11C33" w:rsidRPr="00655CC9">
        <w:rPr>
          <w:rFonts w:ascii="Palatino Linotype" w:eastAsia="Calibri" w:hAnsi="Palatino Linotype" w:cs="Arial"/>
          <w:lang w:val="es-ES_tradnl"/>
        </w:rPr>
        <w:t xml:space="preserve">como razones </w:t>
      </w:r>
      <w:r w:rsidR="00D11C33" w:rsidRPr="00655CC9">
        <w:rPr>
          <w:rFonts w:ascii="Palatino Linotype" w:eastAsia="Calibri" w:hAnsi="Palatino Linotype" w:cs="Arial"/>
          <w:lang w:val="es-ES_tradnl"/>
        </w:rPr>
        <w:lastRenderedPageBreak/>
        <w:t xml:space="preserve">o </w:t>
      </w:r>
      <w:r w:rsidR="0026707C" w:rsidRPr="00655CC9">
        <w:rPr>
          <w:rFonts w:ascii="Palatino Linotype" w:eastAsia="Calibri" w:hAnsi="Palatino Linotype" w:cs="Arial"/>
          <w:lang w:val="es-ES_tradnl"/>
        </w:rPr>
        <w:t>motivos de inconformidad</w:t>
      </w:r>
      <w:r w:rsidR="001F62E7" w:rsidRPr="00655CC9">
        <w:rPr>
          <w:rFonts w:ascii="Palatino Linotype" w:eastAsia="Calibri" w:hAnsi="Palatino Linotype" w:cs="Arial"/>
          <w:lang w:val="es-ES_tradnl"/>
        </w:rPr>
        <w:t xml:space="preserve">, </w:t>
      </w:r>
      <w:r w:rsidR="001F62E7" w:rsidRPr="00655CC9">
        <w:rPr>
          <w:rFonts w:ascii="Palatino Linotype" w:eastAsia="Calibri" w:hAnsi="Palatino Linotype" w:cs="Arial"/>
          <w:i/>
          <w:lang w:val="es-ES_tradnl"/>
        </w:rPr>
        <w:t>“</w:t>
      </w:r>
      <w:r w:rsidR="00137962" w:rsidRPr="00655CC9">
        <w:rPr>
          <w:rFonts w:ascii="Palatino Linotype" w:eastAsia="Calibri" w:hAnsi="Palatino Linotype" w:cs="Arial"/>
          <w:i/>
          <w:lang w:val="es-ES_tradnl"/>
        </w:rPr>
        <w:t>EL SUJETO OBLIGADO PRETENDE DESLINDARSE DE LA OBLIGACIÓN DE PROPORCIONAR LA INFORMACIÓN CON EL ARGUMENTO DE QUE SE TRATA DE INFORMACIÓN PRESUPUESTAL, SIN EMBARGO EL DOCUMENTO QUE SE SOLICITÓ SOLAMENTE IMPLICA ENTREGAR LA RESPUESTA QUE SE DIO AL OFICIO MENCIONADO EN LA SOLICITUD DE INFORMACIÓN.</w:t>
      </w:r>
      <w:r w:rsidR="001F62E7" w:rsidRPr="00655CC9">
        <w:rPr>
          <w:rFonts w:ascii="Palatino Linotype" w:eastAsia="Calibri" w:hAnsi="Palatino Linotype" w:cs="Arial"/>
          <w:i/>
          <w:lang w:val="es-ES_tradnl"/>
        </w:rPr>
        <w:t>“</w:t>
      </w:r>
      <w:r w:rsidR="00385319" w:rsidRPr="00655CC9">
        <w:rPr>
          <w:rFonts w:ascii="Palatino Linotype" w:eastAsia="Calibri" w:hAnsi="Palatino Linotype" w:cs="Arial"/>
          <w:lang w:val="es-ES_tradnl"/>
        </w:rPr>
        <w:t>.</w:t>
      </w:r>
    </w:p>
    <w:p w14:paraId="2E1322A9" w14:textId="2F2572C8" w:rsidR="00D11C33" w:rsidRPr="00655CC9" w:rsidRDefault="00D11C33"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p>
    <w:p w14:paraId="37FA19B1" w14:textId="23537950" w:rsidR="00F93BF6" w:rsidRPr="00655CC9" w:rsidRDefault="00583EC7" w:rsidP="007C1357">
      <w:pPr>
        <w:widowControl w:val="0"/>
        <w:autoSpaceDE w:val="0"/>
        <w:autoSpaceDN w:val="0"/>
        <w:adjustRightInd w:val="0"/>
        <w:spacing w:line="360" w:lineRule="auto"/>
        <w:ind w:right="51"/>
        <w:jc w:val="both"/>
        <w:rPr>
          <w:rFonts w:ascii="Palatino Linotype" w:hAnsi="Palatino Linotype" w:cs="Arial"/>
          <w:iCs/>
          <w:lang w:val="es-MX"/>
        </w:rPr>
      </w:pPr>
      <w:r w:rsidRPr="00655CC9">
        <w:rPr>
          <w:rFonts w:ascii="Palatino Linotype" w:eastAsiaTheme="minorHAnsi" w:hAnsi="Palatino Linotype" w:cs="Arial"/>
          <w:color w:val="000000" w:themeColor="text1"/>
          <w:lang w:val="es-MX" w:eastAsia="en-US"/>
        </w:rPr>
        <w:t>Por lo anteriormente expuesto, recordemos que, en respuesta, el Sujeto Obligado, precisó que la información solicitada, no es generada por la Secretaría de Salud, declinando competencia a favor del Instituto de Salud del Estado de México (ISEM), luego entonces, el particular se inconforma respecto de la declinación de competencia.</w:t>
      </w:r>
    </w:p>
    <w:p w14:paraId="7308A703" w14:textId="77777777" w:rsidR="00583EC7" w:rsidRPr="00655CC9" w:rsidRDefault="00583EC7" w:rsidP="00583EC7">
      <w:pPr>
        <w:widowControl w:val="0"/>
        <w:autoSpaceDE w:val="0"/>
        <w:autoSpaceDN w:val="0"/>
        <w:adjustRightInd w:val="0"/>
        <w:spacing w:line="360" w:lineRule="auto"/>
        <w:ind w:right="51"/>
        <w:jc w:val="both"/>
        <w:rPr>
          <w:rFonts w:ascii="Palatino Linotype" w:eastAsia="Calibri" w:hAnsi="Palatino Linotype" w:cs="Arial"/>
        </w:rPr>
      </w:pPr>
    </w:p>
    <w:p w14:paraId="434617B7" w14:textId="7A27108F" w:rsidR="00583EC7" w:rsidRPr="00655CC9" w:rsidRDefault="00583EC7" w:rsidP="00583EC7">
      <w:pPr>
        <w:widowControl w:val="0"/>
        <w:autoSpaceDE w:val="0"/>
        <w:autoSpaceDN w:val="0"/>
        <w:adjustRightInd w:val="0"/>
        <w:spacing w:line="360" w:lineRule="auto"/>
        <w:ind w:right="51"/>
        <w:jc w:val="both"/>
        <w:rPr>
          <w:rFonts w:ascii="Palatino Linotype" w:eastAsia="Calibri" w:hAnsi="Palatino Linotype" w:cs="Arial"/>
        </w:rPr>
      </w:pPr>
      <w:r w:rsidRPr="00655CC9">
        <w:rPr>
          <w:rFonts w:ascii="Palatino Linotype" w:eastAsia="Calibri" w:hAnsi="Palatino Linotype" w:cs="Arial"/>
        </w:rPr>
        <w:t>Por lo que es necesario referir lo siguiente:</w:t>
      </w:r>
    </w:p>
    <w:p w14:paraId="10708B90" w14:textId="6283D7B1" w:rsidR="009E01EA" w:rsidRPr="00655CC9" w:rsidRDefault="00583EC7" w:rsidP="009E01EA">
      <w:pPr>
        <w:widowControl w:val="0"/>
        <w:autoSpaceDE w:val="0"/>
        <w:autoSpaceDN w:val="0"/>
        <w:adjustRightInd w:val="0"/>
        <w:spacing w:line="360" w:lineRule="auto"/>
        <w:ind w:right="51"/>
        <w:jc w:val="center"/>
        <w:rPr>
          <w:rFonts w:ascii="Palatino Linotype" w:eastAsia="Calibri" w:hAnsi="Palatino Linotype" w:cs="Arial"/>
        </w:rPr>
      </w:pPr>
      <w:r w:rsidRPr="00655CC9">
        <w:rPr>
          <w:rFonts w:ascii="Palatino Linotype" w:eastAsia="Calibri" w:hAnsi="Palatino Linotype" w:cs="Arial"/>
          <w:noProof/>
          <w:lang w:val="es-MX" w:eastAsia="es-MX"/>
        </w:rPr>
        <w:drawing>
          <wp:inline distT="0" distB="0" distL="0" distR="0" wp14:anchorId="76F68387" wp14:editId="4767403E">
            <wp:extent cx="5127774" cy="2809875"/>
            <wp:effectExtent l="190500" t="190500" r="187325" b="1809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68865" cy="2832392"/>
                    </a:xfrm>
                    <a:prstGeom prst="rect">
                      <a:avLst/>
                    </a:prstGeom>
                    <a:ln>
                      <a:noFill/>
                    </a:ln>
                    <a:effectLst>
                      <a:outerShdw blurRad="190500" algn="tl" rotWithShape="0">
                        <a:srgbClr val="000000">
                          <a:alpha val="70000"/>
                        </a:srgbClr>
                      </a:outerShdw>
                    </a:effectLst>
                  </pic:spPr>
                </pic:pic>
              </a:graphicData>
            </a:graphic>
          </wp:inline>
        </w:drawing>
      </w:r>
    </w:p>
    <w:p w14:paraId="799CE87A" w14:textId="1B02BF6D" w:rsidR="00C674BE" w:rsidRPr="00655CC9" w:rsidRDefault="00C36D6A" w:rsidP="007C1357">
      <w:pPr>
        <w:widowControl w:val="0"/>
        <w:autoSpaceDE w:val="0"/>
        <w:autoSpaceDN w:val="0"/>
        <w:adjustRightInd w:val="0"/>
        <w:spacing w:line="360" w:lineRule="auto"/>
        <w:ind w:right="51"/>
        <w:jc w:val="both"/>
        <w:rPr>
          <w:rFonts w:ascii="Palatino Linotype" w:eastAsia="Calibri" w:hAnsi="Palatino Linotype" w:cs="Arial"/>
        </w:rPr>
      </w:pPr>
      <w:r w:rsidRPr="00655CC9">
        <w:rPr>
          <w:rFonts w:ascii="Palatino Linotype" w:eastAsia="Calibri" w:hAnsi="Palatino Linotype" w:cs="Arial"/>
        </w:rPr>
        <w:lastRenderedPageBreak/>
        <w:t xml:space="preserve">Así como </w:t>
      </w:r>
      <w:r w:rsidR="005F0E24" w:rsidRPr="00655CC9">
        <w:rPr>
          <w:rFonts w:ascii="Palatino Linotype" w:eastAsia="Calibri" w:hAnsi="Palatino Linotype" w:cs="Arial"/>
        </w:rPr>
        <w:t>lo establecido en e</w:t>
      </w:r>
      <w:r w:rsidRPr="00655CC9">
        <w:rPr>
          <w:rFonts w:ascii="Palatino Linotype" w:eastAsia="Calibri" w:hAnsi="Palatino Linotype" w:cs="Arial"/>
        </w:rPr>
        <w:t xml:space="preserve">l Padrón de Sujetos Obligados </w:t>
      </w:r>
      <w:r w:rsidR="00583EC7" w:rsidRPr="00655CC9">
        <w:rPr>
          <w:rFonts w:ascii="Palatino Linotype" w:eastAsia="Calibri" w:hAnsi="Palatino Linotype" w:cs="Arial"/>
        </w:rPr>
        <w:t xml:space="preserve">en materia de transparencia </w:t>
      </w:r>
      <w:r w:rsidR="005F0E24" w:rsidRPr="00655CC9">
        <w:rPr>
          <w:rFonts w:ascii="Palatino Linotype" w:eastAsia="Calibri" w:hAnsi="Palatino Linotype" w:cs="Arial"/>
        </w:rPr>
        <w:t>y acceso a la información pública del Estado de México y Municipios, el cual señala lo siguiente:</w:t>
      </w:r>
    </w:p>
    <w:p w14:paraId="27C1AD1D" w14:textId="6E763349" w:rsidR="005F0E24" w:rsidRPr="00655CC9" w:rsidRDefault="00D954AD" w:rsidP="00D954AD">
      <w:pPr>
        <w:widowControl w:val="0"/>
        <w:autoSpaceDE w:val="0"/>
        <w:autoSpaceDN w:val="0"/>
        <w:adjustRightInd w:val="0"/>
        <w:spacing w:line="360" w:lineRule="auto"/>
        <w:ind w:right="51"/>
        <w:jc w:val="center"/>
        <w:rPr>
          <w:rFonts w:ascii="Palatino Linotype" w:eastAsia="Calibri" w:hAnsi="Palatino Linotype" w:cs="Arial"/>
        </w:rPr>
      </w:pPr>
      <w:r w:rsidRPr="00655CC9">
        <w:rPr>
          <w:rFonts w:ascii="Palatino Linotype" w:eastAsia="Calibri" w:hAnsi="Palatino Linotype" w:cs="Arial"/>
          <w:noProof/>
          <w:lang w:val="es-MX" w:eastAsia="es-MX"/>
        </w:rPr>
        <w:drawing>
          <wp:inline distT="0" distB="0" distL="0" distR="0" wp14:anchorId="083FEDF8" wp14:editId="1447D885">
            <wp:extent cx="5345430" cy="116652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93266" cy="1176964"/>
                    </a:xfrm>
                    <a:prstGeom prst="rect">
                      <a:avLst/>
                    </a:prstGeom>
                  </pic:spPr>
                </pic:pic>
              </a:graphicData>
            </a:graphic>
          </wp:inline>
        </w:drawing>
      </w:r>
      <w:r w:rsidR="00984169" w:rsidRPr="00655CC9">
        <w:rPr>
          <w:rFonts w:ascii="Palatino Linotype" w:eastAsia="Calibri" w:hAnsi="Palatino Linotype" w:cs="Arial"/>
          <w:noProof/>
          <w:lang w:val="es-MX" w:eastAsia="es-MX"/>
        </w:rPr>
        <w:drawing>
          <wp:inline distT="0" distB="0" distL="0" distR="0" wp14:anchorId="67789B4C" wp14:editId="5BD45AE3">
            <wp:extent cx="5229225" cy="155250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8507" cy="1581977"/>
                    </a:xfrm>
                    <a:prstGeom prst="rect">
                      <a:avLst/>
                    </a:prstGeom>
                    <a:noFill/>
                    <a:ln>
                      <a:noFill/>
                    </a:ln>
                  </pic:spPr>
                </pic:pic>
              </a:graphicData>
            </a:graphic>
          </wp:inline>
        </w:drawing>
      </w:r>
    </w:p>
    <w:p w14:paraId="29A6418E" w14:textId="2D8706DB" w:rsidR="005F0E24" w:rsidRPr="00655CC9" w:rsidRDefault="00984169" w:rsidP="00984169">
      <w:pPr>
        <w:widowControl w:val="0"/>
        <w:autoSpaceDE w:val="0"/>
        <w:autoSpaceDN w:val="0"/>
        <w:adjustRightInd w:val="0"/>
        <w:spacing w:line="360" w:lineRule="auto"/>
        <w:ind w:right="51"/>
        <w:jc w:val="center"/>
        <w:rPr>
          <w:rFonts w:ascii="Palatino Linotype" w:eastAsia="Calibri" w:hAnsi="Palatino Linotype" w:cs="Arial"/>
        </w:rPr>
      </w:pPr>
      <w:r w:rsidRPr="00655CC9">
        <w:rPr>
          <w:rFonts w:ascii="Palatino Linotype" w:eastAsia="Calibri" w:hAnsi="Palatino Linotype" w:cs="Arial"/>
          <w:noProof/>
          <w:lang w:val="es-MX" w:eastAsia="es-MX"/>
        </w:rPr>
        <w:drawing>
          <wp:inline distT="0" distB="0" distL="0" distR="0" wp14:anchorId="10FAE9AB" wp14:editId="4975A8F1">
            <wp:extent cx="5105400" cy="1676358"/>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6812" cy="1693239"/>
                    </a:xfrm>
                    <a:prstGeom prst="rect">
                      <a:avLst/>
                    </a:prstGeom>
                    <a:noFill/>
                    <a:ln>
                      <a:noFill/>
                    </a:ln>
                  </pic:spPr>
                </pic:pic>
              </a:graphicData>
            </a:graphic>
          </wp:inline>
        </w:drawing>
      </w:r>
    </w:p>
    <w:p w14:paraId="548F4068" w14:textId="7808DD71" w:rsidR="005F0E24" w:rsidRPr="00655CC9" w:rsidRDefault="005F0E24" w:rsidP="007C1357">
      <w:pPr>
        <w:widowControl w:val="0"/>
        <w:autoSpaceDE w:val="0"/>
        <w:autoSpaceDN w:val="0"/>
        <w:adjustRightInd w:val="0"/>
        <w:spacing w:line="360" w:lineRule="auto"/>
        <w:ind w:right="51"/>
        <w:jc w:val="both"/>
        <w:rPr>
          <w:rFonts w:ascii="Palatino Linotype" w:eastAsia="Calibri" w:hAnsi="Palatino Linotype" w:cs="Arial"/>
        </w:rPr>
      </w:pPr>
    </w:p>
    <w:p w14:paraId="1B103912" w14:textId="59522424" w:rsidR="00864C62" w:rsidRPr="00655CC9" w:rsidRDefault="00C674BE" w:rsidP="0065334E">
      <w:pPr>
        <w:widowControl w:val="0"/>
        <w:autoSpaceDE w:val="0"/>
        <w:autoSpaceDN w:val="0"/>
        <w:adjustRightInd w:val="0"/>
        <w:spacing w:line="360" w:lineRule="auto"/>
        <w:ind w:right="51"/>
        <w:jc w:val="both"/>
        <w:rPr>
          <w:rFonts w:ascii="Palatino Linotype" w:eastAsia="Calibri" w:hAnsi="Palatino Linotype" w:cs="Arial"/>
        </w:rPr>
      </w:pPr>
      <w:r w:rsidRPr="00655CC9">
        <w:rPr>
          <w:rFonts w:ascii="Palatino Linotype" w:eastAsia="Calibri" w:hAnsi="Palatino Linotype" w:cs="Arial"/>
        </w:rPr>
        <w:t>En ese contexto, el propio instrumento aportado por el Pa</w:t>
      </w:r>
      <w:r w:rsidR="00984169" w:rsidRPr="00655CC9">
        <w:rPr>
          <w:rFonts w:ascii="Palatino Linotype" w:eastAsia="Calibri" w:hAnsi="Palatino Linotype" w:cs="Arial"/>
        </w:rPr>
        <w:t xml:space="preserve">rticular permite conocer que la Secretaría de Salud </w:t>
      </w:r>
      <w:r w:rsidRPr="00655CC9">
        <w:rPr>
          <w:rFonts w:ascii="Palatino Linotype" w:eastAsia="Calibri" w:hAnsi="Palatino Linotype" w:cs="Arial"/>
        </w:rPr>
        <w:t>es incompetente para poseer la informac</w:t>
      </w:r>
      <w:r w:rsidR="00984169" w:rsidRPr="00655CC9">
        <w:rPr>
          <w:rFonts w:ascii="Palatino Linotype" w:eastAsia="Calibri" w:hAnsi="Palatino Linotype" w:cs="Arial"/>
        </w:rPr>
        <w:t>ión que requirió el particular</w:t>
      </w:r>
      <w:r w:rsidRPr="00655CC9">
        <w:rPr>
          <w:rFonts w:ascii="Palatino Linotype" w:eastAsia="Calibri" w:hAnsi="Palatino Linotype" w:cs="Arial"/>
        </w:rPr>
        <w:t>, pues en su caso, conforme a la respuesta, quien po</w:t>
      </w:r>
      <w:r w:rsidR="00984169" w:rsidRPr="00655CC9">
        <w:rPr>
          <w:rFonts w:ascii="Palatino Linotype" w:eastAsia="Calibri" w:hAnsi="Palatino Linotype" w:cs="Arial"/>
        </w:rPr>
        <w:t>dría tener la información es, el Instituto de Salud del Estado de México</w:t>
      </w:r>
      <w:r w:rsidRPr="00655CC9">
        <w:rPr>
          <w:rFonts w:ascii="Palatino Linotype" w:eastAsia="Calibri" w:hAnsi="Palatino Linotype" w:cs="Arial"/>
        </w:rPr>
        <w:t>.</w:t>
      </w:r>
    </w:p>
    <w:p w14:paraId="69D1324C" w14:textId="587DA4A8" w:rsidR="00F30CA4" w:rsidRPr="00655CC9" w:rsidRDefault="00864C62"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r w:rsidRPr="00655CC9">
        <w:rPr>
          <w:rFonts w:ascii="Palatino Linotype" w:eastAsia="Calibri" w:hAnsi="Palatino Linotype" w:cs="Arial"/>
          <w:lang w:val="es-ES_tradnl"/>
        </w:rPr>
        <w:lastRenderedPageBreak/>
        <w:t xml:space="preserve">De tal forma que se considera que el Sujeto Obligado no se encuentra compelido a </w:t>
      </w:r>
      <w:r w:rsidR="00612810" w:rsidRPr="00655CC9">
        <w:rPr>
          <w:rFonts w:ascii="Palatino Linotype" w:eastAsia="Calibri" w:hAnsi="Palatino Linotype" w:cs="Arial"/>
          <w:lang w:val="es-ES_tradnl"/>
        </w:rPr>
        <w:t>contar con la copia de la respuesta al escrito recibido en la Dirección General del Instituto de Salud del Estado de México</w:t>
      </w:r>
      <w:r w:rsidRPr="00655CC9">
        <w:rPr>
          <w:rFonts w:ascii="Palatino Linotype" w:eastAsia="Calibri" w:hAnsi="Palatino Linotype" w:cs="Arial"/>
          <w:lang w:val="es-ES_tradnl"/>
        </w:rPr>
        <w:t xml:space="preserve">, pues esta es competencia de una autoridad distinta. </w:t>
      </w:r>
      <w:r w:rsidR="00F30CA4" w:rsidRPr="00655CC9">
        <w:rPr>
          <w:rFonts w:ascii="Palatino Linotype" w:eastAsia="Calibri" w:hAnsi="Palatino Linotype" w:cs="Arial"/>
          <w:lang w:val="es-ES_tradnl"/>
        </w:rPr>
        <w:t xml:space="preserve">En esa tesitura, </w:t>
      </w:r>
      <w:r w:rsidR="003B5A80" w:rsidRPr="00655CC9">
        <w:rPr>
          <w:rFonts w:ascii="Palatino Linotype" w:eastAsia="Calibri" w:hAnsi="Palatino Linotype" w:cs="Arial"/>
          <w:lang w:val="es-ES_tradnl"/>
        </w:rPr>
        <w:t>el artículo 112 de la Ley de Protección de Datos local establece lo siguiente:</w:t>
      </w:r>
    </w:p>
    <w:p w14:paraId="4F4467BB" w14:textId="0E4C44C8" w:rsidR="003B5A80" w:rsidRPr="00655CC9" w:rsidRDefault="003B5A80"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p>
    <w:p w14:paraId="3869293A" w14:textId="77777777" w:rsidR="003B5A80" w:rsidRPr="00655CC9" w:rsidRDefault="003B5A80" w:rsidP="009966DC">
      <w:pPr>
        <w:pStyle w:val="Sinespaciado"/>
        <w:spacing w:line="360" w:lineRule="auto"/>
        <w:rPr>
          <w:rFonts w:eastAsia="Calibri"/>
          <w:lang w:val="es-MX"/>
        </w:rPr>
      </w:pPr>
      <w:r w:rsidRPr="00655CC9">
        <w:rPr>
          <w:rFonts w:eastAsia="Calibri"/>
          <w:b/>
          <w:lang w:val="es-MX"/>
        </w:rPr>
        <w:t xml:space="preserve">Artículo 112. </w:t>
      </w:r>
      <w:r w:rsidRPr="00655CC9">
        <w:rPr>
          <w:rFonts w:eastAsia="Calibri"/>
          <w:lang w:val="es-MX"/>
        </w:rPr>
        <w:t>Cuando el responsable no sea competente para atender la solicitud para el ejercicio de derechos ARCO, deberá hacer del conocimiento del titular dicha situación dentro de los tres días siguientes a la presentación de la solicitud y en caso de poderlo determinar, orientarlo hacia el responsable competente.</w:t>
      </w:r>
    </w:p>
    <w:p w14:paraId="355F5FCD" w14:textId="77777777" w:rsidR="003B5A80" w:rsidRPr="00655CC9" w:rsidRDefault="003B5A80" w:rsidP="009966DC">
      <w:pPr>
        <w:pStyle w:val="Sinespaciado"/>
        <w:spacing w:line="360" w:lineRule="auto"/>
        <w:rPr>
          <w:rFonts w:eastAsia="Calibri"/>
          <w:lang w:val="es-MX"/>
        </w:rPr>
      </w:pPr>
    </w:p>
    <w:p w14:paraId="1EF769F3" w14:textId="26EB0B20" w:rsidR="003B5A80" w:rsidRPr="00655CC9" w:rsidRDefault="003B5A80" w:rsidP="009966DC">
      <w:pPr>
        <w:pStyle w:val="Sinespaciado"/>
        <w:spacing w:line="360" w:lineRule="auto"/>
        <w:rPr>
          <w:rFonts w:eastAsia="Calibri"/>
          <w:lang w:val="es-ES_tradnl"/>
        </w:rPr>
      </w:pPr>
      <w:r w:rsidRPr="00655CC9">
        <w:rPr>
          <w:rFonts w:eastAsia="Calibri"/>
          <w:lang w:val="es-MX"/>
        </w:rPr>
        <w:t>En caso que el responsable advierta que la solicitud para el ejercicio de derechos ARCO corresponda a un derecho diferente de los previstos en la presente Ley, deberá reconducir la vía haciéndolo del conocimiento al titular en el plazo previsto en el primer párrafo.</w:t>
      </w:r>
    </w:p>
    <w:p w14:paraId="55BE8923" w14:textId="071A7CB8" w:rsidR="009966DC" w:rsidRPr="00655CC9" w:rsidRDefault="009966DC" w:rsidP="009966DC">
      <w:pPr>
        <w:widowControl w:val="0"/>
        <w:autoSpaceDE w:val="0"/>
        <w:autoSpaceDN w:val="0"/>
        <w:adjustRightInd w:val="0"/>
        <w:spacing w:line="360" w:lineRule="auto"/>
        <w:ind w:right="567"/>
        <w:jc w:val="both"/>
        <w:rPr>
          <w:rFonts w:ascii="Palatino Linotype" w:eastAsia="Calibri" w:hAnsi="Palatino Linotype" w:cs="Arial"/>
          <w:i/>
        </w:rPr>
      </w:pPr>
    </w:p>
    <w:p w14:paraId="53A1D22A" w14:textId="70B4E3B5" w:rsidR="009966DC" w:rsidRPr="00655CC9" w:rsidRDefault="009966DC" w:rsidP="009966DC">
      <w:pPr>
        <w:spacing w:line="360" w:lineRule="auto"/>
        <w:jc w:val="both"/>
        <w:rPr>
          <w:rFonts w:ascii="Palatino Linotype" w:eastAsiaTheme="minorHAnsi" w:hAnsi="Palatino Linotype" w:cs="Arial"/>
          <w:szCs w:val="22"/>
          <w:lang w:val="es-MX" w:eastAsia="es-MX"/>
        </w:rPr>
      </w:pPr>
      <w:r w:rsidRPr="00655CC9">
        <w:rPr>
          <w:rFonts w:ascii="Palatino Linotype" w:eastAsiaTheme="minorHAnsi" w:hAnsi="Palatino Linotype" w:cs="Arial"/>
          <w:szCs w:val="22"/>
          <w:lang w:val="es-MX" w:eastAsia="es-MX"/>
        </w:rPr>
        <w:t>Situación señalada en el fundamento anterior, que fuera seguida de manera procedente por el</w:t>
      </w:r>
      <w:r w:rsidRPr="00655CC9">
        <w:rPr>
          <w:rFonts w:ascii="Palatino Linotype" w:eastAsiaTheme="minorHAnsi" w:hAnsi="Palatino Linotype" w:cs="Arial"/>
          <w:b/>
          <w:szCs w:val="22"/>
          <w:lang w:val="es-MX" w:eastAsia="es-MX"/>
        </w:rPr>
        <w:t xml:space="preserve"> Sujeto Obligado</w:t>
      </w:r>
      <w:r w:rsidRPr="00655CC9">
        <w:rPr>
          <w:rFonts w:ascii="Palatino Linotype" w:eastAsiaTheme="minorHAnsi" w:hAnsi="Palatino Linotype" w:cs="Arial"/>
          <w:szCs w:val="22"/>
          <w:lang w:val="es-MX" w:eastAsia="es-MX"/>
        </w:rPr>
        <w:t xml:space="preserve"> ya que realizó dicha orientación a</w:t>
      </w:r>
      <w:r w:rsidR="00612810" w:rsidRPr="00655CC9">
        <w:rPr>
          <w:rFonts w:ascii="Palatino Linotype" w:eastAsiaTheme="minorHAnsi" w:hAnsi="Palatino Linotype" w:cs="Arial"/>
          <w:szCs w:val="22"/>
          <w:lang w:val="es-MX" w:eastAsia="es-MX"/>
        </w:rPr>
        <w:t>l segundo</w:t>
      </w:r>
      <w:r w:rsidRPr="00655CC9">
        <w:rPr>
          <w:rFonts w:ascii="Palatino Linotype" w:eastAsiaTheme="minorHAnsi" w:hAnsi="Palatino Linotype" w:cs="Arial"/>
          <w:szCs w:val="22"/>
          <w:lang w:val="es-MX" w:eastAsia="es-MX"/>
        </w:rPr>
        <w:t xml:space="preserve"> día hábil en que se presentó la solicitud de información; es decir, la fecha de la solicitud se realizó el día </w:t>
      </w:r>
      <w:r w:rsidR="00612810" w:rsidRPr="00655CC9">
        <w:rPr>
          <w:rFonts w:ascii="Palatino Linotype" w:eastAsiaTheme="minorHAnsi" w:hAnsi="Palatino Linotype" w:cs="Arial"/>
          <w:b/>
          <w:bCs/>
          <w:szCs w:val="22"/>
          <w:lang w:val="es-MX" w:eastAsia="es-MX"/>
        </w:rPr>
        <w:t>15 de abril</w:t>
      </w:r>
      <w:r w:rsidRPr="00655CC9">
        <w:rPr>
          <w:rFonts w:ascii="Palatino Linotype" w:eastAsiaTheme="minorHAnsi" w:hAnsi="Palatino Linotype" w:cs="Arial"/>
          <w:b/>
          <w:szCs w:val="22"/>
          <w:lang w:val="es-MX" w:eastAsia="es-MX"/>
        </w:rPr>
        <w:t xml:space="preserve"> de 2025 </w:t>
      </w:r>
      <w:r w:rsidRPr="00655CC9">
        <w:rPr>
          <w:rFonts w:ascii="Palatino Linotype" w:eastAsiaTheme="minorHAnsi" w:hAnsi="Palatino Linotype" w:cs="Arial"/>
          <w:szCs w:val="22"/>
          <w:lang w:val="es-MX" w:eastAsia="es-MX"/>
        </w:rPr>
        <w:t xml:space="preserve">y el pronunciamiento del Titular de la Unidad de Transparencia del Sujeto Obligado, notificó su respuesta el día </w:t>
      </w:r>
      <w:r w:rsidR="00612810" w:rsidRPr="00655CC9">
        <w:rPr>
          <w:rFonts w:ascii="Palatino Linotype" w:eastAsiaTheme="minorHAnsi" w:hAnsi="Palatino Linotype" w:cs="Arial"/>
          <w:b/>
          <w:bCs/>
          <w:szCs w:val="22"/>
          <w:lang w:val="es-MX" w:eastAsia="es-MX"/>
        </w:rPr>
        <w:t>22</w:t>
      </w:r>
      <w:r w:rsidRPr="00655CC9">
        <w:rPr>
          <w:rFonts w:ascii="Palatino Linotype" w:eastAsiaTheme="minorHAnsi" w:hAnsi="Palatino Linotype" w:cs="Arial"/>
          <w:b/>
          <w:szCs w:val="22"/>
          <w:lang w:val="es-MX" w:eastAsia="es-MX"/>
        </w:rPr>
        <w:t xml:space="preserve"> del mismo mes y año</w:t>
      </w:r>
      <w:r w:rsidRPr="00655CC9">
        <w:rPr>
          <w:rFonts w:ascii="Palatino Linotype" w:eastAsiaTheme="minorHAnsi" w:hAnsi="Palatino Linotype" w:cs="Arial"/>
          <w:szCs w:val="22"/>
          <w:lang w:val="es-MX" w:eastAsia="es-MX"/>
        </w:rPr>
        <w:t>.</w:t>
      </w:r>
    </w:p>
    <w:p w14:paraId="020876D2" w14:textId="77777777" w:rsidR="009966DC" w:rsidRPr="00655CC9" w:rsidRDefault="009966DC" w:rsidP="009966DC">
      <w:pPr>
        <w:widowControl w:val="0"/>
        <w:autoSpaceDE w:val="0"/>
        <w:autoSpaceDN w:val="0"/>
        <w:adjustRightInd w:val="0"/>
        <w:spacing w:line="360" w:lineRule="auto"/>
        <w:ind w:right="51"/>
        <w:jc w:val="both"/>
        <w:rPr>
          <w:rFonts w:ascii="Palatino Linotype" w:eastAsia="Calibri" w:hAnsi="Palatino Linotype" w:cs="Arial"/>
        </w:rPr>
      </w:pPr>
    </w:p>
    <w:p w14:paraId="19C2F670" w14:textId="77777777" w:rsidR="009966DC" w:rsidRPr="00655CC9" w:rsidRDefault="009966DC" w:rsidP="009966DC">
      <w:pPr>
        <w:widowControl w:val="0"/>
        <w:autoSpaceDE w:val="0"/>
        <w:autoSpaceDN w:val="0"/>
        <w:adjustRightInd w:val="0"/>
        <w:spacing w:line="360" w:lineRule="auto"/>
        <w:ind w:right="51"/>
        <w:jc w:val="both"/>
        <w:rPr>
          <w:rFonts w:ascii="Palatino Linotype" w:eastAsiaTheme="minorHAnsi" w:hAnsi="Palatino Linotype" w:cs="Arial"/>
          <w:szCs w:val="22"/>
          <w:lang w:val="es-MX" w:eastAsia="en-US"/>
        </w:rPr>
      </w:pPr>
      <w:r w:rsidRPr="00655CC9">
        <w:rPr>
          <w:rFonts w:ascii="Palatino Linotype" w:eastAsiaTheme="minorHAnsi" w:hAnsi="Palatino Linotype" w:cs="Arial"/>
          <w:szCs w:val="22"/>
          <w:lang w:val="es-MX" w:eastAsia="en-US"/>
        </w:rPr>
        <w:t xml:space="preserve">Visto lo anterior, podemos concluir que la respuesta emitida por el </w:t>
      </w:r>
      <w:r w:rsidRPr="00655CC9">
        <w:rPr>
          <w:rFonts w:ascii="Palatino Linotype" w:eastAsiaTheme="minorHAnsi" w:hAnsi="Palatino Linotype" w:cs="Arial"/>
          <w:b/>
          <w:szCs w:val="22"/>
          <w:lang w:val="es-MX" w:eastAsia="en-US"/>
        </w:rPr>
        <w:t>Sujeto Obligado</w:t>
      </w:r>
      <w:r w:rsidRPr="00655CC9">
        <w:rPr>
          <w:rFonts w:ascii="Palatino Linotype" w:eastAsiaTheme="minorHAnsi" w:hAnsi="Palatino Linotype" w:cs="Arial"/>
          <w:szCs w:val="22"/>
          <w:lang w:val="es-MX" w:eastAsia="en-US"/>
        </w:rPr>
        <w:t xml:space="preserve"> se encuentra encaminada a determinar que, de la solicitud de información, se pretende acceder a documentos que no genera, en virtud de que la información solicitada no puede fácticamente obrar en los archivos del </w:t>
      </w:r>
      <w:r w:rsidRPr="00655CC9">
        <w:rPr>
          <w:rFonts w:ascii="Palatino Linotype" w:eastAsiaTheme="minorHAnsi" w:hAnsi="Palatino Linotype" w:cs="Arial"/>
          <w:b/>
          <w:szCs w:val="22"/>
          <w:lang w:val="es-MX" w:eastAsia="en-US"/>
        </w:rPr>
        <w:t>Sujeto Obligado</w:t>
      </w:r>
      <w:r w:rsidRPr="00655CC9">
        <w:rPr>
          <w:rFonts w:ascii="Palatino Linotype" w:eastAsiaTheme="minorHAnsi" w:hAnsi="Palatino Linotype" w:cs="Arial"/>
          <w:szCs w:val="22"/>
          <w:lang w:val="es-MX" w:eastAsia="en-US"/>
        </w:rPr>
        <w:t>.</w:t>
      </w:r>
    </w:p>
    <w:p w14:paraId="7392CD74" w14:textId="07D49BDA" w:rsidR="00352E06" w:rsidRPr="00655CC9" w:rsidRDefault="003B5A80"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r w:rsidRPr="00655CC9">
        <w:rPr>
          <w:rFonts w:ascii="Palatino Linotype" w:eastAsia="Calibri" w:hAnsi="Palatino Linotype" w:cs="Arial"/>
          <w:lang w:val="es-ES_tradnl"/>
        </w:rPr>
        <w:lastRenderedPageBreak/>
        <w:t xml:space="preserve">De tal forma que el Sujeto Obligado </w:t>
      </w:r>
      <w:r w:rsidR="00C25AE2" w:rsidRPr="00655CC9">
        <w:rPr>
          <w:rFonts w:ascii="Palatino Linotype" w:eastAsia="Calibri" w:hAnsi="Palatino Linotype" w:cs="Arial"/>
          <w:lang w:val="es-ES_tradnl"/>
        </w:rPr>
        <w:t xml:space="preserve">se declaró incompetente en los términos del precepto citado </w:t>
      </w:r>
      <w:r w:rsidR="0065334E" w:rsidRPr="00655CC9">
        <w:rPr>
          <w:rFonts w:ascii="Palatino Linotype" w:eastAsia="Calibri" w:hAnsi="Palatino Linotype" w:cs="Arial"/>
          <w:lang w:val="es-ES_tradnl"/>
        </w:rPr>
        <w:t xml:space="preserve">observando cabalmente el término previsto, aunado a que la incompetencia referida se estima como notoria conforme a </w:t>
      </w:r>
      <w:r w:rsidR="00864C62" w:rsidRPr="00655CC9">
        <w:rPr>
          <w:rFonts w:ascii="Palatino Linotype" w:eastAsia="Calibri" w:hAnsi="Palatino Linotype" w:cs="Arial"/>
          <w:lang w:val="es-ES_tradnl"/>
        </w:rPr>
        <w:t>lo referido</w:t>
      </w:r>
      <w:r w:rsidR="0065334E" w:rsidRPr="00655CC9">
        <w:rPr>
          <w:rFonts w:ascii="Palatino Linotype" w:eastAsia="Calibri" w:hAnsi="Palatino Linotype" w:cs="Arial"/>
          <w:lang w:val="es-ES_tradnl"/>
        </w:rPr>
        <w:t xml:space="preserve"> en </w:t>
      </w:r>
      <w:r w:rsidR="00864C62" w:rsidRPr="00655CC9">
        <w:rPr>
          <w:rFonts w:ascii="Palatino Linotype" w:eastAsia="Calibri" w:hAnsi="Palatino Linotype" w:cs="Arial"/>
          <w:lang w:val="es-ES_tradnl"/>
        </w:rPr>
        <w:t>párrafos anteriores</w:t>
      </w:r>
      <w:r w:rsidR="0065334E" w:rsidRPr="00655CC9">
        <w:rPr>
          <w:rFonts w:ascii="Palatino Linotype" w:eastAsia="Calibri" w:hAnsi="Palatino Linotype" w:cs="Arial"/>
          <w:lang w:val="es-ES_tradnl"/>
        </w:rPr>
        <w:t xml:space="preserve">. Por lo anterior, </w:t>
      </w:r>
      <w:r w:rsidR="00F86214" w:rsidRPr="00655CC9">
        <w:rPr>
          <w:rFonts w:ascii="Palatino Linotype" w:eastAsia="Calibri" w:hAnsi="Palatino Linotype" w:cs="Arial"/>
          <w:lang w:val="es-ES_tradnl"/>
        </w:rPr>
        <w:t xml:space="preserve">se considera innecesario que el Comité de Transparencia del Sujeto Obligado emita una declaratoria de incompetencia y </w:t>
      </w:r>
      <w:r w:rsidR="00352E06" w:rsidRPr="00655CC9">
        <w:rPr>
          <w:rFonts w:ascii="Palatino Linotype" w:eastAsia="Calibri" w:hAnsi="Palatino Linotype" w:cs="Arial"/>
          <w:lang w:val="es-ES_tradnl"/>
        </w:rPr>
        <w:t>se tiene por manifestada la misma por el Sujeto Obligado; para mayor abundamiento resulta aplicable el criterio 02/2020 emitido por el Instituto Nacional de Transparencia, Acceso a la Información y Protección de Datos Personales, en el que se establece lo siguiente:</w:t>
      </w:r>
    </w:p>
    <w:p w14:paraId="79383BA0" w14:textId="7D546368" w:rsidR="00352E06" w:rsidRPr="00655CC9" w:rsidRDefault="00352E06"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p>
    <w:p w14:paraId="5936ED1D" w14:textId="77777777" w:rsidR="00352E06" w:rsidRPr="00655CC9" w:rsidRDefault="00352E06" w:rsidP="009966DC">
      <w:pPr>
        <w:pStyle w:val="Sinespaciado"/>
        <w:spacing w:line="360" w:lineRule="auto"/>
        <w:rPr>
          <w:rFonts w:eastAsia="Calibri"/>
          <w:sz w:val="24"/>
          <w:lang w:val="es-MX"/>
        </w:rPr>
      </w:pPr>
      <w:r w:rsidRPr="00655CC9">
        <w:rPr>
          <w:rFonts w:eastAsia="Calibri"/>
          <w:b/>
          <w:sz w:val="24"/>
          <w:lang w:val="es-MX"/>
        </w:rPr>
        <w:t xml:space="preserve">Declaración de incompetencia por parte del Comité, cuando no sea notoria o manifiesta. </w:t>
      </w:r>
      <w:r w:rsidRPr="00655CC9">
        <w:rPr>
          <w:rFonts w:eastAsia="Calibri"/>
          <w:sz w:val="24"/>
          <w:lang w:val="es-MX"/>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2C6CE4E1" w14:textId="68955817" w:rsidR="0072226C" w:rsidRPr="00655CC9" w:rsidRDefault="0072226C"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p>
    <w:p w14:paraId="07A3D170" w14:textId="162F41A7" w:rsidR="0072226C" w:rsidRPr="00655CC9" w:rsidRDefault="00050C6D" w:rsidP="0072226C">
      <w:pPr>
        <w:widowControl w:val="0"/>
        <w:autoSpaceDE w:val="0"/>
        <w:autoSpaceDN w:val="0"/>
        <w:adjustRightInd w:val="0"/>
        <w:spacing w:line="360" w:lineRule="auto"/>
        <w:jc w:val="both"/>
        <w:rPr>
          <w:rFonts w:ascii="Palatino Linotype" w:eastAsia="Calibri" w:hAnsi="Palatino Linotype" w:cs="Arial"/>
          <w:lang w:val="es-ES_tradnl"/>
        </w:rPr>
      </w:pPr>
      <w:r w:rsidRPr="00655CC9">
        <w:rPr>
          <w:rFonts w:ascii="Palatino Linotype" w:eastAsia="Calibri" w:hAnsi="Palatino Linotype" w:cs="Arial"/>
          <w:lang w:val="es-ES_tradnl"/>
        </w:rPr>
        <w:t xml:space="preserve">Consecuentemente, </w:t>
      </w:r>
      <w:r w:rsidR="0072226C" w:rsidRPr="00655CC9">
        <w:rPr>
          <w:rFonts w:ascii="Palatino Linotype" w:eastAsia="Calibri" w:hAnsi="Palatino Linotype"/>
        </w:rPr>
        <w:t>con base en las consideraciones de hecho y de derecho precisadas en párrafos anteriores, este In</w:t>
      </w:r>
      <w:r w:rsidR="0082339C" w:rsidRPr="00655CC9">
        <w:rPr>
          <w:rFonts w:ascii="Palatino Linotype" w:eastAsia="Calibri" w:hAnsi="Palatino Linotype"/>
        </w:rPr>
        <w:t xml:space="preserve">stituto considera que los motivos de inconformidad planteados por la Recurrente devienen infundados, por lo que es procedente confirmar </w:t>
      </w:r>
      <w:r w:rsidR="0072226C" w:rsidRPr="00655CC9">
        <w:rPr>
          <w:rFonts w:ascii="Palatino Linotype" w:eastAsia="Calibri" w:hAnsi="Palatino Linotype" w:cs="Arial"/>
          <w:lang w:val="es-ES_tradnl"/>
        </w:rPr>
        <w:t xml:space="preserve">la respuesta </w:t>
      </w:r>
      <w:r w:rsidR="0082339C" w:rsidRPr="00655CC9">
        <w:rPr>
          <w:rFonts w:ascii="Palatino Linotype" w:eastAsia="Calibri" w:hAnsi="Palatino Linotype" w:cs="Arial"/>
          <w:lang w:val="es-ES_tradnl"/>
        </w:rPr>
        <w:t xml:space="preserve">proporcionada por </w:t>
      </w:r>
      <w:r w:rsidR="0072226C" w:rsidRPr="00655CC9">
        <w:rPr>
          <w:rFonts w:ascii="Palatino Linotype" w:eastAsia="Calibri" w:hAnsi="Palatino Linotype" w:cs="Arial"/>
          <w:lang w:val="es-ES_tradnl"/>
        </w:rPr>
        <w:t xml:space="preserve"> el Sujeto Obligado a la solicitud de</w:t>
      </w:r>
      <w:r w:rsidR="0082339C" w:rsidRPr="00655CC9">
        <w:rPr>
          <w:rFonts w:ascii="Palatino Linotype" w:eastAsia="Calibri" w:hAnsi="Palatino Linotype" w:cs="Arial"/>
          <w:lang w:val="es-ES_tradnl"/>
        </w:rPr>
        <w:t xml:space="preserve"> acceso</w:t>
      </w:r>
      <w:r w:rsidR="0072226C" w:rsidRPr="00655CC9">
        <w:rPr>
          <w:rFonts w:ascii="Palatino Linotype" w:eastAsia="Calibri" w:hAnsi="Palatino Linotype" w:cs="Arial"/>
          <w:lang w:val="es-ES_tradnl"/>
        </w:rPr>
        <w:t xml:space="preserve"> </w:t>
      </w:r>
      <w:r w:rsidR="0082339C" w:rsidRPr="00655CC9">
        <w:rPr>
          <w:rFonts w:ascii="Palatino Linotype" w:eastAsia="Calibri" w:hAnsi="Palatino Linotype" w:cs="Arial"/>
          <w:lang w:val="es-ES_tradnl"/>
        </w:rPr>
        <w:t>a</w:t>
      </w:r>
      <w:r w:rsidR="0072226C" w:rsidRPr="00655CC9">
        <w:rPr>
          <w:rFonts w:ascii="Palatino Linotype" w:eastAsia="Calibri" w:hAnsi="Palatino Linotype" w:cs="Arial"/>
          <w:lang w:val="es-ES_tradnl"/>
        </w:rPr>
        <w:t xml:space="preserve"> datos personales, con número </w:t>
      </w:r>
      <w:r w:rsidR="00612810" w:rsidRPr="00655CC9">
        <w:rPr>
          <w:rFonts w:ascii="Palatino Linotype" w:eastAsia="Calibri" w:hAnsi="Palatino Linotype" w:cs="Arial"/>
          <w:b/>
          <w:lang w:val="es-ES_tradnl"/>
        </w:rPr>
        <w:t>00003/SSALUD/AD/2025</w:t>
      </w:r>
      <w:r w:rsidR="0072226C" w:rsidRPr="00655CC9">
        <w:rPr>
          <w:rFonts w:ascii="Palatino Linotype" w:eastAsia="Calibri" w:hAnsi="Palatino Linotype"/>
          <w:lang w:eastAsia="es-ES_tradnl"/>
        </w:rPr>
        <w:t xml:space="preserve">, </w:t>
      </w:r>
      <w:r w:rsidR="00184F32" w:rsidRPr="00655CC9">
        <w:rPr>
          <w:rFonts w:ascii="Palatino Linotype" w:eastAsia="Calibri" w:hAnsi="Palatino Linotype"/>
          <w:lang w:eastAsia="es-ES_tradnl"/>
        </w:rPr>
        <w:t xml:space="preserve">conforme </w:t>
      </w:r>
      <w:r w:rsidR="0072226C" w:rsidRPr="00655CC9">
        <w:rPr>
          <w:rFonts w:ascii="Palatino Linotype" w:eastAsia="Calibri" w:hAnsi="Palatino Linotype"/>
          <w:lang w:eastAsia="es-ES_tradnl"/>
        </w:rPr>
        <w:t xml:space="preserve">con lo señalado en la primera hipótesis de la fracción II del </w:t>
      </w:r>
      <w:r w:rsidR="0072226C" w:rsidRPr="00655CC9">
        <w:rPr>
          <w:rFonts w:ascii="Palatino Linotype" w:eastAsia="Calibri" w:hAnsi="Palatino Linotype" w:cs="Arial"/>
          <w:lang w:val="es-ES_tradnl"/>
        </w:rPr>
        <w:t xml:space="preserve">artículo 137 de la </w:t>
      </w:r>
      <w:r w:rsidR="0072226C" w:rsidRPr="00655CC9">
        <w:rPr>
          <w:rFonts w:ascii="Palatino Linotype" w:eastAsia="Calibri" w:hAnsi="Palatino Linotype"/>
        </w:rPr>
        <w:t>Ley de Protección de Datos Personales en Posesión de Sujetos Obligados del Estado de México y Municipios</w:t>
      </w:r>
      <w:r w:rsidR="0072226C" w:rsidRPr="00655CC9">
        <w:rPr>
          <w:rFonts w:ascii="Palatino Linotype" w:eastAsia="Calibri" w:hAnsi="Palatino Linotype" w:cs="Arial"/>
        </w:rPr>
        <w:t>, mismo que se transcribe a continuación en la parte aplicable:</w:t>
      </w:r>
    </w:p>
    <w:p w14:paraId="32A65888" w14:textId="77777777" w:rsidR="0072226C" w:rsidRPr="00655CC9" w:rsidRDefault="0072226C" w:rsidP="00184F32">
      <w:pPr>
        <w:spacing w:line="360" w:lineRule="auto"/>
        <w:rPr>
          <w:rFonts w:ascii="Palatino Linotype" w:eastAsia="Calibri" w:hAnsi="Palatino Linotype"/>
          <w:lang w:val="es-ES_tradnl"/>
        </w:rPr>
      </w:pPr>
    </w:p>
    <w:p w14:paraId="1D674D20" w14:textId="77777777" w:rsidR="0072226C" w:rsidRPr="00655CC9" w:rsidRDefault="0072226C" w:rsidP="00184F32">
      <w:pPr>
        <w:pStyle w:val="Sinespaciado"/>
        <w:rPr>
          <w:rFonts w:eastAsia="Calibri"/>
        </w:rPr>
      </w:pPr>
      <w:r w:rsidRPr="00655CC9">
        <w:rPr>
          <w:rFonts w:eastAsia="Calibri"/>
          <w:b/>
        </w:rPr>
        <w:lastRenderedPageBreak/>
        <w:t>Artículo 137</w:t>
      </w:r>
      <w:r w:rsidRPr="00655CC9">
        <w:rPr>
          <w:rFonts w:eastAsia="Calibri"/>
        </w:rPr>
        <w:t>. Las resoluciones del Instituto podrán:</w:t>
      </w:r>
    </w:p>
    <w:p w14:paraId="1F068C69" w14:textId="0E088E14" w:rsidR="0072226C" w:rsidRPr="00655CC9" w:rsidRDefault="00080E7F" w:rsidP="00184F32">
      <w:pPr>
        <w:pStyle w:val="Sinespaciado"/>
        <w:rPr>
          <w:rFonts w:eastAsia="Calibri"/>
          <w:bCs/>
        </w:rPr>
      </w:pPr>
      <w:r w:rsidRPr="00655CC9">
        <w:rPr>
          <w:rFonts w:eastAsia="Calibri"/>
          <w:bCs/>
        </w:rPr>
        <w:t>[…]</w:t>
      </w:r>
    </w:p>
    <w:p w14:paraId="59454C12" w14:textId="6AE287EC" w:rsidR="0072226C" w:rsidRPr="00655CC9" w:rsidRDefault="0072226C" w:rsidP="00184F32">
      <w:pPr>
        <w:pStyle w:val="Sinespaciado"/>
        <w:rPr>
          <w:rFonts w:eastAsia="Calibri"/>
        </w:rPr>
      </w:pPr>
      <w:r w:rsidRPr="00655CC9">
        <w:rPr>
          <w:rFonts w:eastAsia="Calibri"/>
          <w:b/>
        </w:rPr>
        <w:t>II.</w:t>
      </w:r>
      <w:r w:rsidRPr="00655CC9">
        <w:rPr>
          <w:rFonts w:eastAsia="Calibri"/>
        </w:rPr>
        <w:t xml:space="preserve"> Confirmar la respuesta del responsable.</w:t>
      </w:r>
    </w:p>
    <w:p w14:paraId="793F4CEF" w14:textId="1CCE2080" w:rsidR="00080E7F" w:rsidRPr="00655CC9" w:rsidRDefault="00080E7F" w:rsidP="00184F32">
      <w:pPr>
        <w:pStyle w:val="Sinespaciado"/>
        <w:rPr>
          <w:rFonts w:eastAsia="Calibri"/>
        </w:rPr>
      </w:pPr>
      <w:r w:rsidRPr="00655CC9">
        <w:rPr>
          <w:rFonts w:eastAsia="Calibri"/>
        </w:rPr>
        <w:t>[…]</w:t>
      </w:r>
    </w:p>
    <w:p w14:paraId="3258CB0F" w14:textId="77777777" w:rsidR="0072226C" w:rsidRPr="00655CC9" w:rsidRDefault="0072226C" w:rsidP="0065334E">
      <w:pPr>
        <w:spacing w:line="360" w:lineRule="auto"/>
        <w:jc w:val="both"/>
        <w:rPr>
          <w:rFonts w:ascii="Palatino Linotype" w:eastAsia="Calibri" w:hAnsi="Palatino Linotype"/>
        </w:rPr>
      </w:pPr>
    </w:p>
    <w:p w14:paraId="1802EAA3" w14:textId="77777777" w:rsidR="009966DC" w:rsidRPr="00655CC9" w:rsidRDefault="009966DC" w:rsidP="009966DC">
      <w:pPr>
        <w:widowControl w:val="0"/>
        <w:autoSpaceDE w:val="0"/>
        <w:autoSpaceDN w:val="0"/>
        <w:adjustRightInd w:val="0"/>
        <w:spacing w:line="360" w:lineRule="auto"/>
        <w:ind w:right="51"/>
        <w:jc w:val="both"/>
        <w:rPr>
          <w:rFonts w:ascii="Palatino Linotype" w:eastAsia="Calibri" w:hAnsi="Palatino Linotype" w:cs="Arial"/>
        </w:rPr>
      </w:pPr>
      <w:r w:rsidRPr="00655CC9">
        <w:rPr>
          <w:rFonts w:ascii="Palatino Linotype" w:eastAsia="Calibri" w:hAnsi="Palatino Linotype" w:cs="Arial"/>
        </w:rPr>
        <w:t>Es así que cuando los Sujetos Obligados, determinen su notoria incompetencia, deberán hacerlo del conocimiento del Particular, con la finalidad de que puedan orientar sus esfuerzos ante los Sujetos Obligados competentes, por lo que una vez que se determinó que en efecto el Ayuntamiento de Tecámac es incompetente, solo queda confirmar la respuesta.</w:t>
      </w:r>
    </w:p>
    <w:p w14:paraId="1E2F4F53" w14:textId="77777777" w:rsidR="009966DC" w:rsidRPr="00655CC9" w:rsidRDefault="009966DC" w:rsidP="0065334E">
      <w:pPr>
        <w:spacing w:line="360" w:lineRule="auto"/>
        <w:jc w:val="both"/>
        <w:rPr>
          <w:rFonts w:ascii="Palatino Linotype" w:eastAsia="Calibri" w:hAnsi="Palatino Linotype"/>
        </w:rPr>
      </w:pPr>
    </w:p>
    <w:p w14:paraId="35030378" w14:textId="0BC3986F" w:rsidR="0065334E" w:rsidRPr="00655CC9" w:rsidRDefault="0065334E" w:rsidP="0065334E">
      <w:pPr>
        <w:spacing w:line="360" w:lineRule="auto"/>
        <w:jc w:val="both"/>
        <w:rPr>
          <w:rFonts w:ascii="Palatino Linotype" w:eastAsia="Calibri" w:hAnsi="Palatino Linotype"/>
        </w:rPr>
      </w:pPr>
      <w:r w:rsidRPr="00655CC9">
        <w:rPr>
          <w:rFonts w:ascii="Palatino Linotype" w:eastAsia="Calibri" w:hAnsi="Palatino Linotype"/>
        </w:rPr>
        <w:t>Por último, se dejan a salvo los derechos del Recurrente para que realice una nueva solicitud de acceso a datos personales ante el sujeto obligado que estime competente.</w:t>
      </w:r>
    </w:p>
    <w:p w14:paraId="4FA8E277" w14:textId="77777777" w:rsidR="0065334E" w:rsidRPr="00655CC9" w:rsidRDefault="0065334E" w:rsidP="0065334E">
      <w:pPr>
        <w:spacing w:line="360" w:lineRule="auto"/>
        <w:jc w:val="both"/>
        <w:rPr>
          <w:rFonts w:ascii="Palatino Linotype" w:eastAsia="Calibri" w:hAnsi="Palatino Linotype"/>
        </w:rPr>
      </w:pPr>
    </w:p>
    <w:p w14:paraId="1372CEED" w14:textId="68D91EFA" w:rsidR="0072226C" w:rsidRPr="00655CC9" w:rsidRDefault="0072226C" w:rsidP="0065334E">
      <w:pPr>
        <w:spacing w:line="360" w:lineRule="auto"/>
        <w:ind w:firstLine="1"/>
        <w:contextualSpacing/>
        <w:jc w:val="both"/>
        <w:rPr>
          <w:rFonts w:ascii="Palatino Linotype" w:eastAsia="MS Mincho" w:hAnsi="Palatino Linotype" w:cs="Arial"/>
          <w:lang w:val="es-ES_tradnl"/>
        </w:rPr>
      </w:pPr>
      <w:r w:rsidRPr="00655CC9">
        <w:rPr>
          <w:rFonts w:ascii="Palatino Linotype" w:eastAsia="Calibri" w:hAnsi="Palatino Linotype" w:cs="Arial"/>
        </w:rPr>
        <w:t xml:space="preserve">Así, con fundamento en lo </w:t>
      </w:r>
      <w:r w:rsidR="00184F32" w:rsidRPr="00655CC9">
        <w:rPr>
          <w:rFonts w:ascii="Palatino Linotype" w:eastAsia="Calibri" w:hAnsi="Palatino Linotype" w:cs="Arial"/>
        </w:rPr>
        <w:t>dispuesto</w:t>
      </w:r>
      <w:r w:rsidRPr="00655CC9">
        <w:rPr>
          <w:rFonts w:ascii="Palatino Linotype" w:eastAsia="Calibri" w:hAnsi="Palatino Linotype" w:cs="Arial"/>
        </w:rPr>
        <w:t xml:space="preserve"> en los artículos </w:t>
      </w:r>
      <w:r w:rsidRPr="00655CC9">
        <w:rPr>
          <w:rFonts w:ascii="Palatino Linotype" w:eastAsia="Calibri" w:hAnsi="Palatino Linotype"/>
        </w:rPr>
        <w:t>5, párrafos trigésimo, trigésimo primero y trigésimo segundo, fracciones IV y V</w:t>
      </w:r>
      <w:r w:rsidRPr="00655CC9">
        <w:rPr>
          <w:rFonts w:ascii="Palatino Linotype" w:eastAsia="Calibri" w:hAnsi="Palatino Linotype" w:cs="Arial"/>
        </w:rPr>
        <w:t xml:space="preserve"> de la Constitución Política del Estado Libre y Soberano de México; 2 fracción II, 29, 36 fracciones I, II y III, 176, 178, 179, 181, 185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w:t>
      </w:r>
      <w:r w:rsidRPr="00655CC9">
        <w:rPr>
          <w:rFonts w:ascii="Palatino Linotype" w:eastAsia="MS Mincho" w:hAnsi="Palatino Linotype" w:cs="Arial"/>
          <w:lang w:val="es-ES_tradnl"/>
        </w:rPr>
        <w:t xml:space="preserve"> este Órgano Garante emite los siguientes:</w:t>
      </w:r>
    </w:p>
    <w:p w14:paraId="367910B9" w14:textId="77777777" w:rsidR="0072226C" w:rsidRPr="00655CC9" w:rsidRDefault="0072226C" w:rsidP="00184F32">
      <w:pPr>
        <w:spacing w:line="360" w:lineRule="auto"/>
        <w:ind w:firstLine="1"/>
        <w:contextualSpacing/>
        <w:jc w:val="both"/>
        <w:rPr>
          <w:rFonts w:ascii="Palatino Linotype" w:eastAsia="Calibri" w:hAnsi="Palatino Linotype" w:cs="Arial"/>
        </w:rPr>
      </w:pPr>
    </w:p>
    <w:p w14:paraId="11201BB4" w14:textId="013E25F1" w:rsidR="0072226C" w:rsidRPr="00655CC9" w:rsidRDefault="0072226C" w:rsidP="005F0E24">
      <w:pPr>
        <w:keepNext/>
        <w:keepLines/>
        <w:spacing w:line="360" w:lineRule="auto"/>
        <w:jc w:val="center"/>
        <w:outlineLvl w:val="0"/>
        <w:rPr>
          <w:rFonts w:ascii="Palatino Linotype" w:eastAsia="Calibri" w:hAnsi="Palatino Linotype"/>
          <w:b/>
          <w:sz w:val="28"/>
          <w:szCs w:val="28"/>
        </w:rPr>
      </w:pPr>
      <w:r w:rsidRPr="00655CC9">
        <w:rPr>
          <w:rFonts w:ascii="Palatino Linotype" w:eastAsia="Calibri" w:hAnsi="Palatino Linotype"/>
          <w:b/>
          <w:sz w:val="28"/>
          <w:szCs w:val="28"/>
        </w:rPr>
        <w:lastRenderedPageBreak/>
        <w:t>R E S O L U T I V O S</w:t>
      </w:r>
    </w:p>
    <w:p w14:paraId="57299032" w14:textId="77777777" w:rsidR="005F0E24" w:rsidRPr="00655CC9" w:rsidRDefault="005F0E24" w:rsidP="005F0E24">
      <w:pPr>
        <w:keepNext/>
        <w:keepLines/>
        <w:spacing w:line="360" w:lineRule="auto"/>
        <w:jc w:val="center"/>
        <w:outlineLvl w:val="0"/>
        <w:rPr>
          <w:rFonts w:ascii="Palatino Linotype" w:eastAsia="Calibri" w:hAnsi="Palatino Linotype"/>
          <w:b/>
          <w:sz w:val="28"/>
          <w:szCs w:val="28"/>
        </w:rPr>
      </w:pPr>
    </w:p>
    <w:p w14:paraId="17D37FFD" w14:textId="6F3426EC" w:rsidR="0072226C" w:rsidRPr="00655CC9" w:rsidRDefault="0072226C" w:rsidP="00184F32">
      <w:pPr>
        <w:spacing w:line="360" w:lineRule="auto"/>
        <w:jc w:val="both"/>
        <w:rPr>
          <w:rFonts w:ascii="Palatino Linotype" w:hAnsi="Palatino Linotype" w:cs="Arial"/>
          <w:lang w:val="es-ES_tradnl"/>
        </w:rPr>
      </w:pPr>
      <w:r w:rsidRPr="00655CC9">
        <w:rPr>
          <w:rFonts w:ascii="Palatino Linotype" w:hAnsi="Palatino Linotype" w:cs="Arial"/>
          <w:b/>
          <w:lang w:val="es-ES_tradnl"/>
        </w:rPr>
        <w:t>PRIMERO</w:t>
      </w:r>
      <w:r w:rsidRPr="00655CC9">
        <w:rPr>
          <w:rFonts w:ascii="Palatino Linotype" w:hAnsi="Palatino Linotype" w:cs="Arial"/>
          <w:lang w:val="es-ES_tradnl"/>
        </w:rPr>
        <w:t xml:space="preserve">. Se </w:t>
      </w:r>
      <w:r w:rsidRPr="00655CC9">
        <w:rPr>
          <w:rFonts w:ascii="Palatino Linotype" w:hAnsi="Palatino Linotype" w:cs="Arial"/>
          <w:b/>
          <w:lang w:val="es-ES_tradnl"/>
        </w:rPr>
        <w:t>CONFIRMA</w:t>
      </w:r>
      <w:r w:rsidRPr="00655CC9">
        <w:rPr>
          <w:rFonts w:ascii="Palatino Linotype" w:hAnsi="Palatino Linotype" w:cs="Arial"/>
          <w:lang w:val="es-ES_tradnl"/>
        </w:rPr>
        <w:t xml:space="preserve"> la respuesta del Sujeto Obligado a la solicitud de </w:t>
      </w:r>
      <w:r w:rsidR="003B6BD9" w:rsidRPr="00655CC9">
        <w:rPr>
          <w:rFonts w:ascii="Palatino Linotype" w:hAnsi="Palatino Linotype" w:cs="Arial"/>
          <w:lang w:val="es-ES_tradnl"/>
        </w:rPr>
        <w:t>acceso a datos personales</w:t>
      </w:r>
      <w:r w:rsidRPr="00655CC9">
        <w:rPr>
          <w:rFonts w:ascii="Palatino Linotype" w:hAnsi="Palatino Linotype" w:cs="Arial"/>
          <w:lang w:val="es-ES_tradnl"/>
        </w:rPr>
        <w:t xml:space="preserve"> </w:t>
      </w:r>
      <w:r w:rsidR="00612810" w:rsidRPr="00655CC9">
        <w:rPr>
          <w:rFonts w:ascii="Palatino Linotype" w:eastAsia="Calibri" w:hAnsi="Palatino Linotype" w:cs="Arial"/>
          <w:b/>
          <w:lang w:val="es-ES_tradnl"/>
        </w:rPr>
        <w:t>00003/SSALUD/AD/2025</w:t>
      </w:r>
      <w:r w:rsidRPr="00655CC9">
        <w:rPr>
          <w:rFonts w:ascii="Palatino Linotype" w:hAnsi="Palatino Linotype" w:cs="Arial"/>
          <w:lang w:val="es-ES_tradnl"/>
        </w:rPr>
        <w:t>, por resultar infundada</w:t>
      </w:r>
      <w:r w:rsidR="00184F32" w:rsidRPr="00655CC9">
        <w:rPr>
          <w:rFonts w:ascii="Palatino Linotype" w:hAnsi="Palatino Linotype" w:cs="Arial"/>
          <w:lang w:val="es-ES_tradnl"/>
        </w:rPr>
        <w:t>s</w:t>
      </w:r>
      <w:r w:rsidRPr="00655CC9">
        <w:rPr>
          <w:rFonts w:ascii="Palatino Linotype" w:hAnsi="Palatino Linotype" w:cs="Arial"/>
          <w:lang w:val="es-ES_tradnl"/>
        </w:rPr>
        <w:t xml:space="preserve"> </w:t>
      </w:r>
      <w:r w:rsidRPr="00655CC9">
        <w:rPr>
          <w:rFonts w:ascii="Palatino Linotype" w:eastAsia="Calibri" w:hAnsi="Palatino Linotype" w:cs="Arial"/>
        </w:rPr>
        <w:t xml:space="preserve">las razones y motivos de inconformidad hechas valer en el recurso de revisión </w:t>
      </w:r>
      <w:r w:rsidR="00612810" w:rsidRPr="00655CC9">
        <w:rPr>
          <w:rFonts w:ascii="Palatino Linotype" w:eastAsia="Calibri" w:hAnsi="Palatino Linotype" w:cs="Arial"/>
          <w:b/>
        </w:rPr>
        <w:t>06600</w:t>
      </w:r>
      <w:r w:rsidR="009966DC" w:rsidRPr="00655CC9">
        <w:rPr>
          <w:rFonts w:ascii="Palatino Linotype" w:eastAsia="Calibri" w:hAnsi="Palatino Linotype" w:cs="Arial"/>
          <w:b/>
        </w:rPr>
        <w:t>/INFOEM/AD/RR/2025</w:t>
      </w:r>
      <w:r w:rsidRPr="00655CC9">
        <w:rPr>
          <w:rFonts w:ascii="Palatino Linotype" w:eastAsia="Calibri" w:hAnsi="Palatino Linotype" w:cs="Arial"/>
        </w:rPr>
        <w:t xml:space="preserve"> </w:t>
      </w:r>
      <w:r w:rsidRPr="00655CC9">
        <w:rPr>
          <w:rFonts w:ascii="Palatino Linotype" w:eastAsia="Calibri" w:hAnsi="Palatino Linotype"/>
        </w:rPr>
        <w:t xml:space="preserve">en términos del </w:t>
      </w:r>
      <w:r w:rsidRPr="00655CC9">
        <w:rPr>
          <w:rFonts w:ascii="Palatino Linotype" w:eastAsia="Calibri" w:hAnsi="Palatino Linotype"/>
          <w:b/>
          <w:bCs/>
        </w:rPr>
        <w:t xml:space="preserve">Considerando </w:t>
      </w:r>
      <w:r w:rsidR="00864C62" w:rsidRPr="00655CC9">
        <w:rPr>
          <w:rFonts w:ascii="Palatino Linotype" w:eastAsia="Calibri" w:hAnsi="Palatino Linotype"/>
          <w:b/>
          <w:bCs/>
        </w:rPr>
        <w:t>CUARTO</w:t>
      </w:r>
      <w:r w:rsidRPr="00655CC9">
        <w:rPr>
          <w:rFonts w:ascii="Palatino Linotype" w:eastAsia="Calibri" w:hAnsi="Palatino Linotype"/>
          <w:b/>
        </w:rPr>
        <w:t xml:space="preserve"> </w:t>
      </w:r>
      <w:r w:rsidRPr="00655CC9">
        <w:rPr>
          <w:rFonts w:ascii="Palatino Linotype" w:eastAsia="Calibri" w:hAnsi="Palatino Linotype"/>
        </w:rPr>
        <w:t>de la presente resolución</w:t>
      </w:r>
      <w:r w:rsidRPr="00655CC9">
        <w:rPr>
          <w:rFonts w:ascii="Palatino Linotype" w:hAnsi="Palatino Linotype" w:cs="Arial"/>
          <w:lang w:val="es-ES_tradnl"/>
        </w:rPr>
        <w:t>.</w:t>
      </w:r>
    </w:p>
    <w:p w14:paraId="27E1DE36" w14:textId="77777777" w:rsidR="0072226C" w:rsidRPr="00655CC9" w:rsidRDefault="0072226C" w:rsidP="00184F32">
      <w:pPr>
        <w:spacing w:line="360" w:lineRule="auto"/>
        <w:jc w:val="both"/>
        <w:rPr>
          <w:rFonts w:ascii="Palatino Linotype" w:hAnsi="Palatino Linotype" w:cs="Arial"/>
          <w:lang w:val="es-ES_tradnl"/>
        </w:rPr>
      </w:pPr>
    </w:p>
    <w:p w14:paraId="1F16742B" w14:textId="152A1011" w:rsidR="0072226C" w:rsidRPr="00655CC9" w:rsidRDefault="0072226C" w:rsidP="00184F32">
      <w:pPr>
        <w:spacing w:line="360" w:lineRule="auto"/>
        <w:jc w:val="both"/>
        <w:rPr>
          <w:rFonts w:ascii="Palatino Linotype" w:hAnsi="Palatino Linotype" w:cs="Arial"/>
        </w:rPr>
      </w:pPr>
      <w:r w:rsidRPr="00655CC9">
        <w:rPr>
          <w:rFonts w:ascii="Palatino Linotype" w:hAnsi="Palatino Linotype" w:cs="Arial"/>
          <w:b/>
          <w:lang w:val="es-ES_tradnl"/>
        </w:rPr>
        <w:t>SEGUNDO</w:t>
      </w:r>
      <w:r w:rsidRPr="00655CC9">
        <w:rPr>
          <w:rFonts w:ascii="Palatino Linotype" w:hAnsi="Palatino Linotype" w:cs="Arial"/>
          <w:lang w:val="es-ES_tradnl"/>
        </w:rPr>
        <w:t xml:space="preserve">. </w:t>
      </w:r>
      <w:r w:rsidRPr="00655CC9">
        <w:rPr>
          <w:rFonts w:ascii="Palatino Linotype" w:hAnsi="Palatino Linotype" w:cs="Arial"/>
          <w:b/>
        </w:rPr>
        <w:t xml:space="preserve">Notifíquese </w:t>
      </w:r>
      <w:r w:rsidRPr="00655CC9">
        <w:rPr>
          <w:rFonts w:ascii="Palatino Linotype" w:hAnsi="Palatino Linotype" w:cs="Arial"/>
        </w:rPr>
        <w:t xml:space="preserve">vía Sistema de Acceso, Rectificación, Cancelación y Oposición de Datos Personales del Estado de México (SARCOEM), la presente resolución al Titular de la Unidad de Transparencia </w:t>
      </w:r>
      <w:r w:rsidR="00184F32" w:rsidRPr="00655CC9">
        <w:rPr>
          <w:rFonts w:ascii="Palatino Linotype" w:hAnsi="Palatino Linotype" w:cs="Arial"/>
        </w:rPr>
        <w:t>del Sujeto Obligado.</w:t>
      </w:r>
    </w:p>
    <w:p w14:paraId="3B735217" w14:textId="77777777" w:rsidR="0072226C" w:rsidRPr="00655CC9" w:rsidRDefault="0072226C" w:rsidP="00184F32">
      <w:pPr>
        <w:spacing w:line="360" w:lineRule="auto"/>
        <w:jc w:val="both"/>
        <w:rPr>
          <w:rFonts w:ascii="Palatino Linotype" w:hAnsi="Palatino Linotype" w:cs="Arial"/>
        </w:rPr>
      </w:pPr>
    </w:p>
    <w:p w14:paraId="5221063C" w14:textId="1508F296" w:rsidR="0072226C" w:rsidRPr="00655CC9" w:rsidRDefault="0072226C" w:rsidP="00184F32">
      <w:pPr>
        <w:spacing w:line="360" w:lineRule="auto"/>
        <w:jc w:val="both"/>
        <w:rPr>
          <w:rFonts w:ascii="Palatino Linotype" w:hAnsi="Palatino Linotype"/>
          <w:color w:val="222222"/>
          <w:lang w:eastAsia="es-MX"/>
        </w:rPr>
      </w:pPr>
      <w:r w:rsidRPr="00655CC9">
        <w:rPr>
          <w:rFonts w:ascii="Palatino Linotype" w:eastAsia="MS Mincho" w:hAnsi="Palatino Linotype"/>
          <w:b/>
          <w:color w:val="000000"/>
        </w:rPr>
        <w:t xml:space="preserve">TERCERO. </w:t>
      </w:r>
      <w:r w:rsidRPr="00655CC9">
        <w:rPr>
          <w:rFonts w:ascii="Palatino Linotype" w:eastAsia="MS Gothic" w:hAnsi="Palatino Linotype"/>
          <w:b/>
        </w:rPr>
        <w:t xml:space="preserve">Notifíquese </w:t>
      </w:r>
      <w:r w:rsidR="00184F32" w:rsidRPr="00655CC9">
        <w:rPr>
          <w:rFonts w:ascii="Palatino Linotype" w:eastAsia="MS Gothic" w:hAnsi="Palatino Linotype"/>
        </w:rPr>
        <w:t>a</w:t>
      </w:r>
      <w:r w:rsidR="00864C62" w:rsidRPr="00655CC9">
        <w:rPr>
          <w:rFonts w:ascii="Palatino Linotype" w:eastAsia="MS Gothic" w:hAnsi="Palatino Linotype"/>
        </w:rPr>
        <w:t xml:space="preserve"> </w:t>
      </w:r>
      <w:r w:rsidR="0065334E" w:rsidRPr="00655CC9">
        <w:rPr>
          <w:rFonts w:ascii="Palatino Linotype" w:eastAsia="MS Gothic" w:hAnsi="Palatino Linotype"/>
        </w:rPr>
        <w:t>l</w:t>
      </w:r>
      <w:r w:rsidR="00864C62" w:rsidRPr="00655CC9">
        <w:rPr>
          <w:rFonts w:ascii="Palatino Linotype" w:eastAsia="MS Gothic" w:hAnsi="Palatino Linotype"/>
        </w:rPr>
        <w:t>a</w:t>
      </w:r>
      <w:r w:rsidR="00184F32" w:rsidRPr="00655CC9">
        <w:rPr>
          <w:rFonts w:ascii="Palatino Linotype" w:eastAsia="MS Gothic" w:hAnsi="Palatino Linotype"/>
        </w:rPr>
        <w:t xml:space="preserve"> Recurrente</w:t>
      </w:r>
      <w:r w:rsidRPr="00655CC9">
        <w:rPr>
          <w:rFonts w:ascii="Palatino Linotype" w:eastAsia="MS Gothic" w:hAnsi="Palatino Linotype"/>
          <w:b/>
        </w:rPr>
        <w:t xml:space="preserve"> </w:t>
      </w:r>
      <w:r w:rsidRPr="00655CC9">
        <w:rPr>
          <w:rFonts w:ascii="Palatino Linotype" w:hAnsi="Palatino Linotype" w:cs="Arial"/>
        </w:rPr>
        <w:t xml:space="preserve">vía Sistema de Acceso, Rectificación, Cancelación y Oposición de Datos Personales del Estado de México (SARCOEM) </w:t>
      </w:r>
      <w:r w:rsidRPr="00655CC9">
        <w:rPr>
          <w:rFonts w:ascii="Palatino Linotype" w:eastAsia="MS Gothic" w:hAnsi="Palatino Linotype"/>
        </w:rPr>
        <w:t>la presente</w:t>
      </w:r>
      <w:r w:rsidRPr="00655CC9">
        <w:rPr>
          <w:rFonts w:ascii="Palatino Linotype" w:hAnsi="Palatino Linotype"/>
          <w:color w:val="222222"/>
          <w:lang w:eastAsia="es-MX"/>
        </w:rPr>
        <w:t xml:space="preserve"> resolución</w:t>
      </w:r>
      <w:r w:rsidR="00CC3339" w:rsidRPr="00655CC9">
        <w:rPr>
          <w:rFonts w:ascii="Palatino Linotype" w:hAnsi="Palatino Linotype"/>
          <w:color w:val="222222"/>
          <w:lang w:eastAsia="es-MX"/>
        </w:rPr>
        <w:t>.</w:t>
      </w:r>
    </w:p>
    <w:p w14:paraId="3B3B0E6D" w14:textId="63A55219" w:rsidR="00CC3339" w:rsidRPr="00655CC9" w:rsidRDefault="00CC3339" w:rsidP="00CC3339">
      <w:pPr>
        <w:spacing w:line="360" w:lineRule="auto"/>
        <w:jc w:val="both"/>
        <w:rPr>
          <w:rFonts w:ascii="Palatino Linotype" w:hAnsi="Palatino Linotype"/>
          <w:lang w:eastAsia="es-MX"/>
        </w:rPr>
      </w:pPr>
    </w:p>
    <w:p w14:paraId="216EB6CD" w14:textId="49B75705" w:rsidR="00CC3339" w:rsidRPr="00655CC9" w:rsidRDefault="00CC3339" w:rsidP="00CC3339">
      <w:pPr>
        <w:spacing w:line="360" w:lineRule="auto"/>
        <w:jc w:val="both"/>
        <w:rPr>
          <w:rFonts w:ascii="Palatino Linotype" w:hAnsi="Palatino Linotype"/>
        </w:rPr>
      </w:pPr>
      <w:r w:rsidRPr="00655CC9">
        <w:rPr>
          <w:rFonts w:ascii="Palatino Linotype" w:hAnsi="Palatino Linotype"/>
          <w:b/>
          <w:bCs/>
        </w:rPr>
        <w:t>CUARTO.</w:t>
      </w:r>
      <w:r w:rsidRPr="00655CC9">
        <w:rPr>
          <w:rFonts w:ascii="Palatino Linotype" w:hAnsi="Palatino Linotype"/>
        </w:rPr>
        <w:t xml:space="preserve"> Hágase del conocimiento de</w:t>
      </w:r>
      <w:r w:rsidR="0065334E" w:rsidRPr="00655CC9">
        <w:rPr>
          <w:rFonts w:ascii="Palatino Linotype" w:hAnsi="Palatino Linotype"/>
        </w:rPr>
        <w:t>l</w:t>
      </w:r>
      <w:r w:rsidRPr="00655CC9">
        <w:rPr>
          <w:rFonts w:ascii="Palatino Linotype" w:hAnsi="Palatino Linotype"/>
        </w:rPr>
        <w:t xml:space="preserve"> Recurrente que de conformidad con lo establecido en el </w:t>
      </w:r>
      <w:r w:rsidR="00864C62" w:rsidRPr="00655CC9">
        <w:rPr>
          <w:rFonts w:ascii="Palatino Linotype" w:hAnsi="Palatino Linotype"/>
        </w:rPr>
        <w:t>artículo</w:t>
      </w:r>
      <w:r w:rsidRPr="00655CC9">
        <w:rPr>
          <w:rFonts w:ascii="Palatino Linotype" w:hAnsi="Palatino Linotype"/>
        </w:rPr>
        <w:t xml:space="preserve"> 142 de la Ley de </w:t>
      </w:r>
      <w:r w:rsidR="00864C62" w:rsidRPr="00655CC9">
        <w:rPr>
          <w:rFonts w:ascii="Palatino Linotype" w:hAnsi="Palatino Linotype"/>
        </w:rPr>
        <w:t>Protección</w:t>
      </w:r>
      <w:r w:rsidRPr="00655CC9">
        <w:rPr>
          <w:rFonts w:ascii="Palatino Linotype" w:hAnsi="Palatino Linotype"/>
        </w:rPr>
        <w:t xml:space="preserve"> de Datos Personales en </w:t>
      </w:r>
      <w:r w:rsidR="00864C62" w:rsidRPr="00655CC9">
        <w:rPr>
          <w:rFonts w:ascii="Palatino Linotype" w:hAnsi="Palatino Linotype"/>
        </w:rPr>
        <w:t>Posesión</w:t>
      </w:r>
      <w:r w:rsidRPr="00655CC9">
        <w:rPr>
          <w:rFonts w:ascii="Palatino Linotype" w:hAnsi="Palatino Linotype"/>
        </w:rPr>
        <w:t xml:space="preserve"> de Sujetos Obligados del Estado de </w:t>
      </w:r>
      <w:r w:rsidR="00864C62" w:rsidRPr="00655CC9">
        <w:rPr>
          <w:rFonts w:ascii="Palatino Linotype" w:hAnsi="Palatino Linotype"/>
        </w:rPr>
        <w:t>México</w:t>
      </w:r>
      <w:r w:rsidRPr="00655CC9">
        <w:rPr>
          <w:rFonts w:ascii="Palatino Linotype" w:hAnsi="Palatino Linotype"/>
        </w:rPr>
        <w:t xml:space="preserve"> y Municipios, </w:t>
      </w:r>
      <w:r w:rsidR="00864C62" w:rsidRPr="00655CC9">
        <w:rPr>
          <w:rFonts w:ascii="Palatino Linotype" w:hAnsi="Palatino Linotype"/>
        </w:rPr>
        <w:t>podrá</w:t>
      </w:r>
      <w:r w:rsidRPr="00655CC9">
        <w:rPr>
          <w:rFonts w:ascii="Palatino Linotype" w:hAnsi="Palatino Linotype"/>
        </w:rPr>
        <w:t xml:space="preserve">́ impugnarla </w:t>
      </w:r>
      <w:r w:rsidR="00864C62" w:rsidRPr="00655CC9">
        <w:rPr>
          <w:rFonts w:ascii="Palatino Linotype" w:hAnsi="Palatino Linotype"/>
        </w:rPr>
        <w:t>vía</w:t>
      </w:r>
      <w:r w:rsidRPr="00655CC9">
        <w:rPr>
          <w:rFonts w:ascii="Palatino Linotype" w:hAnsi="Palatino Linotype"/>
        </w:rPr>
        <w:t xml:space="preserve"> Juicio de Amparo en los </w:t>
      </w:r>
      <w:r w:rsidR="00864C62" w:rsidRPr="00655CC9">
        <w:rPr>
          <w:rFonts w:ascii="Palatino Linotype" w:hAnsi="Palatino Linotype"/>
        </w:rPr>
        <w:t>términos</w:t>
      </w:r>
      <w:r w:rsidRPr="00655CC9">
        <w:rPr>
          <w:rFonts w:ascii="Palatino Linotype" w:hAnsi="Palatino Linotype"/>
        </w:rPr>
        <w:t xml:space="preserve"> de las leyes aplicables. </w:t>
      </w:r>
    </w:p>
    <w:p w14:paraId="584B7581" w14:textId="77777777" w:rsidR="00CC3339" w:rsidRPr="00655CC9" w:rsidRDefault="00CC3339" w:rsidP="00184F32">
      <w:pPr>
        <w:spacing w:line="360" w:lineRule="auto"/>
        <w:jc w:val="both"/>
        <w:rPr>
          <w:rFonts w:ascii="Palatino Linotype" w:hAnsi="Palatino Linotype"/>
          <w:color w:val="222222"/>
          <w:lang w:val="es-MX" w:eastAsia="es-MX"/>
        </w:rPr>
      </w:pPr>
    </w:p>
    <w:p w14:paraId="2814B4F6" w14:textId="77777777" w:rsidR="009966DC" w:rsidRPr="00655CC9" w:rsidRDefault="009966DC" w:rsidP="00184F32">
      <w:pPr>
        <w:spacing w:line="360" w:lineRule="auto"/>
        <w:jc w:val="both"/>
        <w:rPr>
          <w:rFonts w:ascii="Palatino Linotype" w:hAnsi="Palatino Linotype"/>
          <w:color w:val="222222"/>
          <w:lang w:val="es-MX" w:eastAsia="es-MX"/>
        </w:rPr>
      </w:pPr>
    </w:p>
    <w:p w14:paraId="68ED20A2" w14:textId="77777777" w:rsidR="009966DC" w:rsidRPr="00655CC9" w:rsidRDefault="009966DC" w:rsidP="00184F32">
      <w:pPr>
        <w:spacing w:line="360" w:lineRule="auto"/>
        <w:jc w:val="both"/>
        <w:rPr>
          <w:rFonts w:ascii="Palatino Linotype" w:hAnsi="Palatino Linotype"/>
          <w:color w:val="222222"/>
          <w:lang w:val="es-MX" w:eastAsia="es-MX"/>
        </w:rPr>
      </w:pPr>
    </w:p>
    <w:p w14:paraId="787512B7" w14:textId="54700039" w:rsidR="005F0440" w:rsidRPr="00655CC9" w:rsidRDefault="00655CC9" w:rsidP="001919AA">
      <w:pPr>
        <w:spacing w:line="360" w:lineRule="auto"/>
        <w:ind w:right="-8"/>
        <w:jc w:val="both"/>
        <w:rPr>
          <w:rFonts w:ascii="Palatino Linotype" w:eastAsia="Calibri" w:hAnsi="Palatino Linotype" w:cs="Arial"/>
          <w:lang w:val="es-ES_tradnl"/>
        </w:rPr>
      </w:pPr>
      <w:r w:rsidRPr="00655CC9">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ONCE DE MARZO DE DOS MIL VEINTISÉIS, ANTE EL SECRETARIO TÉCNICO DEL PLENO, ALEXIS TAPIA RAMÍREZ</w:t>
      </w:r>
      <w:r w:rsidR="00DA297E" w:rsidRPr="00655CC9">
        <w:rPr>
          <w:rFonts w:ascii="Palatino Linotype" w:eastAsia="Calibri" w:hAnsi="Palatino Linotype" w:cs="Arial"/>
          <w:lang w:val="es-ES_tradnl"/>
        </w:rPr>
        <w:t>.---------------------------------------------------------------------------------------------------</w:t>
      </w:r>
      <w:r w:rsidR="002E6789" w:rsidRPr="00655CC9">
        <w:rPr>
          <w:rFonts w:ascii="Palatino Linotype" w:eastAsia="Calibri" w:hAnsi="Palatino Linotype" w:cs="Arial"/>
          <w:lang w:val="es-ES_tradnl"/>
        </w:rPr>
        <w:t>-------------------------------------------------------</w:t>
      </w:r>
      <w:r w:rsidR="00864C62" w:rsidRPr="00655CC9">
        <w:rPr>
          <w:rFonts w:ascii="Palatino Linotype" w:eastAsia="Calibri" w:hAnsi="Palatino Linotype" w:cs="Arial"/>
          <w:lang w:val="es-ES_tradnl"/>
        </w:rPr>
        <w:t>-------------------------</w:t>
      </w:r>
      <w:r w:rsidR="002E6789" w:rsidRPr="00655CC9">
        <w:rPr>
          <w:rFonts w:ascii="Palatino Linotype" w:eastAsia="Calibri" w:hAnsi="Palatino Linotype" w:cs="Arial"/>
          <w:lang w:val="es-ES_tradnl"/>
        </w:rPr>
        <w:t>-------------------------------------------------------------------------------------------------------------------------------------------------------------------------------------------------------------------------------------------------------------------------------------------------------------------------------------------------------------------------------------------------------</w:t>
      </w:r>
      <w:r w:rsidR="00F41911" w:rsidRPr="00655CC9">
        <w:rPr>
          <w:rFonts w:ascii="Palatino Linotype" w:eastAsia="Calibri" w:hAnsi="Palatino Linotype" w:cs="Arial"/>
          <w:lang w:val="es-ES_tradnl"/>
        </w:rPr>
        <w:t>-------------------------------------------</w:t>
      </w:r>
      <w:r w:rsidR="009966DC" w:rsidRPr="00655CC9">
        <w:rPr>
          <w:rFonts w:ascii="Palatino Linotype" w:eastAsia="Calibri" w:hAnsi="Palatino Linotype" w:cs="Arial"/>
          <w:lang w:val="es-ES_tradnl"/>
        </w:rPr>
        <w:t xml:space="preserve"> ------------------------------------------------------------------------------------------------------------------------------------------------------------------------------------------------------------------------------------------------------------------------------------------------------------------------------------------------------------------------------------------------------------------------------------------------------------------------------------------------------------------------------------------------------------------------------------------------------------------------------------------------------------------------------------------------------------------------------------------------------------------------------------------------------------------------------------------------------------------------------------------------------------------------------------------------------------------------------------------------------------------------------------------------------------------------------------------------------------------------------------------------------------------------------------------------------------------</w:t>
      </w:r>
    </w:p>
    <w:p w14:paraId="5A097F43" w14:textId="4D65FF5E" w:rsidR="00DA297E" w:rsidRPr="00C0775E" w:rsidRDefault="002A6308" w:rsidP="007C1357">
      <w:pPr>
        <w:spacing w:line="360" w:lineRule="auto"/>
        <w:jc w:val="both"/>
        <w:rPr>
          <w:rFonts w:ascii="Palatino Linotype" w:eastAsia="Calibri" w:hAnsi="Palatino Linotype" w:cs="Arial"/>
          <w:sz w:val="20"/>
          <w:szCs w:val="20"/>
        </w:rPr>
      </w:pPr>
      <w:r w:rsidRPr="00655CC9">
        <w:rPr>
          <w:rFonts w:ascii="Palatino Linotype" w:eastAsia="Calibri" w:hAnsi="Palatino Linotype" w:cs="Arial"/>
          <w:sz w:val="20"/>
          <w:szCs w:val="20"/>
        </w:rPr>
        <w:t>JMV/CCR/</w:t>
      </w:r>
    </w:p>
    <w:p w14:paraId="39641D5C" w14:textId="77777777" w:rsidR="00DA297E" w:rsidRPr="00C0775E" w:rsidRDefault="00DA297E" w:rsidP="007C1357">
      <w:pPr>
        <w:spacing w:line="360" w:lineRule="auto"/>
        <w:rPr>
          <w:rFonts w:ascii="Palatino Linotype" w:hAnsi="Palatino Linotype"/>
          <w:lang w:val="es-ES_tradnl"/>
        </w:rPr>
      </w:pPr>
    </w:p>
    <w:p w14:paraId="50C71B1A" w14:textId="77777777" w:rsidR="00DA297E" w:rsidRPr="00C0775E" w:rsidRDefault="00DA297E" w:rsidP="007C1357">
      <w:pPr>
        <w:spacing w:line="360" w:lineRule="auto"/>
        <w:rPr>
          <w:rFonts w:ascii="Palatino Linotype" w:hAnsi="Palatino Linotype"/>
          <w:lang w:val="es-ES_tradnl"/>
        </w:rPr>
      </w:pPr>
    </w:p>
    <w:p w14:paraId="016795A2" w14:textId="77777777" w:rsidR="00DA297E" w:rsidRPr="00C0775E" w:rsidRDefault="00DA297E" w:rsidP="007C1357">
      <w:pPr>
        <w:spacing w:line="360" w:lineRule="auto"/>
        <w:rPr>
          <w:rFonts w:ascii="Palatino Linotype" w:hAnsi="Palatino Linotype"/>
          <w:lang w:val="es-ES_tradnl"/>
        </w:rPr>
      </w:pPr>
    </w:p>
    <w:p w14:paraId="7DE40B84" w14:textId="77777777" w:rsidR="00DA297E" w:rsidRPr="00C0775E" w:rsidRDefault="00DA297E" w:rsidP="007C1357">
      <w:pPr>
        <w:spacing w:line="360" w:lineRule="auto"/>
        <w:rPr>
          <w:rFonts w:ascii="Palatino Linotype" w:hAnsi="Palatino Linotype"/>
          <w:lang w:val="es-ES_tradnl"/>
        </w:rPr>
      </w:pPr>
    </w:p>
    <w:p w14:paraId="309AB27A" w14:textId="77777777" w:rsidR="00DA297E" w:rsidRPr="00C0775E" w:rsidRDefault="00DA297E" w:rsidP="007C1357">
      <w:pPr>
        <w:spacing w:line="360" w:lineRule="auto"/>
        <w:rPr>
          <w:rFonts w:ascii="Palatino Linotype" w:hAnsi="Palatino Linotype"/>
          <w:lang w:val="es-ES_tradnl"/>
        </w:rPr>
      </w:pPr>
    </w:p>
    <w:p w14:paraId="39BDCA83" w14:textId="77777777" w:rsidR="00DA297E" w:rsidRPr="00C0775E" w:rsidRDefault="00DA297E" w:rsidP="007C1357">
      <w:pPr>
        <w:spacing w:line="360" w:lineRule="auto"/>
        <w:rPr>
          <w:rFonts w:ascii="Palatino Linotype" w:hAnsi="Palatino Linotype"/>
          <w:lang w:val="es-ES_tradnl"/>
        </w:rPr>
      </w:pPr>
    </w:p>
    <w:p w14:paraId="2E6C28D3" w14:textId="65D20134" w:rsidR="00DA297E" w:rsidRDefault="00DA297E" w:rsidP="007C1357">
      <w:pPr>
        <w:spacing w:line="360" w:lineRule="auto"/>
        <w:rPr>
          <w:rFonts w:ascii="Palatino Linotype" w:hAnsi="Palatino Linotype"/>
          <w:lang w:val="es-ES_tradnl"/>
        </w:rPr>
      </w:pPr>
    </w:p>
    <w:p w14:paraId="44850301" w14:textId="3DD11268" w:rsidR="00CC3339" w:rsidRDefault="00CC3339" w:rsidP="007C1357">
      <w:pPr>
        <w:spacing w:line="360" w:lineRule="auto"/>
        <w:rPr>
          <w:rFonts w:ascii="Palatino Linotype" w:hAnsi="Palatino Linotype"/>
          <w:lang w:val="es-ES_tradnl"/>
        </w:rPr>
      </w:pPr>
    </w:p>
    <w:p w14:paraId="18BBFFD8" w14:textId="7F52AFB2" w:rsidR="00CC3339" w:rsidRDefault="00CC3339" w:rsidP="007C1357">
      <w:pPr>
        <w:spacing w:line="360" w:lineRule="auto"/>
        <w:rPr>
          <w:rFonts w:ascii="Palatino Linotype" w:hAnsi="Palatino Linotype"/>
          <w:lang w:val="es-ES_tradnl"/>
        </w:rPr>
      </w:pPr>
    </w:p>
    <w:p w14:paraId="222B42A4" w14:textId="77777777" w:rsidR="00CC3339" w:rsidRPr="00C0775E" w:rsidRDefault="00CC3339" w:rsidP="007C1357">
      <w:pPr>
        <w:spacing w:line="360" w:lineRule="auto"/>
        <w:rPr>
          <w:rFonts w:ascii="Palatino Linotype" w:hAnsi="Palatino Linotype"/>
          <w:lang w:val="es-ES_tradnl"/>
        </w:rPr>
      </w:pPr>
    </w:p>
    <w:sectPr w:rsidR="00CC3339" w:rsidRPr="00C0775E" w:rsidSect="00041E4C">
      <w:headerReference w:type="even" r:id="rId13"/>
      <w:headerReference w:type="default" r:id="rId14"/>
      <w:footerReference w:type="default" r:id="rId15"/>
      <w:headerReference w:type="first" r:id="rId16"/>
      <w:footerReference w:type="first" r:id="rId17"/>
      <w:pgSz w:w="12240" w:h="15840"/>
      <w:pgMar w:top="3062" w:right="1134" w:bottom="1247" w:left="1758"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4D725" w14:textId="77777777" w:rsidR="00033ABB" w:rsidRDefault="00033ABB" w:rsidP="000B5E25">
      <w:r>
        <w:separator/>
      </w:r>
    </w:p>
  </w:endnote>
  <w:endnote w:type="continuationSeparator" w:id="0">
    <w:p w14:paraId="2AAABD66" w14:textId="77777777" w:rsidR="00033ABB" w:rsidRDefault="00033ABB" w:rsidP="000B5E25">
      <w:r>
        <w:continuationSeparator/>
      </w:r>
    </w:p>
  </w:endnote>
  <w:endnote w:type="continuationNotice" w:id="1">
    <w:p w14:paraId="2EE60613" w14:textId="77777777" w:rsidR="00033ABB" w:rsidRDefault="00033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E3724" w14:textId="5FC976E2" w:rsidR="00137962" w:rsidRPr="002A6308" w:rsidRDefault="00137962" w:rsidP="0043515A">
    <w:pPr>
      <w:pStyle w:val="Piedepgina"/>
      <w:jc w:val="right"/>
      <w:rPr>
        <w:rFonts w:ascii="Palatino Linotype" w:hAnsi="Palatino Linotype" w:cs="Arial"/>
        <w:sz w:val="20"/>
        <w:szCs w:val="20"/>
      </w:rPr>
    </w:pPr>
    <w:r w:rsidRPr="002A6308">
      <w:rPr>
        <w:rFonts w:ascii="Palatino Linotype" w:hAnsi="Palatino Linotype" w:cs="Arial"/>
        <w:bCs/>
        <w:sz w:val="20"/>
        <w:szCs w:val="20"/>
      </w:rPr>
      <w:t xml:space="preserve">Página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PAGE</w:instrText>
    </w:r>
    <w:r w:rsidRPr="002A6308">
      <w:rPr>
        <w:rFonts w:ascii="Palatino Linotype" w:hAnsi="Palatino Linotype" w:cs="Arial"/>
        <w:bCs/>
        <w:sz w:val="20"/>
        <w:szCs w:val="20"/>
      </w:rPr>
      <w:fldChar w:fldCharType="separate"/>
    </w:r>
    <w:r w:rsidR="009F3CF1">
      <w:rPr>
        <w:rFonts w:ascii="Palatino Linotype" w:hAnsi="Palatino Linotype" w:cs="Arial"/>
        <w:bCs/>
        <w:noProof/>
        <w:sz w:val="20"/>
        <w:szCs w:val="20"/>
      </w:rPr>
      <w:t>18</w:t>
    </w:r>
    <w:r w:rsidRPr="002A6308">
      <w:rPr>
        <w:rFonts w:ascii="Palatino Linotype" w:hAnsi="Palatino Linotype" w:cs="Arial"/>
        <w:bCs/>
        <w:sz w:val="20"/>
        <w:szCs w:val="20"/>
      </w:rPr>
      <w:fldChar w:fldCharType="end"/>
    </w:r>
    <w:r w:rsidRPr="002A6308">
      <w:rPr>
        <w:rFonts w:ascii="Palatino Linotype" w:hAnsi="Palatino Linotype" w:cs="Arial"/>
        <w:sz w:val="20"/>
        <w:szCs w:val="20"/>
      </w:rPr>
      <w:t xml:space="preserve"> de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NUMPAGES</w:instrText>
    </w:r>
    <w:r w:rsidRPr="002A6308">
      <w:rPr>
        <w:rFonts w:ascii="Palatino Linotype" w:hAnsi="Palatino Linotype" w:cs="Arial"/>
        <w:bCs/>
        <w:sz w:val="20"/>
        <w:szCs w:val="20"/>
      </w:rPr>
      <w:fldChar w:fldCharType="separate"/>
    </w:r>
    <w:r w:rsidR="009F3CF1">
      <w:rPr>
        <w:rFonts w:ascii="Palatino Linotype" w:hAnsi="Palatino Linotype" w:cs="Arial"/>
        <w:bCs/>
        <w:noProof/>
        <w:sz w:val="20"/>
        <w:szCs w:val="20"/>
      </w:rPr>
      <w:t>18</w:t>
    </w:r>
    <w:r w:rsidRPr="002A6308">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0AF0E" w14:textId="0CDCB7BD" w:rsidR="00137962" w:rsidRPr="003E56C9" w:rsidRDefault="00137962"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9F3CF1">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9F3CF1">
      <w:rPr>
        <w:rFonts w:ascii="Palatino Linotype" w:hAnsi="Palatino Linotype" w:cs="Arial"/>
        <w:b/>
        <w:bCs/>
        <w:noProof/>
        <w:sz w:val="20"/>
        <w:szCs w:val="20"/>
      </w:rPr>
      <w:t>18</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220FA" w14:textId="77777777" w:rsidR="00033ABB" w:rsidRDefault="00033ABB" w:rsidP="000B5E25">
      <w:r>
        <w:separator/>
      </w:r>
    </w:p>
  </w:footnote>
  <w:footnote w:type="continuationSeparator" w:id="0">
    <w:p w14:paraId="4F4AF8DF" w14:textId="77777777" w:rsidR="00033ABB" w:rsidRDefault="00033ABB" w:rsidP="000B5E25">
      <w:r>
        <w:continuationSeparator/>
      </w:r>
    </w:p>
  </w:footnote>
  <w:footnote w:type="continuationNotice" w:id="1">
    <w:p w14:paraId="7F50431A" w14:textId="77777777" w:rsidR="00033ABB" w:rsidRDefault="00033A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3AFA1" w14:textId="4B1D2FF6" w:rsidR="00137962" w:rsidRDefault="00033ABB">
    <w:pPr>
      <w:pStyle w:val="Encabezado"/>
    </w:pPr>
    <w:r>
      <w:rPr>
        <w:noProof/>
        <w:lang w:val="es-MX" w:eastAsia="es-MX"/>
      </w:rPr>
      <w:pict w14:anchorId="10BE0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1" type="#_x0000_t75" alt="" style="position:absolute;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1" w:type="dxa"/>
      <w:tblInd w:w="2835" w:type="dxa"/>
      <w:tblLayout w:type="fixed"/>
      <w:tblLook w:val="04A0" w:firstRow="1" w:lastRow="0" w:firstColumn="1" w:lastColumn="0" w:noHBand="0" w:noVBand="1"/>
    </w:tblPr>
    <w:tblGrid>
      <w:gridCol w:w="2552"/>
      <w:gridCol w:w="3969"/>
    </w:tblGrid>
    <w:tr w:rsidR="00137962" w:rsidRPr="00DA297E" w14:paraId="76145BD7" w14:textId="77777777" w:rsidTr="00041E4C">
      <w:tc>
        <w:tcPr>
          <w:tcW w:w="2552" w:type="dxa"/>
          <w:shd w:val="clear" w:color="auto" w:fill="auto"/>
          <w:vAlign w:val="center"/>
        </w:tcPr>
        <w:p w14:paraId="604F4E4E" w14:textId="77777777" w:rsidR="00137962" w:rsidRPr="001919AA" w:rsidRDefault="00137962" w:rsidP="00735DC9">
          <w:pPr>
            <w:spacing w:after="120"/>
            <w:rPr>
              <w:rFonts w:ascii="Palatino Linotype" w:hAnsi="Palatino Linotype"/>
              <w:b/>
              <w:bCs/>
              <w:sz w:val="22"/>
              <w:szCs w:val="22"/>
              <w:lang w:val="es-ES_tradnl"/>
            </w:rPr>
          </w:pPr>
          <w:r w:rsidRPr="001919AA">
            <w:rPr>
              <w:rFonts w:ascii="Palatino Linotype" w:hAnsi="Palatino Linotype"/>
              <w:b/>
              <w:bCs/>
              <w:sz w:val="22"/>
              <w:szCs w:val="22"/>
              <w:lang w:val="es-ES_tradnl"/>
            </w:rPr>
            <w:t>Recurso de Revisión:</w:t>
          </w:r>
        </w:p>
      </w:tc>
      <w:tc>
        <w:tcPr>
          <w:tcW w:w="3969" w:type="dxa"/>
          <w:shd w:val="clear" w:color="auto" w:fill="auto"/>
          <w:vAlign w:val="center"/>
        </w:tcPr>
        <w:p w14:paraId="5D7BEBDD" w14:textId="016D79F4" w:rsidR="00137962" w:rsidRPr="001919AA" w:rsidRDefault="00137962" w:rsidP="004719B9">
          <w:pPr>
            <w:spacing w:after="120"/>
            <w:jc w:val="right"/>
            <w:rPr>
              <w:rFonts w:ascii="Palatino Linotype" w:hAnsi="Palatino Linotype"/>
              <w:b/>
              <w:bCs/>
              <w:sz w:val="22"/>
              <w:szCs w:val="22"/>
              <w:lang w:val="es-ES_tradnl"/>
            </w:rPr>
          </w:pPr>
          <w:r>
            <w:rPr>
              <w:rFonts w:ascii="Palatino Linotype" w:hAnsi="Palatino Linotype"/>
              <w:b/>
              <w:bCs/>
              <w:sz w:val="22"/>
              <w:szCs w:val="22"/>
              <w:lang w:val="es-ES_tradnl"/>
            </w:rPr>
            <w:t>06600/INFOEM/AD/RR/2025</w:t>
          </w:r>
        </w:p>
      </w:tc>
    </w:tr>
    <w:tr w:rsidR="00137962" w:rsidRPr="00DA297E" w14:paraId="27CE8BDF" w14:textId="77777777" w:rsidTr="00041E4C">
      <w:tc>
        <w:tcPr>
          <w:tcW w:w="2552" w:type="dxa"/>
          <w:shd w:val="clear" w:color="auto" w:fill="auto"/>
          <w:vAlign w:val="center"/>
        </w:tcPr>
        <w:p w14:paraId="06145027" w14:textId="77777777" w:rsidR="00137962" w:rsidRPr="001919AA" w:rsidRDefault="00137962" w:rsidP="00735DC9">
          <w:pPr>
            <w:spacing w:after="120"/>
            <w:rPr>
              <w:rFonts w:ascii="Palatino Linotype" w:hAnsi="Palatino Linotype"/>
              <w:b/>
              <w:bCs/>
              <w:sz w:val="22"/>
              <w:szCs w:val="22"/>
              <w:lang w:val="es-ES_tradnl"/>
            </w:rPr>
          </w:pPr>
          <w:r w:rsidRPr="001919AA">
            <w:rPr>
              <w:rFonts w:ascii="Palatino Linotype" w:hAnsi="Palatino Linotype"/>
              <w:b/>
              <w:bCs/>
              <w:sz w:val="22"/>
              <w:szCs w:val="22"/>
              <w:lang w:val="es-ES_tradnl"/>
            </w:rPr>
            <w:t>Sujeto Obligado:</w:t>
          </w:r>
        </w:p>
      </w:tc>
      <w:tc>
        <w:tcPr>
          <w:tcW w:w="3969" w:type="dxa"/>
          <w:shd w:val="clear" w:color="auto" w:fill="auto"/>
          <w:vAlign w:val="center"/>
        </w:tcPr>
        <w:p w14:paraId="5453A42F" w14:textId="464F4A29" w:rsidR="00137962" w:rsidRPr="001919AA" w:rsidRDefault="00137962" w:rsidP="00735DC9">
          <w:pPr>
            <w:spacing w:after="120"/>
            <w:jc w:val="right"/>
            <w:rPr>
              <w:rFonts w:ascii="Palatino Linotype" w:hAnsi="Palatino Linotype"/>
              <w:b/>
              <w:bCs/>
              <w:sz w:val="22"/>
              <w:szCs w:val="22"/>
              <w:lang w:val="es-ES_tradnl"/>
            </w:rPr>
          </w:pPr>
          <w:r w:rsidRPr="004719B9">
            <w:rPr>
              <w:rFonts w:ascii="Palatino Linotype" w:hAnsi="Palatino Linotype"/>
              <w:b/>
              <w:bCs/>
              <w:sz w:val="22"/>
              <w:szCs w:val="22"/>
            </w:rPr>
            <w:t>Secretaría de Salud</w:t>
          </w:r>
        </w:p>
      </w:tc>
    </w:tr>
    <w:tr w:rsidR="00137962" w:rsidRPr="00DA297E" w14:paraId="4EF5AB78" w14:textId="77777777" w:rsidTr="00041E4C">
      <w:trPr>
        <w:trHeight w:val="228"/>
      </w:trPr>
      <w:tc>
        <w:tcPr>
          <w:tcW w:w="2552" w:type="dxa"/>
          <w:shd w:val="clear" w:color="auto" w:fill="auto"/>
          <w:vAlign w:val="center"/>
        </w:tcPr>
        <w:p w14:paraId="39D8B9F6" w14:textId="77777777" w:rsidR="00137962" w:rsidRPr="001919AA" w:rsidRDefault="00137962" w:rsidP="00735DC9">
          <w:pPr>
            <w:spacing w:after="120"/>
            <w:rPr>
              <w:rFonts w:ascii="Palatino Linotype" w:hAnsi="Palatino Linotype"/>
              <w:b/>
              <w:bCs/>
              <w:sz w:val="22"/>
              <w:szCs w:val="22"/>
              <w:lang w:val="es-ES_tradnl"/>
            </w:rPr>
          </w:pPr>
          <w:r w:rsidRPr="001919AA">
            <w:rPr>
              <w:rFonts w:ascii="Palatino Linotype" w:hAnsi="Palatino Linotype"/>
              <w:b/>
              <w:bCs/>
              <w:sz w:val="22"/>
              <w:szCs w:val="22"/>
              <w:lang w:val="es-ES_tradnl"/>
            </w:rPr>
            <w:t>Comisionado Ponente:</w:t>
          </w:r>
        </w:p>
      </w:tc>
      <w:tc>
        <w:tcPr>
          <w:tcW w:w="3969" w:type="dxa"/>
          <w:shd w:val="clear" w:color="auto" w:fill="auto"/>
          <w:vAlign w:val="center"/>
        </w:tcPr>
        <w:p w14:paraId="4A62E4F0" w14:textId="77777777" w:rsidR="00137962" w:rsidRPr="001919AA" w:rsidRDefault="00137962" w:rsidP="00735DC9">
          <w:pPr>
            <w:spacing w:after="120"/>
            <w:jc w:val="right"/>
            <w:rPr>
              <w:rFonts w:ascii="Palatino Linotype" w:hAnsi="Palatino Linotype"/>
              <w:b/>
              <w:bCs/>
              <w:sz w:val="22"/>
              <w:szCs w:val="22"/>
              <w:lang w:val="es-ES_tradnl"/>
            </w:rPr>
          </w:pPr>
          <w:r w:rsidRPr="001919AA">
            <w:rPr>
              <w:rFonts w:ascii="Palatino Linotype" w:hAnsi="Palatino Linotype"/>
              <w:b/>
              <w:bCs/>
              <w:sz w:val="22"/>
              <w:szCs w:val="22"/>
              <w:lang w:val="es-ES_tradnl"/>
            </w:rPr>
            <w:t>José Martínez Vilchis</w:t>
          </w:r>
        </w:p>
      </w:tc>
    </w:tr>
  </w:tbl>
  <w:p w14:paraId="72AE344B" w14:textId="6DBDC6B6" w:rsidR="00137962" w:rsidRPr="00EC2A1E" w:rsidRDefault="00033ABB" w:rsidP="0043515A">
    <w:pPr>
      <w:pStyle w:val="Encabezado"/>
      <w:tabs>
        <w:tab w:val="clear" w:pos="4252"/>
        <w:tab w:val="clear" w:pos="8504"/>
        <w:tab w:val="left" w:pos="2326"/>
      </w:tabs>
      <w:rPr>
        <w:rFonts w:ascii="Palatino Linotype" w:hAnsi="Palatino Linotype"/>
        <w:sz w:val="2"/>
        <w:szCs w:val="8"/>
      </w:rPr>
    </w:pPr>
    <w:r>
      <w:rPr>
        <w:rFonts w:ascii="Palatino Linotype" w:hAnsi="Palatino Linotype"/>
        <w:noProof/>
        <w:sz w:val="20"/>
        <w:lang w:val="es-MX" w:eastAsia="es-MX"/>
      </w:rPr>
      <w:pict w14:anchorId="69242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0.7pt;margin-top:-146.15pt;width:609.4pt;height:793.75pt;z-index:-251655168;mso-wrap-edited:f;mso-width-percent:0;mso-height-percent:0;mso-position-horizontal-relative:margin;mso-position-vertical-relative:margin;mso-width-percent:0;mso-height-percent:0" o:allowincell="f">
          <v:imagedata r:id="rId1" o:title="logo infoem (1)"/>
          <w10:wrap anchorx="margin" anchory="margin"/>
        </v:shape>
      </w:pict>
    </w:r>
    <w:r w:rsidR="00137962">
      <w:rPr>
        <w:rFonts w:ascii="Palatino Linotype" w:hAnsi="Palatino Linotype"/>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6" w:type="dxa"/>
      <w:tblInd w:w="2552" w:type="dxa"/>
      <w:tblLayout w:type="fixed"/>
      <w:tblLook w:val="04A0" w:firstRow="1" w:lastRow="0" w:firstColumn="1" w:lastColumn="0" w:noHBand="0" w:noVBand="1"/>
    </w:tblPr>
    <w:tblGrid>
      <w:gridCol w:w="2977"/>
      <w:gridCol w:w="3969"/>
    </w:tblGrid>
    <w:tr w:rsidR="00137962" w:rsidRPr="00DA297E" w14:paraId="7369A010" w14:textId="77777777" w:rsidTr="009B590A">
      <w:tc>
        <w:tcPr>
          <w:tcW w:w="2977" w:type="dxa"/>
          <w:shd w:val="clear" w:color="auto" w:fill="auto"/>
        </w:tcPr>
        <w:p w14:paraId="2B382B1C" w14:textId="77777777" w:rsidR="00137962" w:rsidRPr="001919AA" w:rsidRDefault="00137962" w:rsidP="00735DC9">
          <w:pPr>
            <w:spacing w:after="120"/>
            <w:jc w:val="both"/>
            <w:rPr>
              <w:rFonts w:ascii="Palatino Linotype" w:hAnsi="Palatino Linotype"/>
              <w:b/>
              <w:bCs/>
              <w:sz w:val="22"/>
              <w:szCs w:val="22"/>
              <w:lang w:val="es-ES_tradnl"/>
            </w:rPr>
          </w:pPr>
          <w:r w:rsidRPr="001919AA">
            <w:rPr>
              <w:rFonts w:ascii="Palatino Linotype" w:hAnsi="Palatino Linotype"/>
              <w:b/>
              <w:bCs/>
              <w:sz w:val="22"/>
              <w:szCs w:val="22"/>
              <w:lang w:val="es-ES_tradnl"/>
            </w:rPr>
            <w:t>Recurso de Revisión:</w:t>
          </w:r>
        </w:p>
      </w:tc>
      <w:tc>
        <w:tcPr>
          <w:tcW w:w="3969" w:type="dxa"/>
          <w:shd w:val="clear" w:color="auto" w:fill="auto"/>
          <w:vAlign w:val="center"/>
        </w:tcPr>
        <w:p w14:paraId="24DAA7F1" w14:textId="3FE395E9" w:rsidR="00137962" w:rsidRPr="001919AA" w:rsidRDefault="00137962" w:rsidP="00C35DE1">
          <w:pPr>
            <w:spacing w:after="120"/>
            <w:jc w:val="right"/>
            <w:rPr>
              <w:rFonts w:ascii="Palatino Linotype" w:hAnsi="Palatino Linotype"/>
              <w:b/>
              <w:bCs/>
              <w:sz w:val="22"/>
              <w:szCs w:val="22"/>
              <w:lang w:val="es-ES_tradnl"/>
            </w:rPr>
          </w:pPr>
          <w:r>
            <w:rPr>
              <w:rFonts w:ascii="Palatino Linotype" w:hAnsi="Palatino Linotype"/>
              <w:b/>
              <w:bCs/>
              <w:sz w:val="22"/>
              <w:szCs w:val="22"/>
              <w:lang w:val="es-ES_tradnl"/>
            </w:rPr>
            <w:t>06600/INFOEM/AD/RR/2025</w:t>
          </w:r>
        </w:p>
      </w:tc>
    </w:tr>
    <w:tr w:rsidR="00137962" w:rsidRPr="00DA297E" w14:paraId="404CB123" w14:textId="77777777" w:rsidTr="009B590A">
      <w:tc>
        <w:tcPr>
          <w:tcW w:w="2977" w:type="dxa"/>
          <w:shd w:val="clear" w:color="auto" w:fill="auto"/>
          <w:vAlign w:val="center"/>
        </w:tcPr>
        <w:p w14:paraId="362E8C03" w14:textId="77777777" w:rsidR="00137962" w:rsidRPr="001919AA" w:rsidRDefault="00137962" w:rsidP="00735DC9">
          <w:pPr>
            <w:spacing w:after="120"/>
            <w:jc w:val="both"/>
            <w:rPr>
              <w:rFonts w:ascii="Palatino Linotype" w:hAnsi="Palatino Linotype"/>
              <w:b/>
              <w:bCs/>
              <w:sz w:val="22"/>
              <w:szCs w:val="22"/>
              <w:lang w:val="es-ES_tradnl"/>
            </w:rPr>
          </w:pPr>
          <w:r w:rsidRPr="001919AA">
            <w:rPr>
              <w:rFonts w:ascii="Palatino Linotype" w:hAnsi="Palatino Linotype"/>
              <w:b/>
              <w:bCs/>
              <w:sz w:val="22"/>
              <w:szCs w:val="22"/>
              <w:lang w:val="es-ES_tradnl"/>
            </w:rPr>
            <w:t>Recurrente:</w:t>
          </w:r>
        </w:p>
      </w:tc>
      <w:tc>
        <w:tcPr>
          <w:tcW w:w="3969" w:type="dxa"/>
          <w:shd w:val="clear" w:color="auto" w:fill="auto"/>
          <w:vAlign w:val="center"/>
        </w:tcPr>
        <w:p w14:paraId="32BE0EDB" w14:textId="3CE072EB" w:rsidR="00137962" w:rsidRPr="001919AA" w:rsidRDefault="00E955DD" w:rsidP="00735DC9">
          <w:pPr>
            <w:spacing w:after="120"/>
            <w:jc w:val="right"/>
            <w:rPr>
              <w:rFonts w:ascii="Palatino Linotype" w:hAnsi="Palatino Linotype"/>
              <w:b/>
              <w:sz w:val="22"/>
              <w:szCs w:val="22"/>
            </w:rPr>
          </w:pPr>
          <w:proofErr w:type="spellStart"/>
          <w:r>
            <w:rPr>
              <w:rFonts w:ascii="Palatino Linotype" w:hAnsi="Palatino Linotype"/>
              <w:b/>
              <w:sz w:val="22"/>
              <w:szCs w:val="22"/>
            </w:rPr>
            <w:t>xxxxxxxxxxxxxxxxxxxxxxxxxxx</w:t>
          </w:r>
          <w:proofErr w:type="spellEnd"/>
        </w:p>
      </w:tc>
    </w:tr>
    <w:tr w:rsidR="00137962" w:rsidRPr="00DA297E" w14:paraId="7226B697" w14:textId="77777777" w:rsidTr="009B590A">
      <w:trPr>
        <w:trHeight w:val="228"/>
      </w:trPr>
      <w:tc>
        <w:tcPr>
          <w:tcW w:w="2977" w:type="dxa"/>
          <w:shd w:val="clear" w:color="auto" w:fill="auto"/>
        </w:tcPr>
        <w:p w14:paraId="593473CA" w14:textId="77777777" w:rsidR="00137962" w:rsidRPr="001919AA" w:rsidRDefault="00137962" w:rsidP="00735DC9">
          <w:pPr>
            <w:spacing w:after="120"/>
            <w:jc w:val="both"/>
            <w:rPr>
              <w:rFonts w:ascii="Palatino Linotype" w:hAnsi="Palatino Linotype"/>
              <w:b/>
              <w:bCs/>
              <w:sz w:val="22"/>
              <w:szCs w:val="22"/>
              <w:lang w:val="es-ES_tradnl"/>
            </w:rPr>
          </w:pPr>
          <w:r w:rsidRPr="001919AA">
            <w:rPr>
              <w:rFonts w:ascii="Palatino Linotype" w:hAnsi="Palatino Linotype"/>
              <w:b/>
              <w:bCs/>
              <w:sz w:val="22"/>
              <w:szCs w:val="22"/>
              <w:lang w:val="es-ES_tradnl"/>
            </w:rPr>
            <w:t>Sujeto Obligado:</w:t>
          </w:r>
        </w:p>
      </w:tc>
      <w:tc>
        <w:tcPr>
          <w:tcW w:w="3969" w:type="dxa"/>
          <w:shd w:val="clear" w:color="auto" w:fill="auto"/>
          <w:vAlign w:val="center"/>
        </w:tcPr>
        <w:p w14:paraId="4C4AF1AF" w14:textId="1E83C348" w:rsidR="00137962" w:rsidRPr="001919AA" w:rsidRDefault="00137962" w:rsidP="00735DC9">
          <w:pPr>
            <w:spacing w:after="120"/>
            <w:jc w:val="right"/>
            <w:rPr>
              <w:rFonts w:ascii="Palatino Linotype" w:hAnsi="Palatino Linotype"/>
              <w:b/>
              <w:bCs/>
              <w:sz w:val="22"/>
              <w:szCs w:val="22"/>
            </w:rPr>
          </w:pPr>
          <w:r w:rsidRPr="004719B9">
            <w:rPr>
              <w:rFonts w:ascii="Palatino Linotype" w:hAnsi="Palatino Linotype"/>
              <w:b/>
              <w:bCs/>
              <w:sz w:val="22"/>
              <w:szCs w:val="22"/>
            </w:rPr>
            <w:t>Secretaría de Salud</w:t>
          </w:r>
        </w:p>
      </w:tc>
    </w:tr>
    <w:tr w:rsidR="00137962" w:rsidRPr="00DA297E" w14:paraId="3DE1A96E" w14:textId="77777777" w:rsidTr="009B590A">
      <w:tc>
        <w:tcPr>
          <w:tcW w:w="2977" w:type="dxa"/>
          <w:shd w:val="clear" w:color="auto" w:fill="auto"/>
        </w:tcPr>
        <w:p w14:paraId="5237ADE6" w14:textId="77777777" w:rsidR="00137962" w:rsidRPr="001919AA" w:rsidRDefault="00137962" w:rsidP="00735DC9">
          <w:pPr>
            <w:spacing w:after="120"/>
            <w:jc w:val="both"/>
            <w:rPr>
              <w:rFonts w:ascii="Palatino Linotype" w:hAnsi="Palatino Linotype"/>
              <w:b/>
              <w:bCs/>
              <w:sz w:val="22"/>
              <w:szCs w:val="22"/>
              <w:lang w:val="es-ES_tradnl"/>
            </w:rPr>
          </w:pPr>
          <w:r w:rsidRPr="001919AA">
            <w:rPr>
              <w:rFonts w:ascii="Palatino Linotype" w:hAnsi="Palatino Linotype"/>
              <w:b/>
              <w:bCs/>
              <w:sz w:val="22"/>
              <w:szCs w:val="22"/>
              <w:lang w:val="es-ES_tradnl"/>
            </w:rPr>
            <w:t>Comisionado Ponente:</w:t>
          </w:r>
        </w:p>
      </w:tc>
      <w:tc>
        <w:tcPr>
          <w:tcW w:w="3969" w:type="dxa"/>
          <w:shd w:val="clear" w:color="auto" w:fill="auto"/>
        </w:tcPr>
        <w:p w14:paraId="3D1731E3" w14:textId="77777777" w:rsidR="00137962" w:rsidRPr="001919AA" w:rsidRDefault="00137962" w:rsidP="00735DC9">
          <w:pPr>
            <w:spacing w:after="120"/>
            <w:jc w:val="right"/>
            <w:rPr>
              <w:rFonts w:ascii="Palatino Linotype" w:hAnsi="Palatino Linotype"/>
              <w:b/>
              <w:bCs/>
              <w:sz w:val="22"/>
              <w:szCs w:val="22"/>
              <w:lang w:val="es-ES_tradnl"/>
            </w:rPr>
          </w:pPr>
          <w:r w:rsidRPr="001919AA">
            <w:rPr>
              <w:rFonts w:ascii="Palatino Linotype" w:hAnsi="Palatino Linotype"/>
              <w:b/>
              <w:bCs/>
              <w:sz w:val="22"/>
              <w:szCs w:val="22"/>
              <w:lang w:val="es-ES_tradnl"/>
            </w:rPr>
            <w:t>José Martínez Vilchis</w:t>
          </w:r>
        </w:p>
      </w:tc>
    </w:tr>
  </w:tbl>
  <w:p w14:paraId="152DC43E" w14:textId="39C5BA66" w:rsidR="00137962" w:rsidRPr="009F1AB6" w:rsidRDefault="00033ABB">
    <w:pPr>
      <w:pStyle w:val="Encabezado"/>
      <w:rPr>
        <w:sz w:val="10"/>
      </w:rPr>
    </w:pPr>
    <w:r>
      <w:rPr>
        <w:noProof/>
        <w:sz w:val="10"/>
        <w:lang w:val="es-MX" w:eastAsia="es-MX"/>
      </w:rPr>
      <w:pict w14:anchorId="0EBAF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0.85pt;margin-top:-146.05pt;width:609.4pt;height:793.75pt;z-index:-251657216;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5F0E"/>
    <w:multiLevelType w:val="multilevel"/>
    <w:tmpl w:val="119A8F78"/>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 w15:restartNumberingAfterBreak="0">
    <w:nsid w:val="0E4B7BCC"/>
    <w:multiLevelType w:val="hybridMultilevel"/>
    <w:tmpl w:val="0EE26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891E2D"/>
    <w:multiLevelType w:val="hybridMultilevel"/>
    <w:tmpl w:val="FDD0A508"/>
    <w:lvl w:ilvl="0" w:tplc="F0720C3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FC7DE4"/>
    <w:multiLevelType w:val="hybridMultilevel"/>
    <w:tmpl w:val="7744F742"/>
    <w:lvl w:ilvl="0" w:tplc="EB5250E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9A5897"/>
    <w:multiLevelType w:val="multilevel"/>
    <w:tmpl w:val="E62CE868"/>
    <w:styleLink w:val="Listaactual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C067B94"/>
    <w:multiLevelType w:val="hybridMultilevel"/>
    <w:tmpl w:val="7AB055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ED0BA0"/>
    <w:multiLevelType w:val="hybridMultilevel"/>
    <w:tmpl w:val="46441386"/>
    <w:lvl w:ilvl="0" w:tplc="46C8EF6A">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182A87"/>
    <w:multiLevelType w:val="hybridMultilevel"/>
    <w:tmpl w:val="663C9D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2C302D"/>
    <w:multiLevelType w:val="hybridMultilevel"/>
    <w:tmpl w:val="59208664"/>
    <w:lvl w:ilvl="0" w:tplc="FC7602C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E193E"/>
    <w:multiLevelType w:val="multilevel"/>
    <w:tmpl w:val="E436A07A"/>
    <w:styleLink w:val="Listaactual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54500C4"/>
    <w:multiLevelType w:val="hybridMultilevel"/>
    <w:tmpl w:val="B928ED32"/>
    <w:lvl w:ilvl="0" w:tplc="02B08BD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8736E51"/>
    <w:multiLevelType w:val="multilevel"/>
    <w:tmpl w:val="766EE81A"/>
    <w:styleLink w:val="Listaactual1"/>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CE61C1"/>
    <w:multiLevelType w:val="hybridMultilevel"/>
    <w:tmpl w:val="80BAEB04"/>
    <w:lvl w:ilvl="0" w:tplc="297E281C">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7DA3E3D"/>
    <w:multiLevelType w:val="hybridMultilevel"/>
    <w:tmpl w:val="CA0CCA9E"/>
    <w:lvl w:ilvl="0" w:tplc="6CE4EBB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5"/>
  </w:num>
  <w:num w:numId="3">
    <w:abstractNumId w:val="24"/>
  </w:num>
  <w:num w:numId="4">
    <w:abstractNumId w:val="8"/>
  </w:num>
  <w:num w:numId="5">
    <w:abstractNumId w:val="20"/>
  </w:num>
  <w:num w:numId="6">
    <w:abstractNumId w:val="17"/>
  </w:num>
  <w:num w:numId="7">
    <w:abstractNumId w:val="21"/>
  </w:num>
  <w:num w:numId="8">
    <w:abstractNumId w:val="2"/>
  </w:num>
  <w:num w:numId="9">
    <w:abstractNumId w:val="27"/>
  </w:num>
  <w:num w:numId="10">
    <w:abstractNumId w:val="29"/>
  </w:num>
  <w:num w:numId="11">
    <w:abstractNumId w:val="3"/>
  </w:num>
  <w:num w:numId="12">
    <w:abstractNumId w:val="7"/>
  </w:num>
  <w:num w:numId="13">
    <w:abstractNumId w:val="22"/>
  </w:num>
  <w:num w:numId="14">
    <w:abstractNumId w:val="28"/>
  </w:num>
  <w:num w:numId="15">
    <w:abstractNumId w:val="18"/>
  </w:num>
  <w:num w:numId="16">
    <w:abstractNumId w:val="1"/>
  </w:num>
  <w:num w:numId="17">
    <w:abstractNumId w:val="12"/>
  </w:num>
  <w:num w:numId="18">
    <w:abstractNumId w:val="23"/>
  </w:num>
  <w:num w:numId="19">
    <w:abstractNumId w:val="19"/>
  </w:num>
  <w:num w:numId="20">
    <w:abstractNumId w:val="6"/>
  </w:num>
  <w:num w:numId="21">
    <w:abstractNumId w:val="9"/>
  </w:num>
  <w:num w:numId="22">
    <w:abstractNumId w:val="10"/>
  </w:num>
  <w:num w:numId="23">
    <w:abstractNumId w:val="4"/>
  </w:num>
  <w:num w:numId="24">
    <w:abstractNumId w:val="0"/>
  </w:num>
  <w:num w:numId="25">
    <w:abstractNumId w:val="14"/>
  </w:num>
  <w:num w:numId="26">
    <w:abstractNumId w:val="5"/>
  </w:num>
  <w:num w:numId="27">
    <w:abstractNumId w:val="26"/>
  </w:num>
  <w:num w:numId="28">
    <w:abstractNumId w:val="16"/>
  </w:num>
  <w:num w:numId="29">
    <w:abstractNumId w:val="1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7D2A"/>
    <w:rsid w:val="000245BF"/>
    <w:rsid w:val="0003071A"/>
    <w:rsid w:val="00031999"/>
    <w:rsid w:val="00033ABB"/>
    <w:rsid w:val="00036F8B"/>
    <w:rsid w:val="00041E4C"/>
    <w:rsid w:val="00050C6D"/>
    <w:rsid w:val="00055483"/>
    <w:rsid w:val="00056743"/>
    <w:rsid w:val="000572E9"/>
    <w:rsid w:val="00072562"/>
    <w:rsid w:val="00080E7F"/>
    <w:rsid w:val="00093AE1"/>
    <w:rsid w:val="000A717C"/>
    <w:rsid w:val="000B5E25"/>
    <w:rsid w:val="000C761F"/>
    <w:rsid w:val="000E6474"/>
    <w:rsid w:val="000E7BAB"/>
    <w:rsid w:val="000F16BA"/>
    <w:rsid w:val="000F2084"/>
    <w:rsid w:val="00101AD8"/>
    <w:rsid w:val="00102099"/>
    <w:rsid w:val="0010249F"/>
    <w:rsid w:val="001065E0"/>
    <w:rsid w:val="00123996"/>
    <w:rsid w:val="0012510D"/>
    <w:rsid w:val="00127DFE"/>
    <w:rsid w:val="00132067"/>
    <w:rsid w:val="001359A4"/>
    <w:rsid w:val="00137962"/>
    <w:rsid w:val="00144EE1"/>
    <w:rsid w:val="00154DA7"/>
    <w:rsid w:val="0016555A"/>
    <w:rsid w:val="001713F7"/>
    <w:rsid w:val="00184F32"/>
    <w:rsid w:val="00186CCB"/>
    <w:rsid w:val="0019170F"/>
    <w:rsid w:val="001919AA"/>
    <w:rsid w:val="00192162"/>
    <w:rsid w:val="001A3693"/>
    <w:rsid w:val="001A3718"/>
    <w:rsid w:val="001B4823"/>
    <w:rsid w:val="001B6A21"/>
    <w:rsid w:val="001D4046"/>
    <w:rsid w:val="001E5F7B"/>
    <w:rsid w:val="001F62E7"/>
    <w:rsid w:val="0020019E"/>
    <w:rsid w:val="0020249A"/>
    <w:rsid w:val="00207B86"/>
    <w:rsid w:val="0021608A"/>
    <w:rsid w:val="002167BB"/>
    <w:rsid w:val="00225163"/>
    <w:rsid w:val="00235936"/>
    <w:rsid w:val="0026415F"/>
    <w:rsid w:val="0026707C"/>
    <w:rsid w:val="00267313"/>
    <w:rsid w:val="00267BB5"/>
    <w:rsid w:val="00290831"/>
    <w:rsid w:val="00295B3F"/>
    <w:rsid w:val="002A2C38"/>
    <w:rsid w:val="002A4B43"/>
    <w:rsid w:val="002A6308"/>
    <w:rsid w:val="002A676F"/>
    <w:rsid w:val="002B22E5"/>
    <w:rsid w:val="002C0BE5"/>
    <w:rsid w:val="002D4119"/>
    <w:rsid w:val="002E3085"/>
    <w:rsid w:val="002E3436"/>
    <w:rsid w:val="002E4B08"/>
    <w:rsid w:val="002E6789"/>
    <w:rsid w:val="002F3B20"/>
    <w:rsid w:val="00300132"/>
    <w:rsid w:val="00307006"/>
    <w:rsid w:val="0030701F"/>
    <w:rsid w:val="00326545"/>
    <w:rsid w:val="00330FC3"/>
    <w:rsid w:val="00343F0B"/>
    <w:rsid w:val="003520C5"/>
    <w:rsid w:val="00352E06"/>
    <w:rsid w:val="00355F0A"/>
    <w:rsid w:val="00365BFB"/>
    <w:rsid w:val="00372A31"/>
    <w:rsid w:val="003746DE"/>
    <w:rsid w:val="003804E8"/>
    <w:rsid w:val="00380D3E"/>
    <w:rsid w:val="00385319"/>
    <w:rsid w:val="0038603F"/>
    <w:rsid w:val="0039273C"/>
    <w:rsid w:val="003B1C85"/>
    <w:rsid w:val="003B1E6F"/>
    <w:rsid w:val="003B36D7"/>
    <w:rsid w:val="003B3F89"/>
    <w:rsid w:val="003B5A80"/>
    <w:rsid w:val="003B6BD9"/>
    <w:rsid w:val="003E56C9"/>
    <w:rsid w:val="003F2FCC"/>
    <w:rsid w:val="003F34E4"/>
    <w:rsid w:val="004018F9"/>
    <w:rsid w:val="0040302F"/>
    <w:rsid w:val="004103C8"/>
    <w:rsid w:val="0042327E"/>
    <w:rsid w:val="00424B41"/>
    <w:rsid w:val="0042578C"/>
    <w:rsid w:val="00425E0F"/>
    <w:rsid w:val="004344EA"/>
    <w:rsid w:val="0043515A"/>
    <w:rsid w:val="00442FD8"/>
    <w:rsid w:val="00443892"/>
    <w:rsid w:val="004445A1"/>
    <w:rsid w:val="00445CAA"/>
    <w:rsid w:val="004719B9"/>
    <w:rsid w:val="004756FE"/>
    <w:rsid w:val="00484279"/>
    <w:rsid w:val="00494ED9"/>
    <w:rsid w:val="004B46CF"/>
    <w:rsid w:val="004D4282"/>
    <w:rsid w:val="004D6F71"/>
    <w:rsid w:val="005004E9"/>
    <w:rsid w:val="00511A08"/>
    <w:rsid w:val="005144A0"/>
    <w:rsid w:val="00514D57"/>
    <w:rsid w:val="00516EEF"/>
    <w:rsid w:val="005264CE"/>
    <w:rsid w:val="005551AD"/>
    <w:rsid w:val="00555C87"/>
    <w:rsid w:val="005573CE"/>
    <w:rsid w:val="0056570A"/>
    <w:rsid w:val="00583E4A"/>
    <w:rsid w:val="00583EC7"/>
    <w:rsid w:val="0059032F"/>
    <w:rsid w:val="005A6216"/>
    <w:rsid w:val="005B15F6"/>
    <w:rsid w:val="005B234D"/>
    <w:rsid w:val="005B26AD"/>
    <w:rsid w:val="005B36A8"/>
    <w:rsid w:val="005B5693"/>
    <w:rsid w:val="005C6646"/>
    <w:rsid w:val="005D77CC"/>
    <w:rsid w:val="005E5716"/>
    <w:rsid w:val="005F0440"/>
    <w:rsid w:val="005F0E24"/>
    <w:rsid w:val="006002E0"/>
    <w:rsid w:val="00611591"/>
    <w:rsid w:val="00612810"/>
    <w:rsid w:val="00620280"/>
    <w:rsid w:val="006258FD"/>
    <w:rsid w:val="00627B9A"/>
    <w:rsid w:val="00632E48"/>
    <w:rsid w:val="00637867"/>
    <w:rsid w:val="00643D0E"/>
    <w:rsid w:val="00647C40"/>
    <w:rsid w:val="0065334E"/>
    <w:rsid w:val="00655CC9"/>
    <w:rsid w:val="00662C67"/>
    <w:rsid w:val="00672752"/>
    <w:rsid w:val="00674EA9"/>
    <w:rsid w:val="00677803"/>
    <w:rsid w:val="006846AD"/>
    <w:rsid w:val="00686A59"/>
    <w:rsid w:val="006945D9"/>
    <w:rsid w:val="00694976"/>
    <w:rsid w:val="006B321A"/>
    <w:rsid w:val="006B3676"/>
    <w:rsid w:val="006B418F"/>
    <w:rsid w:val="006D1713"/>
    <w:rsid w:val="006D3A03"/>
    <w:rsid w:val="006E08FA"/>
    <w:rsid w:val="006E274F"/>
    <w:rsid w:val="006F5F93"/>
    <w:rsid w:val="00701E96"/>
    <w:rsid w:val="007033E3"/>
    <w:rsid w:val="00710FED"/>
    <w:rsid w:val="0072226C"/>
    <w:rsid w:val="00732345"/>
    <w:rsid w:val="00735DC9"/>
    <w:rsid w:val="00756F04"/>
    <w:rsid w:val="00770F18"/>
    <w:rsid w:val="00792261"/>
    <w:rsid w:val="00793C1A"/>
    <w:rsid w:val="0079667F"/>
    <w:rsid w:val="007A118C"/>
    <w:rsid w:val="007A63E3"/>
    <w:rsid w:val="007C1357"/>
    <w:rsid w:val="007D2A81"/>
    <w:rsid w:val="007E534B"/>
    <w:rsid w:val="007E7C02"/>
    <w:rsid w:val="007F1EF9"/>
    <w:rsid w:val="007F7462"/>
    <w:rsid w:val="008051A9"/>
    <w:rsid w:val="0082339C"/>
    <w:rsid w:val="00835035"/>
    <w:rsid w:val="00840AC9"/>
    <w:rsid w:val="00840AD4"/>
    <w:rsid w:val="0084536E"/>
    <w:rsid w:val="00852668"/>
    <w:rsid w:val="00854249"/>
    <w:rsid w:val="008578BF"/>
    <w:rsid w:val="00864C62"/>
    <w:rsid w:val="008660D6"/>
    <w:rsid w:val="008A1A90"/>
    <w:rsid w:val="008A5DB9"/>
    <w:rsid w:val="008B3873"/>
    <w:rsid w:val="008C3B24"/>
    <w:rsid w:val="008C7B6A"/>
    <w:rsid w:val="008E01E4"/>
    <w:rsid w:val="008E1D68"/>
    <w:rsid w:val="008E2A79"/>
    <w:rsid w:val="008E5191"/>
    <w:rsid w:val="008E5C01"/>
    <w:rsid w:val="00900C9B"/>
    <w:rsid w:val="00901487"/>
    <w:rsid w:val="009067D5"/>
    <w:rsid w:val="00915BAE"/>
    <w:rsid w:val="00926C44"/>
    <w:rsid w:val="0093645B"/>
    <w:rsid w:val="009430C3"/>
    <w:rsid w:val="009557DF"/>
    <w:rsid w:val="00971D46"/>
    <w:rsid w:val="009758CB"/>
    <w:rsid w:val="00984169"/>
    <w:rsid w:val="00993406"/>
    <w:rsid w:val="009966DC"/>
    <w:rsid w:val="009A0F77"/>
    <w:rsid w:val="009A34B8"/>
    <w:rsid w:val="009A5223"/>
    <w:rsid w:val="009B23B7"/>
    <w:rsid w:val="009B2B6B"/>
    <w:rsid w:val="009B590A"/>
    <w:rsid w:val="009C2CE9"/>
    <w:rsid w:val="009D0B64"/>
    <w:rsid w:val="009D2E87"/>
    <w:rsid w:val="009D39B3"/>
    <w:rsid w:val="009E01EA"/>
    <w:rsid w:val="009E1F26"/>
    <w:rsid w:val="009E3747"/>
    <w:rsid w:val="009F0877"/>
    <w:rsid w:val="009F3CF1"/>
    <w:rsid w:val="009F4FF4"/>
    <w:rsid w:val="009F62C3"/>
    <w:rsid w:val="009F71DC"/>
    <w:rsid w:val="00A0100D"/>
    <w:rsid w:val="00A05133"/>
    <w:rsid w:val="00A05D3A"/>
    <w:rsid w:val="00A37476"/>
    <w:rsid w:val="00A47A5E"/>
    <w:rsid w:val="00A5260D"/>
    <w:rsid w:val="00A6692F"/>
    <w:rsid w:val="00A72262"/>
    <w:rsid w:val="00A76089"/>
    <w:rsid w:val="00A761FB"/>
    <w:rsid w:val="00A837A2"/>
    <w:rsid w:val="00AA0F30"/>
    <w:rsid w:val="00AA10DE"/>
    <w:rsid w:val="00AA26B4"/>
    <w:rsid w:val="00AB15E3"/>
    <w:rsid w:val="00AC12EC"/>
    <w:rsid w:val="00AD33BE"/>
    <w:rsid w:val="00AE1A47"/>
    <w:rsid w:val="00AE5995"/>
    <w:rsid w:val="00AF340B"/>
    <w:rsid w:val="00B01BD5"/>
    <w:rsid w:val="00B05B83"/>
    <w:rsid w:val="00B17992"/>
    <w:rsid w:val="00B205B2"/>
    <w:rsid w:val="00B31853"/>
    <w:rsid w:val="00B437AD"/>
    <w:rsid w:val="00B441DC"/>
    <w:rsid w:val="00B4648C"/>
    <w:rsid w:val="00B50B07"/>
    <w:rsid w:val="00B566AB"/>
    <w:rsid w:val="00B61730"/>
    <w:rsid w:val="00B8098B"/>
    <w:rsid w:val="00B84684"/>
    <w:rsid w:val="00B86FA7"/>
    <w:rsid w:val="00BA3E69"/>
    <w:rsid w:val="00BB0484"/>
    <w:rsid w:val="00BC0CFA"/>
    <w:rsid w:val="00BC1391"/>
    <w:rsid w:val="00BC47BA"/>
    <w:rsid w:val="00BD14B3"/>
    <w:rsid w:val="00BE1183"/>
    <w:rsid w:val="00BE233B"/>
    <w:rsid w:val="00BE7A6E"/>
    <w:rsid w:val="00BF346A"/>
    <w:rsid w:val="00C053C5"/>
    <w:rsid w:val="00C06262"/>
    <w:rsid w:val="00C0775E"/>
    <w:rsid w:val="00C21B3C"/>
    <w:rsid w:val="00C24B94"/>
    <w:rsid w:val="00C25AE2"/>
    <w:rsid w:val="00C25B47"/>
    <w:rsid w:val="00C35DE1"/>
    <w:rsid w:val="00C36D6A"/>
    <w:rsid w:val="00C4073A"/>
    <w:rsid w:val="00C53071"/>
    <w:rsid w:val="00C56DD5"/>
    <w:rsid w:val="00C659EC"/>
    <w:rsid w:val="00C65E1C"/>
    <w:rsid w:val="00C6638B"/>
    <w:rsid w:val="00C663F5"/>
    <w:rsid w:val="00C674BE"/>
    <w:rsid w:val="00C7198C"/>
    <w:rsid w:val="00C802FB"/>
    <w:rsid w:val="00CA216C"/>
    <w:rsid w:val="00CA21CB"/>
    <w:rsid w:val="00CB2287"/>
    <w:rsid w:val="00CC0700"/>
    <w:rsid w:val="00CC3339"/>
    <w:rsid w:val="00CC7D48"/>
    <w:rsid w:val="00CD024D"/>
    <w:rsid w:val="00CF09EF"/>
    <w:rsid w:val="00D11C33"/>
    <w:rsid w:val="00D21BEB"/>
    <w:rsid w:val="00D33B1B"/>
    <w:rsid w:val="00D37632"/>
    <w:rsid w:val="00D4431A"/>
    <w:rsid w:val="00D53925"/>
    <w:rsid w:val="00D57210"/>
    <w:rsid w:val="00D6624C"/>
    <w:rsid w:val="00D901D7"/>
    <w:rsid w:val="00D92BFE"/>
    <w:rsid w:val="00D954AD"/>
    <w:rsid w:val="00DA297E"/>
    <w:rsid w:val="00DB71F6"/>
    <w:rsid w:val="00DC44DA"/>
    <w:rsid w:val="00DC55EE"/>
    <w:rsid w:val="00DC67B8"/>
    <w:rsid w:val="00DD1866"/>
    <w:rsid w:val="00DE0A8D"/>
    <w:rsid w:val="00DE562A"/>
    <w:rsid w:val="00E02240"/>
    <w:rsid w:val="00E34446"/>
    <w:rsid w:val="00E42342"/>
    <w:rsid w:val="00E42B2B"/>
    <w:rsid w:val="00E45739"/>
    <w:rsid w:val="00E5647F"/>
    <w:rsid w:val="00E65F37"/>
    <w:rsid w:val="00E711DE"/>
    <w:rsid w:val="00E743C9"/>
    <w:rsid w:val="00E823B8"/>
    <w:rsid w:val="00E9091C"/>
    <w:rsid w:val="00E9288E"/>
    <w:rsid w:val="00E955DD"/>
    <w:rsid w:val="00EA1405"/>
    <w:rsid w:val="00EA61B9"/>
    <w:rsid w:val="00EA78FC"/>
    <w:rsid w:val="00EA7BF4"/>
    <w:rsid w:val="00EB05B7"/>
    <w:rsid w:val="00EB6C62"/>
    <w:rsid w:val="00EC2A1E"/>
    <w:rsid w:val="00EC639E"/>
    <w:rsid w:val="00ED2CEF"/>
    <w:rsid w:val="00EE1CBE"/>
    <w:rsid w:val="00EE39F6"/>
    <w:rsid w:val="00EE4D9C"/>
    <w:rsid w:val="00EE6265"/>
    <w:rsid w:val="00EE7518"/>
    <w:rsid w:val="00EF193B"/>
    <w:rsid w:val="00EF4B9A"/>
    <w:rsid w:val="00EF7107"/>
    <w:rsid w:val="00F11EC5"/>
    <w:rsid w:val="00F171BB"/>
    <w:rsid w:val="00F1795F"/>
    <w:rsid w:val="00F212C4"/>
    <w:rsid w:val="00F30CA4"/>
    <w:rsid w:val="00F32559"/>
    <w:rsid w:val="00F34A32"/>
    <w:rsid w:val="00F41911"/>
    <w:rsid w:val="00F455F1"/>
    <w:rsid w:val="00F570D3"/>
    <w:rsid w:val="00F73BE0"/>
    <w:rsid w:val="00F74968"/>
    <w:rsid w:val="00F808D3"/>
    <w:rsid w:val="00F8513C"/>
    <w:rsid w:val="00F86214"/>
    <w:rsid w:val="00F93BF6"/>
    <w:rsid w:val="00FB76D3"/>
    <w:rsid w:val="00FB7E31"/>
    <w:rsid w:val="00FC3A7B"/>
    <w:rsid w:val="00FC7CC7"/>
    <w:rsid w:val="00FD40A3"/>
    <w:rsid w:val="00FE088C"/>
    <w:rsid w:val="00FE18FC"/>
    <w:rsid w:val="00FE2FFB"/>
    <w:rsid w:val="00FF0F96"/>
    <w:rsid w:val="00FF46B7"/>
    <w:rsid w:val="00FF6617"/>
    <w:rsid w:val="0771A70E"/>
    <w:rsid w:val="28CAB825"/>
    <w:rsid w:val="2B0D05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3DB38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undamentos"/>
    <w:basedOn w:val="Normal"/>
    <w:link w:val="SinespaciadoCar"/>
    <w:uiPriority w:val="1"/>
    <w:qFormat/>
    <w:rsid w:val="00041E4C"/>
    <w:pPr>
      <w:ind w:left="567" w:right="567"/>
      <w:jc w:val="both"/>
    </w:pPr>
    <w:rPr>
      <w:rFonts w:ascii="Palatino Linotype" w:hAnsi="Palatino Linotype"/>
      <w:i/>
      <w:color w:val="000000" w:themeColor="text1"/>
      <w:sz w:val="22"/>
    </w:rPr>
  </w:style>
  <w:style w:type="character" w:customStyle="1" w:styleId="SinespaciadoCar">
    <w:name w:val="Sin espaciado Car"/>
    <w:aliases w:val="Fundamentos Car"/>
    <w:link w:val="Sinespaciado"/>
    <w:uiPriority w:val="1"/>
    <w:locked/>
    <w:rsid w:val="00041E4C"/>
    <w:rPr>
      <w:rFonts w:ascii="Palatino Linotype" w:eastAsia="Times New Roman" w:hAnsi="Palatino Linotype" w:cs="Times New Roman"/>
      <w:i/>
      <w:color w:val="000000" w:themeColor="text1"/>
      <w:szCs w:val="24"/>
      <w:lang w:val="es-ES"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comentario">
    <w:name w:val="annotation text"/>
    <w:basedOn w:val="Normal"/>
    <w:link w:val="TextocomentarioCar"/>
    <w:uiPriority w:val="99"/>
    <w:unhideWhenUsed/>
    <w:rsid w:val="002E6789"/>
    <w:rPr>
      <w:sz w:val="20"/>
      <w:szCs w:val="20"/>
    </w:rPr>
  </w:style>
  <w:style w:type="character" w:customStyle="1" w:styleId="TextocomentarioCar">
    <w:name w:val="Texto comentario Car"/>
    <w:basedOn w:val="Fuentedeprrafopredeter"/>
    <w:link w:val="Textocomentario"/>
    <w:uiPriority w:val="99"/>
    <w:rsid w:val="002E6789"/>
    <w:rPr>
      <w:rFonts w:ascii="Times New Roman" w:eastAsia="Times New Roman" w:hAnsi="Times New Roman" w:cs="Times New Roman"/>
      <w:sz w:val="20"/>
      <w:szCs w:val="20"/>
      <w:lang w:val="es-ES" w:eastAsia="es-ES"/>
    </w:rPr>
  </w:style>
  <w:style w:type="numbering" w:customStyle="1" w:styleId="Listaactual1">
    <w:name w:val="Lista actual1"/>
    <w:uiPriority w:val="99"/>
    <w:rsid w:val="00FB76D3"/>
    <w:pPr>
      <w:numPr>
        <w:numId w:val="19"/>
      </w:numPr>
    </w:pPr>
  </w:style>
  <w:style w:type="numbering" w:customStyle="1" w:styleId="Listaactual2">
    <w:name w:val="Lista actual2"/>
    <w:uiPriority w:val="99"/>
    <w:rsid w:val="00207B86"/>
    <w:pPr>
      <w:numPr>
        <w:numId w:val="22"/>
      </w:numPr>
    </w:pPr>
  </w:style>
  <w:style w:type="paragraph" w:styleId="NormalWeb">
    <w:name w:val="Normal (Web)"/>
    <w:basedOn w:val="Normal"/>
    <w:uiPriority w:val="99"/>
    <w:semiHidden/>
    <w:unhideWhenUsed/>
    <w:rsid w:val="00CC3339"/>
    <w:pPr>
      <w:spacing w:before="100" w:beforeAutospacing="1" w:after="100" w:afterAutospacing="1"/>
    </w:pPr>
    <w:rPr>
      <w:lang w:val="es-MX" w:eastAsia="es-MX"/>
    </w:rPr>
  </w:style>
  <w:style w:type="numbering" w:customStyle="1" w:styleId="Listaactual3">
    <w:name w:val="Lista actual3"/>
    <w:uiPriority w:val="99"/>
    <w:rsid w:val="00FE088C"/>
    <w:pPr>
      <w:numPr>
        <w:numId w:val="28"/>
      </w:numPr>
    </w:pPr>
  </w:style>
  <w:style w:type="paragraph" w:styleId="Revisin">
    <w:name w:val="Revision"/>
    <w:hidden/>
    <w:uiPriority w:val="99"/>
    <w:semiHidden/>
    <w:rsid w:val="000E7BAB"/>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103770976">
      <w:bodyDiv w:val="1"/>
      <w:marLeft w:val="0"/>
      <w:marRight w:val="0"/>
      <w:marTop w:val="0"/>
      <w:marBottom w:val="0"/>
      <w:divBdr>
        <w:top w:val="none" w:sz="0" w:space="0" w:color="auto"/>
        <w:left w:val="none" w:sz="0" w:space="0" w:color="auto"/>
        <w:bottom w:val="none" w:sz="0" w:space="0" w:color="auto"/>
        <w:right w:val="none" w:sz="0" w:space="0" w:color="auto"/>
      </w:divBdr>
    </w:div>
    <w:div w:id="1203440724">
      <w:bodyDiv w:val="1"/>
      <w:marLeft w:val="0"/>
      <w:marRight w:val="0"/>
      <w:marTop w:val="0"/>
      <w:marBottom w:val="0"/>
      <w:divBdr>
        <w:top w:val="none" w:sz="0" w:space="0" w:color="auto"/>
        <w:left w:val="none" w:sz="0" w:space="0" w:color="auto"/>
        <w:bottom w:val="none" w:sz="0" w:space="0" w:color="auto"/>
        <w:right w:val="none" w:sz="0" w:space="0" w:color="auto"/>
      </w:divBdr>
      <w:divsChild>
        <w:div w:id="1423188726">
          <w:marLeft w:val="0"/>
          <w:marRight w:val="0"/>
          <w:marTop w:val="0"/>
          <w:marBottom w:val="0"/>
          <w:divBdr>
            <w:top w:val="none" w:sz="0" w:space="0" w:color="auto"/>
            <w:left w:val="none" w:sz="0" w:space="0" w:color="auto"/>
            <w:bottom w:val="none" w:sz="0" w:space="0" w:color="auto"/>
            <w:right w:val="none" w:sz="0" w:space="0" w:color="auto"/>
          </w:divBdr>
          <w:divsChild>
            <w:div w:id="1128545350">
              <w:marLeft w:val="0"/>
              <w:marRight w:val="0"/>
              <w:marTop w:val="0"/>
              <w:marBottom w:val="0"/>
              <w:divBdr>
                <w:top w:val="none" w:sz="0" w:space="0" w:color="auto"/>
                <w:left w:val="none" w:sz="0" w:space="0" w:color="auto"/>
                <w:bottom w:val="none" w:sz="0" w:space="0" w:color="auto"/>
                <w:right w:val="none" w:sz="0" w:space="0" w:color="auto"/>
              </w:divBdr>
              <w:divsChild>
                <w:div w:id="106321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157769">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304865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CBFCD-7E87-4E75-9305-CBAC1FCF8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3677</Words>
  <Characters>20229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7</cp:revision>
  <cp:lastPrinted>2026-03-13T16:41:00Z</cp:lastPrinted>
  <dcterms:created xsi:type="dcterms:W3CDTF">2026-03-03T21:02:00Z</dcterms:created>
  <dcterms:modified xsi:type="dcterms:W3CDTF">2026-04-08T18:19:00Z</dcterms:modified>
</cp:coreProperties>
</file>