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CFF" w:rsidRPr="00D53BC6" w:rsidRDefault="001E3050">
      <w:pPr>
        <w:spacing w:line="360" w:lineRule="auto"/>
        <w:jc w:val="both"/>
        <w:rPr>
          <w:rFonts w:ascii="Palatino Linotype" w:eastAsia="Palatino Linotype" w:hAnsi="Palatino Linotype" w:cs="Palatino Linotype"/>
          <w:b/>
        </w:rPr>
      </w:pPr>
      <w:bookmarkStart w:id="0" w:name="_GoBack"/>
      <w:bookmarkEnd w:id="0"/>
      <w:r w:rsidRPr="00D53BC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D53BC6">
        <w:rPr>
          <w:rFonts w:ascii="Palatino Linotype" w:eastAsia="Palatino Linotype" w:hAnsi="Palatino Linotype" w:cs="Palatino Linotype"/>
          <w:b/>
        </w:rPr>
        <w:t>de fecha veintiuno</w:t>
      </w:r>
      <w:r w:rsidR="00D53BC6" w:rsidRPr="00D53BC6">
        <w:rPr>
          <w:rFonts w:ascii="Palatino Linotype" w:eastAsia="Palatino Linotype" w:hAnsi="Palatino Linotype" w:cs="Palatino Linotype"/>
          <w:b/>
        </w:rPr>
        <w:t xml:space="preserve"> (21)</w:t>
      </w:r>
      <w:r w:rsidRPr="00D53BC6">
        <w:rPr>
          <w:rFonts w:ascii="Palatino Linotype" w:eastAsia="Palatino Linotype" w:hAnsi="Palatino Linotype" w:cs="Palatino Linotype"/>
          <w:b/>
        </w:rPr>
        <w:t xml:space="preserve"> de enero de dos mil </w:t>
      </w:r>
      <w:r w:rsidR="00C57F05" w:rsidRPr="00D53BC6">
        <w:rPr>
          <w:rFonts w:ascii="Palatino Linotype" w:eastAsia="Palatino Linotype" w:hAnsi="Palatino Linotype" w:cs="Palatino Linotype"/>
          <w:b/>
        </w:rPr>
        <w:t>veintiséis</w:t>
      </w:r>
      <w:r w:rsidRPr="00D53BC6">
        <w:rPr>
          <w:rFonts w:ascii="Palatino Linotype" w:eastAsia="Palatino Linotype" w:hAnsi="Palatino Linotype" w:cs="Palatino Linotype"/>
          <w:b/>
        </w:rPr>
        <w:t>.</w:t>
      </w:r>
    </w:p>
    <w:p w:rsidR="00166CFF" w:rsidRPr="00D53BC6" w:rsidRDefault="00166CFF">
      <w:pPr>
        <w:jc w:val="both"/>
        <w:rPr>
          <w:rFonts w:ascii="Palatino Linotype" w:eastAsia="Palatino Linotype" w:hAnsi="Palatino Linotype" w:cs="Palatino Linotype"/>
        </w:rPr>
      </w:pPr>
    </w:p>
    <w:p w:rsidR="00166CFF" w:rsidRPr="00D53BC6" w:rsidRDefault="001E3050">
      <w:pPr>
        <w:spacing w:line="360" w:lineRule="auto"/>
        <w:jc w:val="both"/>
        <w:rPr>
          <w:rFonts w:ascii="Palatino Linotype" w:eastAsia="Palatino Linotype" w:hAnsi="Palatino Linotype" w:cs="Palatino Linotype"/>
        </w:rPr>
      </w:pPr>
      <w:r w:rsidRPr="00D53BC6">
        <w:rPr>
          <w:rFonts w:ascii="Palatino Linotype" w:eastAsia="Palatino Linotype" w:hAnsi="Palatino Linotype" w:cs="Palatino Linotype"/>
          <w:b/>
          <w:bCs/>
        </w:rPr>
        <w:t>VISTO</w:t>
      </w:r>
      <w:r w:rsidRPr="00D53BC6">
        <w:rPr>
          <w:rFonts w:ascii="Palatino Linotype" w:eastAsia="Palatino Linotype" w:hAnsi="Palatino Linotype" w:cs="Palatino Linotype"/>
        </w:rPr>
        <w:t xml:space="preserve"> el expediente electrónico formado con motivo del recurso de revisión </w:t>
      </w:r>
      <w:r w:rsidRPr="00D53BC6">
        <w:rPr>
          <w:rFonts w:ascii="Palatino Linotype" w:eastAsia="Palatino Linotype" w:hAnsi="Palatino Linotype" w:cs="Palatino Linotype"/>
          <w:b/>
          <w:bCs/>
        </w:rPr>
        <w:t xml:space="preserve">05103/INFOEM/IP/RR/2025, </w:t>
      </w:r>
      <w:r w:rsidRPr="00D53BC6">
        <w:rPr>
          <w:rFonts w:ascii="Palatino Linotype" w:eastAsia="Palatino Linotype" w:hAnsi="Palatino Linotype" w:cs="Palatino Linotype"/>
        </w:rPr>
        <w:t>promovido por un</w:t>
      </w:r>
      <w:r w:rsidRPr="00D53BC6">
        <w:rPr>
          <w:rFonts w:ascii="Palatino Linotype" w:eastAsia="Palatino Linotype" w:hAnsi="Palatino Linotype" w:cs="Palatino Linotype"/>
          <w:b/>
          <w:bCs/>
        </w:rPr>
        <w:t xml:space="preserve"> RECURRENTE,</w:t>
      </w:r>
      <w:r w:rsidRPr="00D53BC6">
        <w:rPr>
          <w:rFonts w:ascii="Palatino Linotype" w:eastAsia="Palatino Linotype" w:hAnsi="Palatino Linotype" w:cs="Palatino Linotype"/>
        </w:rPr>
        <w:t xml:space="preserve"> en contra de la respuesta del </w:t>
      </w:r>
      <w:r w:rsidRPr="00D53BC6">
        <w:rPr>
          <w:rFonts w:ascii="Palatino Linotype" w:eastAsia="Palatino Linotype" w:hAnsi="Palatino Linotype" w:cs="Palatino Linotype"/>
          <w:b/>
        </w:rPr>
        <w:t>Ayuntamiento de Zinacantepec</w:t>
      </w:r>
      <w:r w:rsidRPr="00D53BC6">
        <w:rPr>
          <w:rFonts w:ascii="Palatino Linotype" w:eastAsia="Palatino Linotype" w:hAnsi="Palatino Linotype" w:cs="Palatino Linotype"/>
          <w:b/>
          <w:bCs/>
        </w:rPr>
        <w:t xml:space="preserve">, </w:t>
      </w:r>
      <w:r w:rsidRPr="00D53BC6">
        <w:rPr>
          <w:rFonts w:ascii="Palatino Linotype" w:eastAsia="Palatino Linotype" w:hAnsi="Palatino Linotype" w:cs="Palatino Linotype"/>
        </w:rPr>
        <w:t>en adelante el</w:t>
      </w:r>
      <w:r w:rsidRPr="00D53BC6">
        <w:rPr>
          <w:rFonts w:ascii="Palatino Linotype" w:eastAsia="Palatino Linotype" w:hAnsi="Palatino Linotype" w:cs="Palatino Linotype"/>
          <w:b/>
          <w:bCs/>
        </w:rPr>
        <w:t xml:space="preserve"> SUJETO OBLIGADO</w:t>
      </w:r>
      <w:r w:rsidRPr="00D53BC6">
        <w:rPr>
          <w:rFonts w:ascii="Palatino Linotype" w:eastAsia="Palatino Linotype" w:hAnsi="Palatino Linotype" w:cs="Palatino Linotype"/>
        </w:rPr>
        <w:t>, por lo que se procede a dictar la presente resolución, con base en los siguientes:</w:t>
      </w:r>
    </w:p>
    <w:p w:rsidR="00166CFF" w:rsidRPr="00D53BC6" w:rsidRDefault="00166CFF">
      <w:pPr>
        <w:jc w:val="both"/>
        <w:rPr>
          <w:rFonts w:ascii="Palatino Linotype" w:eastAsia="Palatino Linotype" w:hAnsi="Palatino Linotype" w:cs="Palatino Linotype"/>
        </w:rPr>
      </w:pPr>
    </w:p>
    <w:p w:rsidR="00166CFF" w:rsidRPr="00D53BC6" w:rsidRDefault="001E3050">
      <w:pPr>
        <w:keepNext/>
        <w:keepLines/>
        <w:spacing w:line="360" w:lineRule="auto"/>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A N T E C E D E N T E S</w:t>
      </w:r>
    </w:p>
    <w:p w:rsidR="00166CFF" w:rsidRPr="00D53BC6" w:rsidRDefault="00166CFF">
      <w:pPr>
        <w:rPr>
          <w:rFonts w:ascii="Palatino Linotype" w:eastAsia="Palatino Linotype" w:hAnsi="Palatino Linotype" w:cs="Palatino Linotype"/>
        </w:rPr>
      </w:pPr>
    </w:p>
    <w:p w:rsidR="00166CFF" w:rsidRPr="00D53BC6" w:rsidRDefault="001E3050">
      <w:pPr>
        <w:numPr>
          <w:ilvl w:val="0"/>
          <w:numId w:val="1"/>
        </w:numPr>
        <w:spacing w:line="360" w:lineRule="auto"/>
        <w:ind w:left="0"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El veinticuatro de marzo de dos mil veinticinco, la parte</w:t>
      </w:r>
      <w:r w:rsidRPr="00D53BC6">
        <w:rPr>
          <w:rFonts w:ascii="Palatino Linotype" w:eastAsia="Palatino Linotype" w:hAnsi="Palatino Linotype" w:cs="Palatino Linotype"/>
          <w:b/>
          <w:bCs/>
        </w:rPr>
        <w:t xml:space="preserve"> RECURRENTE </w:t>
      </w:r>
      <w:r w:rsidRPr="00D53BC6">
        <w:rPr>
          <w:rFonts w:ascii="Palatino Linotype" w:eastAsia="Palatino Linotype" w:hAnsi="Palatino Linotype" w:cs="Palatino Linotype"/>
        </w:rPr>
        <w:t xml:space="preserve">presentó ante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a través del el Sistema de Acceso a la Información Mexiquense </w:t>
      </w:r>
      <w:r w:rsidRPr="00D53BC6">
        <w:rPr>
          <w:rFonts w:ascii="Palatino Linotype" w:eastAsia="Palatino Linotype" w:hAnsi="Palatino Linotype" w:cs="Palatino Linotype"/>
          <w:b/>
          <w:bCs/>
        </w:rPr>
        <w:t>(SAIMEX),</w:t>
      </w:r>
      <w:r w:rsidRPr="00D53BC6">
        <w:rPr>
          <w:rFonts w:ascii="Palatino Linotype" w:eastAsia="Palatino Linotype" w:hAnsi="Palatino Linotype" w:cs="Palatino Linotype"/>
        </w:rPr>
        <w:t xml:space="preserve"> la solicitud de información pública </w:t>
      </w:r>
      <w:r w:rsidRPr="00D53BC6">
        <w:rPr>
          <w:rFonts w:ascii="Palatino Linotype" w:eastAsia="Palatino Linotype" w:hAnsi="Palatino Linotype" w:cs="Palatino Linotype"/>
          <w:b/>
          <w:bCs/>
        </w:rPr>
        <w:t>00114/ZINACANT/IP/2025</w:t>
      </w:r>
      <w:r w:rsidRPr="00D53BC6">
        <w:rPr>
          <w:rFonts w:ascii="Palatino Linotype" w:eastAsia="Palatino Linotype" w:hAnsi="Palatino Linotype" w:cs="Palatino Linotype"/>
        </w:rPr>
        <w:t>, en la que solicitó:</w:t>
      </w:r>
    </w:p>
    <w:p w:rsidR="00166CFF" w:rsidRPr="00D53BC6" w:rsidRDefault="00166CFF">
      <w:pPr>
        <w:jc w:val="both"/>
        <w:rPr>
          <w:rFonts w:ascii="Palatino Linotype" w:eastAsia="Palatino Linotype" w:hAnsi="Palatino Linotype" w:cs="Palatino Linotype"/>
          <w:i/>
          <w:iCs/>
        </w:rPr>
      </w:pPr>
    </w:p>
    <w:p w:rsidR="00166CFF" w:rsidRPr="00D53BC6" w:rsidRDefault="001E3050">
      <w:pPr>
        <w:ind w:left="567" w:right="567"/>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“Solicito una lista desglosada de los fondos asignados a programas sociales y apoyos en el último trienio, su distribución, beneficiarios y las auditorías realizadas, incluyendo cualquier intervención del Presidente Municipal en la asignación o supervisión de dichos fondos.” (Sic) </w:t>
      </w:r>
    </w:p>
    <w:p w:rsidR="00166CFF" w:rsidRDefault="00166CFF">
      <w:pPr>
        <w:pBdr>
          <w:top w:val="nil"/>
          <w:left w:val="nil"/>
          <w:bottom w:val="nil"/>
          <w:right w:val="nil"/>
          <w:between w:val="nil"/>
        </w:pBdr>
        <w:jc w:val="both"/>
        <w:rPr>
          <w:rFonts w:ascii="Palatino Linotype" w:eastAsia="Palatino Linotype" w:hAnsi="Palatino Linotype" w:cs="Palatino Linotype"/>
          <w:color w:val="000000"/>
        </w:rPr>
      </w:pPr>
    </w:p>
    <w:p w:rsidR="00D53BC6" w:rsidRPr="00D53BC6" w:rsidRDefault="00D53BC6">
      <w:pPr>
        <w:pBdr>
          <w:top w:val="nil"/>
          <w:left w:val="nil"/>
          <w:bottom w:val="nil"/>
          <w:right w:val="nil"/>
          <w:between w:val="nil"/>
        </w:pBdr>
        <w:jc w:val="both"/>
        <w:rPr>
          <w:rFonts w:ascii="Palatino Linotype" w:eastAsia="Palatino Linotype" w:hAnsi="Palatino Linotype" w:cs="Palatino Linotype"/>
          <w:color w:val="000000"/>
        </w:rPr>
      </w:pPr>
    </w:p>
    <w:p w:rsidR="00166CFF" w:rsidRPr="00D53BC6" w:rsidRDefault="001E3050">
      <w:pPr>
        <w:numPr>
          <w:ilvl w:val="0"/>
          <w:numId w:val="1"/>
        </w:numPr>
        <w:spacing w:line="360" w:lineRule="auto"/>
        <w:ind w:left="0"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Se hace constar que se señaló como modalidad de entrega de la información a través del </w:t>
      </w:r>
      <w:r w:rsidRPr="00D53BC6">
        <w:rPr>
          <w:rFonts w:ascii="Palatino Linotype" w:eastAsia="Palatino Linotype" w:hAnsi="Palatino Linotype" w:cs="Palatino Linotype"/>
          <w:b/>
          <w:bCs/>
        </w:rPr>
        <w:t>SAIMEX.</w:t>
      </w:r>
    </w:p>
    <w:p w:rsidR="00166CFF" w:rsidRPr="00D53BC6" w:rsidRDefault="00166CFF">
      <w:pPr>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El veintiuno de abril de dos mil veinticinco,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b/>
          <w:bCs/>
          <w:i/>
          <w:iCs/>
        </w:rPr>
        <w:t xml:space="preserve"> </w:t>
      </w:r>
      <w:r w:rsidRPr="00D53BC6">
        <w:rPr>
          <w:rFonts w:ascii="Palatino Linotype" w:eastAsia="Palatino Linotype" w:hAnsi="Palatino Linotype" w:cs="Palatino Linotype"/>
        </w:rPr>
        <w:t>dio respuesta a la solicitud de información, a través de los siguientes archivos electrónicos:</w:t>
      </w:r>
    </w:p>
    <w:p w:rsidR="00166CFF" w:rsidRPr="00D53BC6" w:rsidRDefault="00166CFF">
      <w:pPr>
        <w:ind w:left="567" w:right="567"/>
        <w:rPr>
          <w:rFonts w:ascii="Palatino Linotype" w:eastAsia="Palatino Linotype" w:hAnsi="Palatino Linotype" w:cs="Palatino Linotype"/>
        </w:rPr>
      </w:pPr>
    </w:p>
    <w:p w:rsidR="00166CFF" w:rsidRPr="00D53BC6" w:rsidRDefault="00B5416E">
      <w:pPr>
        <w:ind w:left="567" w:right="567"/>
        <w:jc w:val="both"/>
        <w:rPr>
          <w:rFonts w:ascii="Palatino Linotype" w:eastAsia="Palatino Linotype" w:hAnsi="Palatino Linotype" w:cs="Palatino Linotype"/>
        </w:rPr>
      </w:pPr>
      <w:hyperlink r:id="rId8">
        <w:r w:rsidR="001E3050" w:rsidRPr="00D53BC6">
          <w:rPr>
            <w:rFonts w:ascii="Palatino Linotype" w:eastAsia="Palatino Linotype" w:hAnsi="Palatino Linotype" w:cs="Palatino Linotype"/>
            <w:b/>
            <w:bCs/>
            <w:color w:val="000000"/>
          </w:rPr>
          <w:t>PADRON PAQUETE ALIMENTARIO 2024.pdf</w:t>
        </w:r>
      </w:hyperlink>
      <w:r w:rsidR="001E3050" w:rsidRPr="00D53BC6">
        <w:rPr>
          <w:rFonts w:ascii="Palatino Linotype" w:eastAsia="Palatino Linotype" w:hAnsi="Palatino Linotype" w:cs="Palatino Linotype"/>
        </w:rPr>
        <w:t>: Documento consistente en el padrón de beneficiarios del programa “Paquete Alimentario” del ejercicio fiscal 2024.</w:t>
      </w:r>
    </w:p>
    <w:p w:rsidR="00166CFF" w:rsidRPr="00D53BC6" w:rsidRDefault="00B5416E">
      <w:pPr>
        <w:ind w:left="567" w:right="567"/>
        <w:jc w:val="both"/>
        <w:rPr>
          <w:rFonts w:ascii="Palatino Linotype" w:eastAsia="Palatino Linotype" w:hAnsi="Palatino Linotype" w:cs="Palatino Linotype"/>
        </w:rPr>
      </w:pPr>
      <w:hyperlink r:id="rId9">
        <w:r w:rsidR="001E3050" w:rsidRPr="00D53BC6">
          <w:rPr>
            <w:rFonts w:ascii="Palatino Linotype" w:eastAsia="Palatino Linotype" w:hAnsi="Palatino Linotype" w:cs="Palatino Linotype"/>
            <w:b/>
            <w:bCs/>
            <w:color w:val="000000"/>
          </w:rPr>
          <w:t>PADRON MERECEMOS VIVIR MEJOR 2022 TRANSPARENCIA.pdf</w:t>
        </w:r>
      </w:hyperlink>
      <w:r w:rsidR="001E3050" w:rsidRPr="00D53BC6">
        <w:rPr>
          <w:rFonts w:ascii="Palatino Linotype" w:eastAsia="Palatino Linotype" w:hAnsi="Palatino Linotype" w:cs="Palatino Linotype"/>
        </w:rPr>
        <w:t>: Documento consistente en el padrón de beneficiarios del programa “Merecemos Vivir Mejor”, del ejercicio fiscal 2022.</w:t>
      </w:r>
    </w:p>
    <w:p w:rsidR="00166CFF" w:rsidRPr="00D53BC6" w:rsidRDefault="00B5416E">
      <w:pPr>
        <w:ind w:left="567" w:right="567"/>
        <w:jc w:val="both"/>
        <w:rPr>
          <w:rFonts w:ascii="Palatino Linotype" w:eastAsia="Palatino Linotype" w:hAnsi="Palatino Linotype" w:cs="Palatino Linotype"/>
        </w:rPr>
      </w:pPr>
      <w:hyperlink r:id="rId10">
        <w:r w:rsidR="001E3050" w:rsidRPr="00D53BC6">
          <w:rPr>
            <w:rFonts w:ascii="Palatino Linotype" w:eastAsia="Palatino Linotype" w:hAnsi="Palatino Linotype" w:cs="Palatino Linotype"/>
            <w:b/>
            <w:bCs/>
            <w:color w:val="000000"/>
          </w:rPr>
          <w:t>SOLICITUD 114.pdf</w:t>
        </w:r>
      </w:hyperlink>
      <w:r w:rsidR="001E3050" w:rsidRPr="00D53BC6">
        <w:rPr>
          <w:rFonts w:ascii="Palatino Linotype" w:eastAsia="Palatino Linotype" w:hAnsi="Palatino Linotype" w:cs="Palatino Linotype"/>
        </w:rPr>
        <w:t>: Oficio suscrito por la Directora de Desarrollo Social, por medio del cual, informó que durante 2022, 2023 y 2024 la Dirección de Desarrollo Social ejecutó programas de despensa en el Municipio de Zinacantepec, asimismo, precisó el ejercicio fiscal, la denominación del programa, el número de beneficiarios, la fuente de financiamiento y el monto.</w:t>
      </w:r>
    </w:p>
    <w:p w:rsidR="00166CFF" w:rsidRPr="00D53BC6" w:rsidRDefault="00B5416E">
      <w:pPr>
        <w:ind w:left="567" w:right="567"/>
        <w:jc w:val="both"/>
        <w:rPr>
          <w:rFonts w:ascii="Palatino Linotype" w:eastAsia="Palatino Linotype" w:hAnsi="Palatino Linotype" w:cs="Palatino Linotype"/>
        </w:rPr>
      </w:pPr>
      <w:hyperlink r:id="rId11">
        <w:r w:rsidR="001E3050" w:rsidRPr="00D53BC6">
          <w:rPr>
            <w:rFonts w:ascii="Palatino Linotype" w:eastAsia="Palatino Linotype" w:hAnsi="Palatino Linotype" w:cs="Palatino Linotype"/>
            <w:b/>
            <w:bCs/>
            <w:color w:val="000000"/>
          </w:rPr>
          <w:t>PADRON PROGRAMA CANASTA ALIMENTARIA ZINACANTEPEC.pdf</w:t>
        </w:r>
      </w:hyperlink>
      <w:r w:rsidR="001E3050" w:rsidRPr="00D53BC6">
        <w:rPr>
          <w:rFonts w:ascii="Palatino Linotype" w:eastAsia="Palatino Linotype" w:hAnsi="Palatino Linotype" w:cs="Palatino Linotype"/>
        </w:rPr>
        <w:t xml:space="preserve">: Documento consistente en el padrón de beneficiarios del programa “Canasta Alimentaria Zinacantepec”, ejercicio fiscal 2023. </w:t>
      </w:r>
    </w:p>
    <w:p w:rsidR="00166CFF" w:rsidRPr="00D53BC6" w:rsidRDefault="00B5416E">
      <w:pPr>
        <w:ind w:left="567" w:right="567"/>
        <w:jc w:val="both"/>
        <w:rPr>
          <w:rFonts w:ascii="Palatino Linotype" w:eastAsia="Palatino Linotype" w:hAnsi="Palatino Linotype" w:cs="Palatino Linotype"/>
        </w:rPr>
      </w:pPr>
      <w:hyperlink r:id="rId12">
        <w:r w:rsidR="001E3050" w:rsidRPr="00D53BC6">
          <w:rPr>
            <w:rFonts w:ascii="Palatino Linotype" w:eastAsia="Palatino Linotype" w:hAnsi="Palatino Linotype" w:cs="Palatino Linotype"/>
            <w:b/>
            <w:bCs/>
            <w:color w:val="000000"/>
          </w:rPr>
          <w:t>SOLICITUD 0114_25 OFICIO.pdf</w:t>
        </w:r>
      </w:hyperlink>
      <w:r w:rsidR="001E3050" w:rsidRPr="00D53BC6">
        <w:rPr>
          <w:rFonts w:ascii="Palatino Linotype" w:eastAsia="Palatino Linotype" w:hAnsi="Palatino Linotype" w:cs="Palatino Linotype"/>
        </w:rPr>
        <w:t>: Oficio suscrito por la Contralora Municipal, por medio del cual, informó que en el periodo requerido, no se localizó información relacionada con la solicitud de información.</w:t>
      </w:r>
    </w:p>
    <w:p w:rsidR="00166CFF" w:rsidRPr="00D53BC6" w:rsidRDefault="00B5416E">
      <w:pPr>
        <w:ind w:left="567" w:right="567"/>
        <w:jc w:val="both"/>
        <w:rPr>
          <w:rFonts w:ascii="Palatino Linotype" w:eastAsia="Palatino Linotype" w:hAnsi="Palatino Linotype" w:cs="Palatino Linotype"/>
        </w:rPr>
      </w:pPr>
      <w:hyperlink r:id="rId13">
        <w:r w:rsidR="001E3050" w:rsidRPr="00D53BC6">
          <w:rPr>
            <w:rFonts w:ascii="Palatino Linotype" w:eastAsia="Palatino Linotype" w:hAnsi="Palatino Linotype" w:cs="Palatino Linotype"/>
            <w:b/>
            <w:bCs/>
            <w:color w:val="000000"/>
          </w:rPr>
          <w:t>Oficio 0455 Solicitud 0114.pdf</w:t>
        </w:r>
      </w:hyperlink>
      <w:r w:rsidR="001E3050" w:rsidRPr="00D53BC6">
        <w:rPr>
          <w:rFonts w:ascii="Palatino Linotype" w:eastAsia="Palatino Linotype" w:hAnsi="Palatino Linotype" w:cs="Palatino Linotype"/>
        </w:rPr>
        <w:t xml:space="preserve">: Oficio suscrito por el Tesorero Municipal, por medio del cual, informó que todos los fondos asignados para los programas sociales y apoyos fueron los recursos propios del Ayuntamiento; asimismo, refirió que no se realizaron auditorias respecto a los programas y apoyos; finalmente, precisó que la distribución y beneficiarios de los programas sociales es el área de Desarrollo Social. </w:t>
      </w:r>
    </w:p>
    <w:p w:rsidR="00166CFF" w:rsidRPr="00D53BC6" w:rsidRDefault="00B5416E">
      <w:pPr>
        <w:ind w:left="567" w:right="567"/>
        <w:rPr>
          <w:rFonts w:ascii="Palatino Linotype" w:eastAsia="Palatino Linotype" w:hAnsi="Palatino Linotype" w:cs="Palatino Linotype"/>
          <w:b/>
          <w:bCs/>
          <w:color w:val="000000"/>
        </w:rPr>
      </w:pPr>
      <w:hyperlink r:id="rId14">
        <w:r w:rsidR="001E3050" w:rsidRPr="00D53BC6">
          <w:rPr>
            <w:rFonts w:ascii="Palatino Linotype" w:eastAsia="Palatino Linotype" w:hAnsi="Palatino Linotype" w:cs="Palatino Linotype"/>
            <w:b/>
            <w:bCs/>
            <w:color w:val="000000"/>
          </w:rPr>
          <w:t>RESPUESTA SOLICITUD 114.pdf</w:t>
        </w:r>
      </w:hyperlink>
      <w:r w:rsidR="001E3050" w:rsidRPr="00D53BC6">
        <w:rPr>
          <w:rFonts w:ascii="Palatino Linotype" w:eastAsia="Palatino Linotype" w:hAnsi="Palatino Linotype" w:cs="Palatino Linotype"/>
        </w:rPr>
        <w:t>: Oficio suscrito por la Titular de la Unidad de Transparencia por medio del cual, refirió remitir la respuesta del área competente.</w:t>
      </w:r>
    </w:p>
    <w:p w:rsidR="00166CFF" w:rsidRPr="00D53BC6" w:rsidRDefault="00166CFF">
      <w:pPr>
        <w:spacing w:line="360" w:lineRule="auto"/>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El seis de mayo de dos mil veinticinco,</w:t>
      </w:r>
      <w:r w:rsidRPr="00D53BC6">
        <w:rPr>
          <w:rFonts w:ascii="Palatino Linotype" w:eastAsia="Palatino Linotype" w:hAnsi="Palatino Linotype" w:cs="Palatino Linotype"/>
          <w:b/>
          <w:bCs/>
        </w:rPr>
        <w:t xml:space="preserve"> </w:t>
      </w:r>
      <w:r w:rsidRPr="00D53BC6">
        <w:rPr>
          <w:rFonts w:ascii="Palatino Linotype" w:eastAsia="Palatino Linotype" w:hAnsi="Palatino Linotype" w:cs="Palatino Linotype"/>
        </w:rPr>
        <w:t xml:space="preserve">el </w:t>
      </w:r>
      <w:r w:rsidRPr="00D53BC6">
        <w:rPr>
          <w:rFonts w:ascii="Palatino Linotype" w:eastAsia="Palatino Linotype" w:hAnsi="Palatino Linotype" w:cs="Palatino Linotype"/>
          <w:b/>
          <w:bCs/>
        </w:rPr>
        <w:t>RECURRENTE</w:t>
      </w:r>
      <w:r w:rsidRPr="00D53BC6">
        <w:rPr>
          <w:rFonts w:ascii="Palatino Linotype" w:eastAsia="Palatino Linotype" w:hAnsi="Palatino Linotype" w:cs="Palatino Linotype"/>
        </w:rPr>
        <w:t xml:space="preserve"> interpuso el recurso de revisión en contra de la respuesta, señalando como:</w:t>
      </w:r>
    </w:p>
    <w:p w:rsidR="00166CFF" w:rsidRPr="00D53BC6" w:rsidRDefault="00166CFF">
      <w:pPr>
        <w:ind w:right="1"/>
        <w:jc w:val="both"/>
        <w:rPr>
          <w:rFonts w:ascii="Palatino Linotype" w:eastAsia="Palatino Linotype" w:hAnsi="Palatino Linotype" w:cs="Palatino Linotype"/>
        </w:rPr>
      </w:pPr>
    </w:p>
    <w:p w:rsidR="00166CFF" w:rsidRPr="00D53BC6" w:rsidRDefault="00D53BC6" w:rsidP="00D53BC6">
      <w:pPr>
        <w:pStyle w:val="Prrafodelista"/>
        <w:numPr>
          <w:ilvl w:val="0"/>
          <w:numId w:val="10"/>
        </w:numPr>
        <w:ind w:right="567"/>
        <w:jc w:val="both"/>
        <w:rPr>
          <w:rFonts w:ascii="Palatino Linotype" w:eastAsia="Palatino Linotype" w:hAnsi="Palatino Linotype" w:cs="Palatino Linotype"/>
          <w:i/>
          <w:iCs/>
          <w:sz w:val="24"/>
        </w:rPr>
      </w:pPr>
      <w:r w:rsidRPr="00D53BC6">
        <w:rPr>
          <w:rFonts w:ascii="Palatino Linotype" w:eastAsia="Palatino Linotype" w:hAnsi="Palatino Linotype" w:cs="Palatino Linotype"/>
          <w:b/>
          <w:bCs/>
          <w:sz w:val="24"/>
        </w:rPr>
        <w:t>ACTO IMPUGNADO:</w:t>
      </w:r>
      <w:r w:rsidRPr="00D53BC6">
        <w:rPr>
          <w:rFonts w:ascii="Palatino Linotype" w:eastAsia="Palatino Linotype" w:hAnsi="Palatino Linotype" w:cs="Palatino Linotype"/>
          <w:color w:val="000000"/>
          <w:sz w:val="24"/>
        </w:rPr>
        <w:t xml:space="preserve"> </w:t>
      </w:r>
      <w:r w:rsidR="001E3050" w:rsidRPr="00D53BC6">
        <w:rPr>
          <w:rFonts w:ascii="Palatino Linotype" w:eastAsia="Palatino Linotype" w:hAnsi="Palatino Linotype" w:cs="Palatino Linotype"/>
          <w:i/>
          <w:iCs/>
          <w:color w:val="000000"/>
          <w:sz w:val="24"/>
        </w:rPr>
        <w:t>“NO ENTREGA INFORMACION” (Sic)</w:t>
      </w:r>
    </w:p>
    <w:p w:rsidR="00166CFF" w:rsidRPr="00D53BC6" w:rsidRDefault="00166CFF" w:rsidP="00D53BC6">
      <w:pPr>
        <w:ind w:right="567"/>
        <w:jc w:val="both"/>
        <w:rPr>
          <w:rFonts w:ascii="Palatino Linotype" w:eastAsia="Palatino Linotype" w:hAnsi="Palatino Linotype" w:cs="Palatino Linotype"/>
          <w:sz w:val="28"/>
        </w:rPr>
      </w:pPr>
    </w:p>
    <w:p w:rsidR="00166CFF" w:rsidRPr="00D53BC6" w:rsidRDefault="00D53BC6" w:rsidP="00D53BC6">
      <w:pPr>
        <w:pStyle w:val="Prrafodelista"/>
        <w:numPr>
          <w:ilvl w:val="0"/>
          <w:numId w:val="10"/>
        </w:numPr>
        <w:ind w:right="567"/>
        <w:jc w:val="both"/>
        <w:rPr>
          <w:rFonts w:ascii="Palatino Linotype" w:eastAsia="Palatino Linotype" w:hAnsi="Palatino Linotype" w:cs="Palatino Linotype"/>
          <w:i/>
          <w:iCs/>
          <w:color w:val="000000"/>
          <w:sz w:val="24"/>
        </w:rPr>
      </w:pPr>
      <w:r w:rsidRPr="00D53BC6">
        <w:rPr>
          <w:rFonts w:ascii="Palatino Linotype" w:eastAsia="Palatino Linotype" w:hAnsi="Palatino Linotype" w:cs="Palatino Linotype"/>
          <w:b/>
          <w:bCs/>
          <w:sz w:val="24"/>
        </w:rPr>
        <w:t xml:space="preserve">RAZONES O MOTIVOS DE INCONFORMIDAD: </w:t>
      </w:r>
      <w:r w:rsidR="001E3050" w:rsidRPr="00D53BC6">
        <w:rPr>
          <w:rFonts w:ascii="Palatino Linotype" w:eastAsia="Palatino Linotype" w:hAnsi="Palatino Linotype" w:cs="Palatino Linotype"/>
          <w:i/>
          <w:iCs/>
          <w:color w:val="000000"/>
          <w:sz w:val="24"/>
        </w:rPr>
        <w:t>“NO ENTREGA INFORMACION” (Sic)</w:t>
      </w:r>
    </w:p>
    <w:p w:rsidR="00166CFF" w:rsidRPr="00D53BC6" w:rsidRDefault="00166CFF">
      <w:pPr>
        <w:ind w:right="568"/>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w:t>
      </w:r>
      <w:r w:rsidRPr="00D53BC6">
        <w:rPr>
          <w:rFonts w:ascii="Palatino Linotype" w:eastAsia="Palatino Linotype" w:hAnsi="Palatino Linotype" w:cs="Palatino Linotype"/>
          <w:b/>
          <w:bCs/>
        </w:rPr>
        <w:t xml:space="preserve">Ley de Transparencia y Acceso a la Información Pública del Estado de México y Municipios </w:t>
      </w:r>
      <w:r w:rsidRPr="00D53BC6">
        <w:rPr>
          <w:rFonts w:ascii="Palatino Linotype" w:eastAsia="Palatino Linotype" w:hAnsi="Palatino Linotype" w:cs="Palatino Linotype"/>
        </w:rPr>
        <w:t xml:space="preserve">se turna a la </w:t>
      </w:r>
      <w:r w:rsidRPr="00D53BC6">
        <w:rPr>
          <w:rFonts w:ascii="Palatino Linotype" w:eastAsia="Palatino Linotype" w:hAnsi="Palatino Linotype" w:cs="Palatino Linotype"/>
          <w:b/>
          <w:bCs/>
        </w:rPr>
        <w:t xml:space="preserve">Comisionada María del Rosario Mejía Ayala, </w:t>
      </w:r>
      <w:r w:rsidRPr="00D53BC6">
        <w:rPr>
          <w:rFonts w:ascii="Palatino Linotype" w:eastAsia="Palatino Linotype" w:hAnsi="Palatino Linotype" w:cs="Palatino Linotype"/>
        </w:rPr>
        <w:t xml:space="preserve">para su análisis. </w:t>
      </w:r>
    </w:p>
    <w:p w:rsidR="00166CFF" w:rsidRPr="00D53BC6" w:rsidRDefault="00166CFF">
      <w:pPr>
        <w:ind w:right="-592"/>
        <w:jc w:val="both"/>
        <w:rPr>
          <w:rFonts w:ascii="Palatino Linotype" w:eastAsia="Palatino Linotype" w:hAnsi="Palatino Linotype" w:cs="Palatino Linotype"/>
        </w:rPr>
      </w:pPr>
    </w:p>
    <w:p w:rsidR="00166CFF" w:rsidRPr="00D53BC6" w:rsidRDefault="00D53BC6">
      <w:pPr>
        <w:numPr>
          <w:ilvl w:val="0"/>
          <w:numId w:val="1"/>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1E3050" w:rsidRPr="00D53BC6">
        <w:rPr>
          <w:rFonts w:ascii="Palatino Linotype" w:eastAsia="Palatino Linotype" w:hAnsi="Palatino Linotype" w:cs="Palatino Linotype"/>
        </w:rPr>
        <w:t xml:space="preserve">onente con fundamento en lo dispuesto por el artículo 185 fracción II de la ley de la materia, a través del acuerdo de admisión del doce de mayo de dos mil veinticinco, puso a disposición de las partes el expediente electrónico vía </w:t>
      </w:r>
      <w:r w:rsidR="001E3050" w:rsidRPr="00D53BC6">
        <w:rPr>
          <w:rFonts w:ascii="Palatino Linotype" w:eastAsia="Palatino Linotype" w:hAnsi="Palatino Linotype" w:cs="Palatino Linotype"/>
          <w:b/>
          <w:bCs/>
        </w:rPr>
        <w:t xml:space="preserve">SAIMEX </w:t>
      </w:r>
      <w:r w:rsidR="001E3050" w:rsidRPr="00D53BC6">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1E3050" w:rsidRPr="00D53BC6">
        <w:rPr>
          <w:rFonts w:ascii="Palatino Linotype" w:eastAsia="Palatino Linotype" w:hAnsi="Palatino Linotype" w:cs="Palatino Linotype"/>
          <w:b/>
          <w:bCs/>
        </w:rPr>
        <w:t>SUJETO OBLIGADO</w:t>
      </w:r>
      <w:r w:rsidR="001E3050" w:rsidRPr="00D53BC6">
        <w:rPr>
          <w:rFonts w:ascii="Palatino Linotype" w:eastAsia="Palatino Linotype" w:hAnsi="Palatino Linotype" w:cs="Palatino Linotype"/>
        </w:rPr>
        <w:t xml:space="preserve"> presentará el informe justificado procedente. </w:t>
      </w:r>
    </w:p>
    <w:p w:rsidR="00166CFF" w:rsidRPr="00D53BC6" w:rsidRDefault="00166CFF">
      <w:pPr>
        <w:spacing w:line="360" w:lineRule="auto"/>
        <w:ind w:right="1"/>
        <w:jc w:val="both"/>
        <w:rPr>
          <w:rFonts w:ascii="Palatino Linotype" w:eastAsia="Palatino Linotype" w:hAnsi="Palatino Linotype" w:cs="Palatino Linotype"/>
          <w:color w:val="000000"/>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El veintiuno de mayo de dos mil veinticinco,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rindió el informe justificado correspondiente, por medio del archivo electrónico denominado </w:t>
      </w:r>
      <w:r w:rsidRPr="00D53BC6">
        <w:rPr>
          <w:rFonts w:ascii="Palatino Linotype" w:eastAsia="Palatino Linotype" w:hAnsi="Palatino Linotype" w:cs="Palatino Linotype"/>
          <w:b/>
          <w:bCs/>
        </w:rPr>
        <w:t>20250221173853425_001.pdf</w:t>
      </w:r>
      <w:r w:rsidRPr="00D53BC6">
        <w:rPr>
          <w:rFonts w:ascii="Palatino Linotype" w:eastAsia="Palatino Linotype" w:hAnsi="Palatino Linotype" w:cs="Palatino Linotype"/>
        </w:rPr>
        <w:t xml:space="preserve">, mediante el cual, </w:t>
      </w:r>
      <w:r w:rsidRPr="00D53BC6">
        <w:rPr>
          <w:rFonts w:ascii="Palatino Linotype" w:eastAsia="Palatino Linotype" w:hAnsi="Palatino Linotype" w:cs="Palatino Linotype"/>
          <w:b/>
          <w:bCs/>
        </w:rPr>
        <w:t>ratificó la respuesta.</w:t>
      </w:r>
    </w:p>
    <w:p w:rsidR="00166CFF" w:rsidRPr="00D53BC6" w:rsidRDefault="00166CFF">
      <w:pPr>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Por su parte, el </w:t>
      </w:r>
      <w:r w:rsidRPr="00D53BC6">
        <w:rPr>
          <w:rFonts w:ascii="Palatino Linotype" w:eastAsia="Palatino Linotype" w:hAnsi="Palatino Linotype" w:cs="Palatino Linotype"/>
          <w:b/>
          <w:bCs/>
        </w:rPr>
        <w:t>RECURRENTE</w:t>
      </w:r>
      <w:r w:rsidRPr="00D53BC6">
        <w:rPr>
          <w:rFonts w:ascii="Palatino Linotype" w:eastAsia="Palatino Linotype" w:hAnsi="Palatino Linotype" w:cs="Palatino Linotype"/>
        </w:rPr>
        <w:t xml:space="preserve"> dejó de realizar manifestaciones que a su derecho conviniera y asistiera.</w:t>
      </w:r>
    </w:p>
    <w:p w:rsidR="00166CFF" w:rsidRPr="00D53BC6" w:rsidRDefault="00166CFF">
      <w:pPr>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El catorce de julio de dos mil veinticinco, se notificó el acuerdo mediante el cual se amplió el plazo para emitir resolución por un término de 15 días adicionales.</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D53BC6">
      <w:pPr>
        <w:numPr>
          <w:ilvl w:val="0"/>
          <w:numId w:val="1"/>
        </w:numPr>
        <w:spacing w:line="360" w:lineRule="auto"/>
        <w:ind w:left="0" w:right="1" w:firstLine="0"/>
        <w:jc w:val="both"/>
        <w:rPr>
          <w:rFonts w:ascii="Palatino Linotype" w:eastAsia="Palatino Linotype" w:hAnsi="Palatino Linotype" w:cs="Palatino Linotype"/>
          <w:b/>
          <w:bCs/>
        </w:rPr>
      </w:pPr>
      <w:r>
        <w:rPr>
          <w:rFonts w:ascii="Palatino Linotype" w:eastAsia="Palatino Linotype" w:hAnsi="Palatino Linotype" w:cs="Palatino Linotype"/>
        </w:rPr>
        <w:t>La Comisionada p</w:t>
      </w:r>
      <w:r w:rsidR="001E3050" w:rsidRPr="00D53BC6">
        <w:rPr>
          <w:rFonts w:ascii="Palatino Linotype" w:eastAsia="Palatino Linotype" w:hAnsi="Palatino Linotype" w:cs="Palatino Linotype"/>
        </w:rPr>
        <w:t>onente decretó el cierre de instrucción mediante el acuerdo del veintiuno de enero de dos mil veintiséis.--------------------------------------------------------------------</w:t>
      </w:r>
    </w:p>
    <w:p w:rsidR="00166CFF" w:rsidRPr="00D53BC6" w:rsidRDefault="00166CFF">
      <w:pPr>
        <w:rPr>
          <w:rFonts w:ascii="Palatino Linotype" w:eastAsia="Palatino Linotype" w:hAnsi="Palatino Linotype" w:cs="Palatino Linotype"/>
          <w:b/>
          <w:bCs/>
        </w:rPr>
      </w:pPr>
    </w:p>
    <w:p w:rsidR="00166CFF" w:rsidRPr="00D53BC6" w:rsidRDefault="001E3050">
      <w:pPr>
        <w:keepNext/>
        <w:keepLines/>
        <w:spacing w:line="360" w:lineRule="auto"/>
        <w:ind w:right="-592"/>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lastRenderedPageBreak/>
        <w:t xml:space="preserve">C O N S I D E R A N D O </w:t>
      </w:r>
    </w:p>
    <w:p w:rsidR="00166CFF" w:rsidRPr="00D53BC6" w:rsidRDefault="00166CFF">
      <w:pPr>
        <w:keepNext/>
        <w:keepLines/>
        <w:ind w:right="-592"/>
        <w:rPr>
          <w:rFonts w:ascii="Palatino Linotype" w:eastAsia="Palatino Linotype" w:hAnsi="Palatino Linotype" w:cs="Palatino Linotype"/>
        </w:rPr>
      </w:pPr>
    </w:p>
    <w:p w:rsidR="00166CFF" w:rsidRPr="00D53BC6" w:rsidRDefault="001E3050">
      <w:pPr>
        <w:keepNext/>
        <w:keepLines/>
        <w:spacing w:line="360" w:lineRule="auto"/>
        <w:ind w:right="-592"/>
        <w:rPr>
          <w:rFonts w:ascii="Palatino Linotype" w:eastAsia="Palatino Linotype" w:hAnsi="Palatino Linotype" w:cs="Palatino Linotype"/>
          <w:b/>
          <w:bCs/>
        </w:rPr>
      </w:pPr>
      <w:r w:rsidRPr="00D53BC6">
        <w:rPr>
          <w:rFonts w:ascii="Palatino Linotype" w:eastAsia="Palatino Linotype" w:hAnsi="Palatino Linotype" w:cs="Palatino Linotype"/>
          <w:b/>
          <w:bCs/>
        </w:rPr>
        <w:t>PRIMERO. De la competencia.</w:t>
      </w: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D53BC6">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1E3050">
      <w:pPr>
        <w:keepNext/>
        <w:keepLines/>
        <w:spacing w:line="360" w:lineRule="auto"/>
        <w:ind w:right="1"/>
        <w:rPr>
          <w:rFonts w:ascii="Palatino Linotype" w:eastAsia="Palatino Linotype" w:hAnsi="Palatino Linotype" w:cs="Palatino Linotype"/>
          <w:b/>
          <w:bCs/>
        </w:rPr>
      </w:pPr>
      <w:r w:rsidRPr="00D53BC6">
        <w:rPr>
          <w:rFonts w:ascii="Palatino Linotype" w:eastAsia="Palatino Linotype" w:hAnsi="Palatino Linotype" w:cs="Palatino Linotype"/>
          <w:b/>
          <w:bCs/>
        </w:rPr>
        <w:t>SEGUNDO. De la oportunidad y procedencia.</w:t>
      </w: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dy6vkm" w:colFirst="0" w:colLast="0"/>
      <w:bookmarkEnd w:id="2"/>
      <w:r w:rsidRPr="00D53BC6">
        <w:rPr>
          <w:rFonts w:ascii="Palatino Linotype" w:eastAsia="Palatino Linotype" w:hAnsi="Palatino Linotype" w:cs="Palatino Linotype"/>
        </w:rPr>
        <w:t xml:space="preserve">El medio de impugnación fue presentado a través del </w:t>
      </w:r>
      <w:r w:rsidRPr="00D53BC6">
        <w:rPr>
          <w:rFonts w:ascii="Palatino Linotype" w:eastAsia="Palatino Linotype" w:hAnsi="Palatino Linotype" w:cs="Palatino Linotype"/>
          <w:b/>
          <w:bCs/>
        </w:rPr>
        <w:t>SAIMEX,</w:t>
      </w:r>
      <w:r w:rsidRPr="00D53BC6">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entregó respuesta el veintiuno de abril de dos mil veinticinco, de tal forma que el plazo para interponer el recurso de revisión transcurrió del veintidós de abril al quince de mayo de dos mil veinticinco; en consecuencia, presentó su inconformidad el seis de mayo de dos mil veinticinco, por lo que se encuentra dentro de los márgenes temporales previstos en el artículo 178 de la </w:t>
      </w:r>
      <w:r w:rsidRPr="00D53BC6">
        <w:rPr>
          <w:rFonts w:ascii="Palatino Linotype" w:eastAsia="Palatino Linotype" w:hAnsi="Palatino Linotype" w:cs="Palatino Linotype"/>
          <w:b/>
          <w:bCs/>
        </w:rPr>
        <w:t xml:space="preserve">Ley de Transparencia y Acceso a la Información Pública del Estado de México y Municipios </w:t>
      </w:r>
      <w:r w:rsidRPr="00D53BC6">
        <w:rPr>
          <w:rFonts w:ascii="Palatino Linotype" w:eastAsia="Palatino Linotype" w:hAnsi="Palatino Linotype" w:cs="Palatino Linotype"/>
        </w:rPr>
        <w:t>vigente.</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D53BC6">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166CFF" w:rsidRPr="00D53BC6" w:rsidRDefault="00166CFF">
      <w:pPr>
        <w:ind w:right="-592"/>
        <w:jc w:val="both"/>
        <w:rPr>
          <w:rFonts w:ascii="Palatino Linotype" w:eastAsia="Palatino Linotype" w:hAnsi="Palatino Linotype" w:cs="Palatino Linotype"/>
          <w:b/>
          <w:bCs/>
        </w:rPr>
      </w:pPr>
    </w:p>
    <w:p w:rsidR="00166CFF" w:rsidRPr="00D53BC6" w:rsidRDefault="001E3050">
      <w:pPr>
        <w:spacing w:line="360" w:lineRule="auto"/>
        <w:ind w:right="-592"/>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TERCERO. Planteamiento de la Litis.</w:t>
      </w: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El </w:t>
      </w:r>
      <w:r w:rsidRPr="00D53BC6">
        <w:rPr>
          <w:rFonts w:ascii="Palatino Linotype" w:eastAsia="Palatino Linotype" w:hAnsi="Palatino Linotype" w:cs="Palatino Linotype"/>
          <w:b/>
          <w:bCs/>
        </w:rPr>
        <w:t>RECURRENTE</w:t>
      </w:r>
      <w:r w:rsidRPr="00D53BC6">
        <w:rPr>
          <w:rFonts w:ascii="Palatino Linotype" w:eastAsia="Palatino Linotype" w:hAnsi="Palatino Linotype" w:cs="Palatino Linotype"/>
        </w:rPr>
        <w:t xml:space="preserve"> solicitó una </w:t>
      </w:r>
      <w:r w:rsidRPr="00D53BC6">
        <w:rPr>
          <w:rFonts w:ascii="Palatino Linotype" w:eastAsia="Palatino Linotype" w:hAnsi="Palatino Linotype" w:cs="Palatino Linotype"/>
          <w:color w:val="000000"/>
        </w:rPr>
        <w:t>lista de los fondos asignados a programas sociales y apoyos en el último trienio (2022-2024), su distribución, beneficiarios y las auditorías realizadas, incluyendo cualquier intervención del Presidente Municipal en la asignación o supervisión de dichos fondos.</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emitió respuesta en términos del </w:t>
      </w:r>
      <w:r w:rsidRPr="00D53BC6">
        <w:rPr>
          <w:rFonts w:ascii="Palatino Linotype" w:eastAsia="Palatino Linotype" w:hAnsi="Palatino Linotype" w:cs="Palatino Linotype"/>
          <w:b/>
          <w:bCs/>
        </w:rPr>
        <w:t>párrafo 3</w:t>
      </w:r>
      <w:r w:rsidRPr="00D53BC6">
        <w:rPr>
          <w:rFonts w:ascii="Palatino Linotype" w:eastAsia="Palatino Linotype" w:hAnsi="Palatino Linotype" w:cs="Palatino Linotype"/>
        </w:rPr>
        <w:t xml:space="preserve"> de la presente resolución.</w:t>
      </w:r>
    </w:p>
    <w:p w:rsidR="00166CFF" w:rsidRPr="00D53BC6" w:rsidRDefault="00166CFF">
      <w:pPr>
        <w:ind w:right="1"/>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Posteriormente, el </w:t>
      </w:r>
      <w:r w:rsidRPr="00D53BC6">
        <w:rPr>
          <w:rFonts w:ascii="Palatino Linotype" w:eastAsia="Palatino Linotype" w:hAnsi="Palatino Linotype" w:cs="Palatino Linotype"/>
          <w:b/>
          <w:bCs/>
        </w:rPr>
        <w:t>RECURRENTE</w:t>
      </w:r>
      <w:r w:rsidRPr="00D53BC6">
        <w:rPr>
          <w:rFonts w:ascii="Palatino Linotype" w:eastAsia="Palatino Linotype" w:hAnsi="Palatino Linotype" w:cs="Palatino Linotype"/>
        </w:rPr>
        <w:t xml:space="preserve"> se inconformó por </w:t>
      </w:r>
      <w:r w:rsidRPr="00D53BC6">
        <w:rPr>
          <w:rFonts w:ascii="Palatino Linotype" w:eastAsia="Palatino Linotype" w:hAnsi="Palatino Linotype" w:cs="Palatino Linotype"/>
          <w:b/>
          <w:bCs/>
        </w:rPr>
        <w:t>la negativa de la información.</w:t>
      </w:r>
    </w:p>
    <w:p w:rsidR="00166CFF" w:rsidRPr="00D53BC6" w:rsidRDefault="00166CFF">
      <w:pPr>
        <w:ind w:right="1"/>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gjdgxs" w:colFirst="0" w:colLast="0"/>
      <w:bookmarkEnd w:id="3"/>
      <w:r w:rsidRPr="00D53BC6">
        <w:rPr>
          <w:rFonts w:ascii="Palatino Linotype" w:eastAsia="Palatino Linotype" w:hAnsi="Palatino Linotype" w:cs="Palatino Linotype"/>
        </w:rPr>
        <w:t xml:space="preserve">En dichas condiciones, la </w:t>
      </w:r>
      <w:r w:rsidRPr="00D53BC6">
        <w:rPr>
          <w:rFonts w:ascii="Palatino Linotype" w:eastAsia="Palatino Linotype" w:hAnsi="Palatino Linotype" w:cs="Palatino Linotype"/>
          <w:i/>
          <w:iCs/>
        </w:rPr>
        <w:t>Litis</w:t>
      </w:r>
      <w:r w:rsidRPr="00D53BC6">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D53BC6">
        <w:rPr>
          <w:rFonts w:ascii="Palatino Linotype" w:eastAsia="Palatino Linotype" w:hAnsi="Palatino Linotype" w:cs="Palatino Linotype"/>
          <w:b/>
          <w:bCs/>
        </w:rPr>
        <w:t xml:space="preserve"> I </w:t>
      </w:r>
      <w:r w:rsidRPr="00D53BC6">
        <w:rPr>
          <w:rFonts w:ascii="Palatino Linotype" w:eastAsia="Palatino Linotype" w:hAnsi="Palatino Linotype" w:cs="Palatino Linotype"/>
        </w:rPr>
        <w:t xml:space="preserve">de la </w:t>
      </w:r>
      <w:r w:rsidRPr="00D53BC6">
        <w:rPr>
          <w:rFonts w:ascii="Palatino Linotype" w:eastAsia="Palatino Linotype" w:hAnsi="Palatino Linotype" w:cs="Palatino Linotype"/>
          <w:b/>
          <w:bCs/>
        </w:rPr>
        <w:t>Ley de Transparencia y Acceso a la Información Pública del Estado de México y Municipios</w:t>
      </w:r>
      <w:r w:rsidRPr="00D53BC6">
        <w:rPr>
          <w:rFonts w:ascii="Palatino Linotype" w:eastAsia="Palatino Linotype" w:hAnsi="Palatino Linotype" w:cs="Palatino Linotype"/>
        </w:rPr>
        <w:t>.</w:t>
      </w:r>
    </w:p>
    <w:p w:rsidR="00166CFF" w:rsidRPr="00D53BC6" w:rsidRDefault="00166CFF">
      <w:pPr>
        <w:ind w:right="1"/>
        <w:jc w:val="both"/>
        <w:rPr>
          <w:rFonts w:ascii="Palatino Linotype" w:eastAsia="Palatino Linotype" w:hAnsi="Palatino Linotype" w:cs="Palatino Linotype"/>
          <w:b/>
          <w:bCs/>
        </w:rPr>
      </w:pPr>
    </w:p>
    <w:p w:rsidR="00166CFF" w:rsidRPr="00D53BC6" w:rsidRDefault="001E3050">
      <w:pPr>
        <w:pStyle w:val="Ttulo2"/>
        <w:spacing w:before="0" w:line="360" w:lineRule="auto"/>
        <w:ind w:right="1"/>
        <w:rPr>
          <w:rFonts w:ascii="Palatino Linotype" w:eastAsia="Palatino Linotype" w:hAnsi="Palatino Linotype" w:cs="Palatino Linotype"/>
          <w:b/>
          <w:bCs/>
          <w:color w:val="000000"/>
          <w:sz w:val="24"/>
          <w:szCs w:val="24"/>
        </w:rPr>
      </w:pPr>
      <w:r w:rsidRPr="00D53BC6">
        <w:rPr>
          <w:rFonts w:ascii="Palatino Linotype" w:eastAsia="Palatino Linotype" w:hAnsi="Palatino Linotype" w:cs="Palatino Linotype"/>
          <w:b/>
          <w:bCs/>
          <w:color w:val="000000"/>
          <w:sz w:val="24"/>
          <w:szCs w:val="24"/>
        </w:rPr>
        <w:t>CUARTA. Estudio y resolución del asunto.</w:t>
      </w: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 xml:space="preserve"> </w:t>
      </w:r>
      <w:r w:rsidRPr="00D53BC6">
        <w:rPr>
          <w:rFonts w:ascii="Palatino Linotype" w:eastAsia="Palatino Linotype" w:hAnsi="Palatino Linotype" w:cs="Palatino Linotype"/>
        </w:rPr>
        <w:t xml:space="preserve">El </w:t>
      </w:r>
      <w:r w:rsidRPr="00D53BC6">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D53BC6">
        <w:rPr>
          <w:rFonts w:ascii="Palatino Linotype" w:eastAsia="Palatino Linotype" w:hAnsi="Palatino Linotype" w:cs="Palatino Linotype"/>
        </w:rPr>
        <w:t>Particular</w:t>
      </w:r>
      <w:r w:rsidRPr="00D53BC6">
        <w:rPr>
          <w:rFonts w:ascii="Palatino Linotype" w:eastAsia="Palatino Linotype" w:hAnsi="Palatino Linotype" w:cs="Palatino Linotype"/>
          <w:color w:val="000000"/>
        </w:rPr>
        <w:t xml:space="preserve"> del Estado de México.</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lastRenderedPageBreak/>
        <w:t xml:space="preserve">Definiendo </w:t>
      </w:r>
      <w:r w:rsidRPr="00D53BC6">
        <w:rPr>
          <w:rFonts w:ascii="Palatino Linotype" w:eastAsia="Palatino Linotype" w:hAnsi="Palatino Linotype" w:cs="Palatino Linotype"/>
        </w:rPr>
        <w:t xml:space="preserve">el Derecho de Acceso a la Información Pública como: </w:t>
      </w:r>
      <w:r w:rsidRPr="00D53BC6">
        <w:rPr>
          <w:rFonts w:ascii="Palatino Linotype" w:eastAsia="Palatino Linotype" w:hAnsi="Palatino Linotype" w:cs="Palatino Linotype"/>
          <w:i/>
          <w:iCs/>
          <w:color w:val="000000"/>
        </w:rPr>
        <w:t xml:space="preserve">La igualdad de </w:t>
      </w:r>
      <w:r w:rsidRPr="00D53BC6">
        <w:rPr>
          <w:rFonts w:ascii="Palatino Linotype" w:eastAsia="Palatino Linotype" w:hAnsi="Palatino Linotype" w:cs="Palatino Linotype"/>
        </w:rPr>
        <w:t>oportunidades</w:t>
      </w:r>
      <w:r w:rsidRPr="00D53BC6">
        <w:rPr>
          <w:rFonts w:ascii="Palatino Linotype" w:eastAsia="Palatino Linotype" w:hAnsi="Palatino Linotype" w:cs="Palatino Linotype"/>
          <w:i/>
          <w:iCs/>
          <w:color w:val="000000"/>
        </w:rPr>
        <w:t xml:space="preserve"> para recibir, buscar e impartir información</w:t>
      </w:r>
      <w:r w:rsidRPr="00D53BC6">
        <w:rPr>
          <w:rFonts w:ascii="Palatino Linotype" w:eastAsia="Palatino Linotype" w:hAnsi="Palatino Linotype" w:cs="Palatino Linotype"/>
          <w:i/>
          <w:iCs/>
          <w:color w:val="000000"/>
          <w:vertAlign w:val="superscript"/>
        </w:rPr>
        <w:footnoteReference w:id="1"/>
      </w:r>
      <w:r w:rsidRPr="00D53BC6">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53BC6">
        <w:rPr>
          <w:rFonts w:ascii="Palatino Linotype" w:eastAsia="Palatino Linotype" w:hAnsi="Palatino Linotype" w:cs="Palatino Linotype"/>
          <w:i/>
          <w:iCs/>
          <w:color w:val="000000"/>
          <w:vertAlign w:val="superscript"/>
        </w:rPr>
        <w:footnoteReference w:id="2"/>
      </w:r>
      <w:r w:rsidRPr="00D53BC6">
        <w:rPr>
          <w:rFonts w:ascii="Palatino Linotype" w:eastAsia="Palatino Linotype" w:hAnsi="Palatino Linotype" w:cs="Palatino Linotype"/>
          <w:color w:val="000000"/>
        </w:rPr>
        <w:t>que se constituye como una herramienta fundamental para ejercer</w:t>
      </w:r>
      <w:r w:rsidRPr="00D53BC6">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D53BC6">
        <w:rPr>
          <w:rFonts w:ascii="Palatino Linotype" w:eastAsia="Palatino Linotype" w:hAnsi="Palatino Linotype" w:cs="Palatino Linotype"/>
          <w:i/>
          <w:iCs/>
          <w:color w:val="000000"/>
          <w:vertAlign w:val="superscript"/>
        </w:rPr>
        <w:footnoteReference w:id="3"/>
      </w:r>
      <w:r w:rsidRPr="00D53BC6">
        <w:rPr>
          <w:rFonts w:ascii="Palatino Linotype" w:eastAsia="Palatino Linotype" w:hAnsi="Palatino Linotype" w:cs="Palatino Linotype"/>
          <w:color w:val="000000"/>
        </w:rPr>
        <w:t>fomentando</w:t>
      </w:r>
      <w:r w:rsidRPr="00D53BC6">
        <w:rPr>
          <w:rFonts w:ascii="Palatino Linotype" w:eastAsia="Palatino Linotype" w:hAnsi="Palatino Linotype" w:cs="Palatino Linotype"/>
          <w:i/>
          <w:iCs/>
          <w:color w:val="000000"/>
        </w:rPr>
        <w:t xml:space="preserve"> la transparencia de las actividades estatales y </w:t>
      </w:r>
      <w:r w:rsidRPr="00D53BC6">
        <w:rPr>
          <w:rFonts w:ascii="Palatino Linotype" w:eastAsia="Palatino Linotype" w:hAnsi="Palatino Linotype" w:cs="Palatino Linotype"/>
          <w:color w:val="000000"/>
        </w:rPr>
        <w:t>promoviendo</w:t>
      </w:r>
      <w:r w:rsidRPr="00D53BC6">
        <w:rPr>
          <w:rFonts w:ascii="Palatino Linotype" w:eastAsia="Palatino Linotype" w:hAnsi="Palatino Linotype" w:cs="Palatino Linotype"/>
          <w:i/>
          <w:iCs/>
          <w:color w:val="000000"/>
        </w:rPr>
        <w:t xml:space="preserve"> la responsabilidad de los funcionarios sobre su gestión pública,</w:t>
      </w:r>
      <w:r w:rsidRPr="00D53BC6">
        <w:rPr>
          <w:rFonts w:ascii="Palatino Linotype" w:eastAsia="Palatino Linotype" w:hAnsi="Palatino Linotype" w:cs="Palatino Linotype"/>
          <w:i/>
          <w:iCs/>
          <w:color w:val="000000"/>
          <w:vertAlign w:val="superscript"/>
        </w:rPr>
        <w:footnoteReference w:id="4"/>
      </w:r>
      <w:r w:rsidRPr="00D53BC6">
        <w:rPr>
          <w:rFonts w:ascii="Palatino Linotype" w:eastAsia="Palatino Linotype" w:hAnsi="Palatino Linotype" w:cs="Palatino Linotype"/>
          <w:color w:val="000000"/>
        </w:rPr>
        <w:t>que permite</w:t>
      </w:r>
      <w:r w:rsidRPr="00D53BC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166CFF" w:rsidRPr="00D53BC6" w:rsidRDefault="00166CFF">
      <w:pPr>
        <w:ind w:right="1"/>
        <w:rPr>
          <w:rFonts w:ascii="Palatino Linotype" w:eastAsia="Palatino Linotype" w:hAnsi="Palatino Linotype" w:cs="Palatino Linotype"/>
          <w:color w:val="000000"/>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En </w:t>
      </w:r>
      <w:r w:rsidRPr="00D53BC6">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t>“</w:t>
      </w:r>
      <w:r w:rsidRPr="00D53BC6">
        <w:rPr>
          <w:rFonts w:ascii="Palatino Linotype" w:eastAsia="Palatino Linotype" w:hAnsi="Palatino Linotype" w:cs="Palatino Linotype"/>
          <w:b/>
          <w:bCs/>
          <w:i/>
          <w:iCs/>
        </w:rPr>
        <w:t>Artículo 1.-</w:t>
      </w:r>
      <w:r w:rsidRPr="00D53BC6">
        <w:rPr>
          <w:rFonts w:ascii="Palatino Linotype" w:eastAsia="Palatino Linotype" w:hAnsi="Palatino Linotype" w:cs="Palatino Linotype"/>
          <w:i/>
          <w:iCs/>
        </w:rPr>
        <w:t xml:space="preserve"> </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t>(…)</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t>Todas las</w:t>
      </w:r>
      <w:r w:rsidRPr="00D53BC6">
        <w:rPr>
          <w:rFonts w:ascii="Palatino Linotype" w:eastAsia="Palatino Linotype" w:hAnsi="Palatino Linotype" w:cs="Palatino Linotype"/>
        </w:rPr>
        <w:t xml:space="preserve"> </w:t>
      </w:r>
      <w:r w:rsidRPr="00D53BC6">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166CFF" w:rsidRPr="00D53BC6" w:rsidRDefault="001E3050">
      <w:pPr>
        <w:ind w:left="567" w:right="710"/>
        <w:jc w:val="both"/>
        <w:rPr>
          <w:rFonts w:ascii="Palatino Linotype" w:eastAsia="Palatino Linotype" w:hAnsi="Palatino Linotype" w:cs="Palatino Linotype"/>
        </w:rPr>
      </w:pPr>
      <w:r w:rsidRPr="00D53BC6">
        <w:rPr>
          <w:rFonts w:ascii="Palatino Linotype" w:eastAsia="Palatino Linotype" w:hAnsi="Palatino Linotype" w:cs="Palatino Linotype"/>
          <w:i/>
          <w:iCs/>
        </w:rPr>
        <w:t>(…)</w:t>
      </w:r>
      <w:r w:rsidRPr="00D53BC6">
        <w:rPr>
          <w:rFonts w:ascii="Palatino Linotype" w:eastAsia="Palatino Linotype" w:hAnsi="Palatino Linotype" w:cs="Palatino Linotype"/>
        </w:rPr>
        <w:t>”</w:t>
      </w:r>
    </w:p>
    <w:p w:rsidR="00166CFF" w:rsidRPr="00D53BC6" w:rsidRDefault="00166CFF">
      <w:pPr>
        <w:ind w:right="-592"/>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lastRenderedPageBreak/>
        <w:t xml:space="preserve">Por </w:t>
      </w:r>
      <w:r w:rsidRPr="00D53BC6">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166CFF" w:rsidRPr="00D53BC6" w:rsidRDefault="00166CFF">
      <w:pPr>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Así </w:t>
      </w:r>
      <w:r w:rsidRPr="00D53BC6">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166CFF" w:rsidRPr="00D53BC6" w:rsidRDefault="001E3050">
      <w:pPr>
        <w:ind w:left="567" w:right="710"/>
        <w:jc w:val="both"/>
        <w:rPr>
          <w:rFonts w:ascii="Palatino Linotype" w:eastAsia="Palatino Linotype" w:hAnsi="Palatino Linotype" w:cs="Palatino Linotype"/>
          <w:b/>
          <w:bCs/>
          <w:i/>
          <w:iCs/>
        </w:rPr>
      </w:pPr>
      <w:r w:rsidRPr="00D53BC6">
        <w:rPr>
          <w:rFonts w:ascii="Palatino Linotype" w:eastAsia="Palatino Linotype" w:hAnsi="Palatino Linotype" w:cs="Palatino Linotype"/>
          <w:b/>
          <w:bCs/>
          <w:i/>
          <w:iCs/>
        </w:rPr>
        <w:t>Constitución Política de los Estados Unidos Mexicanos</w:t>
      </w:r>
    </w:p>
    <w:p w:rsidR="00166CFF" w:rsidRPr="00D53BC6" w:rsidRDefault="00166CFF">
      <w:pPr>
        <w:ind w:left="567" w:right="710"/>
        <w:jc w:val="both"/>
        <w:rPr>
          <w:rFonts w:ascii="Palatino Linotype" w:eastAsia="Palatino Linotype" w:hAnsi="Palatino Linotype" w:cs="Palatino Linotype"/>
          <w:b/>
          <w:bCs/>
          <w:i/>
          <w:iCs/>
        </w:rPr>
      </w:pPr>
    </w:p>
    <w:p w:rsidR="00166CFF" w:rsidRPr="00D53BC6" w:rsidRDefault="001E3050">
      <w:pPr>
        <w:ind w:left="567" w:right="710"/>
        <w:jc w:val="both"/>
        <w:rPr>
          <w:rFonts w:ascii="Palatino Linotype" w:eastAsia="Palatino Linotype" w:hAnsi="Palatino Linotype" w:cs="Palatino Linotype"/>
          <w:b/>
          <w:bCs/>
          <w:i/>
          <w:iCs/>
        </w:rPr>
      </w:pPr>
      <w:r w:rsidRPr="00D53BC6">
        <w:rPr>
          <w:rFonts w:ascii="Palatino Linotype" w:eastAsia="Palatino Linotype" w:hAnsi="Palatino Linotype" w:cs="Palatino Linotype"/>
          <w:b/>
          <w:bCs/>
          <w:i/>
          <w:iCs/>
        </w:rPr>
        <w:t>“Artículo 6.</w:t>
      </w:r>
      <w:r w:rsidRPr="00D53BC6">
        <w:rPr>
          <w:rFonts w:ascii="Palatino Linotype" w:eastAsia="Palatino Linotype" w:hAnsi="Palatino Linotype" w:cs="Palatino Linotype"/>
          <w:i/>
          <w:iCs/>
        </w:rPr>
        <w:t xml:space="preserve"> …</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t>…</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t>Para efectos de lo dispuesto en el presente artículo se observará lo siguiente:</w:t>
      </w:r>
    </w:p>
    <w:p w:rsidR="00166CFF" w:rsidRPr="00D53BC6" w:rsidRDefault="001E3050">
      <w:pPr>
        <w:ind w:left="567" w:right="710"/>
        <w:jc w:val="both"/>
        <w:rPr>
          <w:rFonts w:ascii="Palatino Linotype" w:eastAsia="Palatino Linotype" w:hAnsi="Palatino Linotype" w:cs="Palatino Linotype"/>
          <w:b/>
          <w:bCs/>
          <w:i/>
          <w:iCs/>
        </w:rPr>
      </w:pPr>
      <w:r w:rsidRPr="00D53BC6">
        <w:rPr>
          <w:rFonts w:ascii="Palatino Linotype" w:eastAsia="Palatino Linotype" w:hAnsi="Palatino Linotype" w:cs="Palatino Linotype"/>
          <w:b/>
          <w:bCs/>
          <w:i/>
          <w:iCs/>
        </w:rPr>
        <w:t>A</w:t>
      </w:r>
      <w:r w:rsidRPr="00D53BC6">
        <w:rPr>
          <w:rFonts w:ascii="Palatino Linotype" w:eastAsia="Palatino Linotype" w:hAnsi="Palatino Linotype" w:cs="Palatino Linotype"/>
          <w:i/>
          <w:iCs/>
        </w:rPr>
        <w:t xml:space="preserve">. </w:t>
      </w:r>
      <w:r w:rsidRPr="00D53BC6">
        <w:rPr>
          <w:rFonts w:ascii="Palatino Linotype" w:eastAsia="Palatino Linotype" w:hAnsi="Palatino Linotype" w:cs="Palatino Linotype"/>
          <w:b/>
          <w:bCs/>
          <w:i/>
          <w:iCs/>
        </w:rPr>
        <w:t>Para el ejercicio del derecho de acceso a la información</w:t>
      </w:r>
      <w:r w:rsidRPr="00D53BC6">
        <w:rPr>
          <w:rFonts w:ascii="Palatino Linotype" w:eastAsia="Palatino Linotype" w:hAnsi="Palatino Linotype" w:cs="Palatino Linotype"/>
          <w:i/>
          <w:iCs/>
        </w:rPr>
        <w:t xml:space="preserve">, la Federación y </w:t>
      </w:r>
      <w:r w:rsidRPr="00D53BC6">
        <w:rPr>
          <w:rFonts w:ascii="Palatino Linotype" w:eastAsia="Palatino Linotype" w:hAnsi="Palatino Linotype" w:cs="Palatino Linotype"/>
          <w:b/>
          <w:bCs/>
          <w:i/>
          <w:iCs/>
        </w:rPr>
        <w:t>las entidades federativas, en el ámbito de sus respectivas competencias, se regirán por los siguientes principios y bases:</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b/>
          <w:bCs/>
          <w:i/>
          <w:iCs/>
        </w:rPr>
        <w:t xml:space="preserve">I. </w:t>
      </w:r>
      <w:r w:rsidRPr="00D53BC6">
        <w:rPr>
          <w:rFonts w:ascii="Palatino Linotype" w:eastAsia="Palatino Linotype" w:hAnsi="Palatino Linotype" w:cs="Palatino Linotype"/>
          <w:b/>
          <w:bCs/>
          <w:i/>
          <w:iCs/>
        </w:rPr>
        <w:tab/>
        <w:t>Toda la información en posesión de cualquier</w:t>
      </w:r>
      <w:r w:rsidRPr="00D53BC6">
        <w:rPr>
          <w:rFonts w:ascii="Palatino Linotype" w:eastAsia="Palatino Linotype" w:hAnsi="Palatino Linotype" w:cs="Palatino Linotype"/>
          <w:i/>
          <w:iCs/>
        </w:rPr>
        <w:t xml:space="preserve"> </w:t>
      </w:r>
      <w:r w:rsidRPr="00D53BC6">
        <w:rPr>
          <w:rFonts w:ascii="Palatino Linotype" w:eastAsia="Palatino Linotype" w:hAnsi="Palatino Linotype" w:cs="Palatino Linotype"/>
          <w:b/>
          <w:bCs/>
          <w:i/>
          <w:iCs/>
        </w:rPr>
        <w:t>autoridad</w:t>
      </w:r>
      <w:r w:rsidRPr="00D53BC6">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53BC6">
        <w:rPr>
          <w:rFonts w:ascii="Palatino Linotype" w:eastAsia="Palatino Linotype" w:hAnsi="Palatino Linotype" w:cs="Palatino Linotype"/>
          <w:b/>
          <w:bCs/>
          <w:i/>
          <w:iCs/>
        </w:rPr>
        <w:t>municipal</w:t>
      </w:r>
      <w:r w:rsidRPr="00D53BC6">
        <w:rPr>
          <w:rFonts w:ascii="Palatino Linotype" w:eastAsia="Palatino Linotype" w:hAnsi="Palatino Linotype" w:cs="Palatino Linotype"/>
          <w:i/>
          <w:iCs/>
        </w:rPr>
        <w:t xml:space="preserve">, </w:t>
      </w:r>
      <w:r w:rsidRPr="00D53BC6">
        <w:rPr>
          <w:rFonts w:ascii="Palatino Linotype" w:eastAsia="Palatino Linotype" w:hAnsi="Palatino Linotype" w:cs="Palatino Linotype"/>
          <w:b/>
          <w:bCs/>
          <w:i/>
          <w:iCs/>
        </w:rPr>
        <w:t>es pública</w:t>
      </w:r>
      <w:r w:rsidRPr="00D53BC6">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D53BC6">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D53BC6">
        <w:rPr>
          <w:rFonts w:ascii="Palatino Linotype" w:eastAsia="Palatino Linotype" w:hAnsi="Palatino Linotype" w:cs="Palatino Linotype"/>
          <w:i/>
          <w:iCs/>
        </w:rPr>
        <w:t>, la ley determinará los supuestos específicos bajo los cuales procederá la declaración de inexistencia de la información.”</w:t>
      </w:r>
    </w:p>
    <w:p w:rsidR="00166CFF" w:rsidRPr="00D53BC6" w:rsidRDefault="00166CFF">
      <w:pPr>
        <w:tabs>
          <w:tab w:val="left" w:pos="426"/>
          <w:tab w:val="left" w:pos="567"/>
        </w:tabs>
        <w:ind w:left="567" w:right="710"/>
        <w:jc w:val="both"/>
        <w:rPr>
          <w:rFonts w:ascii="Palatino Linotype" w:eastAsia="Palatino Linotype" w:hAnsi="Palatino Linotype" w:cs="Palatino Linotype"/>
          <w:color w:val="000000"/>
        </w:rPr>
      </w:pPr>
    </w:p>
    <w:p w:rsidR="00166CFF" w:rsidRPr="00D53BC6" w:rsidRDefault="001E3050">
      <w:pPr>
        <w:ind w:left="567" w:right="710"/>
        <w:jc w:val="both"/>
        <w:rPr>
          <w:rFonts w:ascii="Palatino Linotype" w:eastAsia="Palatino Linotype" w:hAnsi="Palatino Linotype" w:cs="Palatino Linotype"/>
          <w:b/>
          <w:bCs/>
          <w:i/>
          <w:iCs/>
        </w:rPr>
      </w:pPr>
      <w:r w:rsidRPr="00D53BC6">
        <w:rPr>
          <w:rFonts w:ascii="Palatino Linotype" w:eastAsia="Palatino Linotype" w:hAnsi="Palatino Linotype" w:cs="Palatino Linotype"/>
          <w:b/>
          <w:bCs/>
          <w:i/>
          <w:iCs/>
        </w:rPr>
        <w:t>Constitución Política del Estado Libre y Soberano de México</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b/>
          <w:bCs/>
          <w:i/>
          <w:iCs/>
        </w:rPr>
        <w:t>“Artículo 5</w:t>
      </w:r>
      <w:r w:rsidRPr="00D53BC6">
        <w:rPr>
          <w:rFonts w:ascii="Palatino Linotype" w:eastAsia="Palatino Linotype" w:hAnsi="Palatino Linotype" w:cs="Palatino Linotype"/>
          <w:i/>
          <w:iCs/>
        </w:rPr>
        <w:t>.-…</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lastRenderedPageBreak/>
        <w:t>…</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D53BC6">
        <w:rPr>
          <w:rFonts w:ascii="Palatino Linotype" w:eastAsia="Palatino Linotype" w:hAnsi="Palatino Linotype" w:cs="Palatino Linotype"/>
          <w:i/>
          <w:iCs/>
        </w:rPr>
        <w:t>.</w:t>
      </w: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166CFF" w:rsidRPr="00D53BC6" w:rsidRDefault="00166CFF">
      <w:pPr>
        <w:ind w:left="567" w:right="710"/>
        <w:jc w:val="both"/>
        <w:rPr>
          <w:rFonts w:ascii="Palatino Linotype" w:eastAsia="Palatino Linotype" w:hAnsi="Palatino Linotype" w:cs="Palatino Linotype"/>
          <w:i/>
          <w:iCs/>
        </w:rPr>
      </w:pPr>
    </w:p>
    <w:p w:rsidR="00166CFF" w:rsidRPr="00D53BC6" w:rsidRDefault="001E3050">
      <w:pPr>
        <w:ind w:left="567" w:right="710"/>
        <w:jc w:val="both"/>
        <w:rPr>
          <w:rFonts w:ascii="Palatino Linotype" w:eastAsia="Palatino Linotype" w:hAnsi="Palatino Linotype" w:cs="Palatino Linotype"/>
          <w:i/>
          <w:iCs/>
        </w:rPr>
      </w:pPr>
      <w:r w:rsidRPr="00D53BC6">
        <w:rPr>
          <w:rFonts w:ascii="Palatino Linotype" w:eastAsia="Palatino Linotype" w:hAnsi="Palatino Linotype" w:cs="Palatino Linotype"/>
          <w:b/>
          <w:bCs/>
          <w:i/>
          <w:iCs/>
        </w:rPr>
        <w:t>Este derecho se regirá por los principios y bases siguientes</w:t>
      </w:r>
      <w:r w:rsidRPr="00D53BC6">
        <w:rPr>
          <w:rFonts w:ascii="Palatino Linotype" w:eastAsia="Palatino Linotype" w:hAnsi="Palatino Linotype" w:cs="Palatino Linotype"/>
          <w:i/>
          <w:iCs/>
        </w:rPr>
        <w:t>:</w:t>
      </w:r>
    </w:p>
    <w:p w:rsidR="00166CFF" w:rsidRPr="00D53BC6" w:rsidRDefault="001E3050">
      <w:pPr>
        <w:ind w:left="567" w:right="710"/>
        <w:jc w:val="both"/>
        <w:rPr>
          <w:rFonts w:ascii="Palatino Linotype" w:eastAsia="Palatino Linotype" w:hAnsi="Palatino Linotype" w:cs="Palatino Linotype"/>
          <w:b/>
          <w:bCs/>
        </w:rPr>
      </w:pPr>
      <w:r w:rsidRPr="00D53BC6">
        <w:rPr>
          <w:rFonts w:ascii="Palatino Linotype" w:eastAsia="Palatino Linotype" w:hAnsi="Palatino Linotype" w:cs="Palatino Linotype"/>
          <w:b/>
          <w:bCs/>
          <w:i/>
          <w:iCs/>
        </w:rPr>
        <w:t>Toda la información en posesión de cualquier autoridad, entidad, órgano y organismos de los</w:t>
      </w:r>
      <w:r w:rsidRPr="00D53BC6">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D53BC6">
        <w:rPr>
          <w:rFonts w:ascii="Palatino Linotype" w:eastAsia="Palatino Linotype" w:hAnsi="Palatino Linotype" w:cs="Palatino Linotype"/>
          <w:b/>
          <w:bCs/>
          <w:i/>
          <w:iCs/>
        </w:rPr>
        <w:t>municipales</w:t>
      </w:r>
      <w:r w:rsidRPr="00D53BC6">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53BC6">
        <w:rPr>
          <w:rFonts w:ascii="Palatino Linotype" w:eastAsia="Palatino Linotype" w:hAnsi="Palatino Linotype" w:cs="Palatino Linotype"/>
          <w:b/>
          <w:bCs/>
          <w:i/>
          <w:iCs/>
        </w:rPr>
        <w:t>es pública</w:t>
      </w:r>
      <w:r w:rsidRPr="00D53BC6">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D53BC6">
        <w:rPr>
          <w:rFonts w:ascii="Palatino Linotype" w:eastAsia="Palatino Linotype" w:hAnsi="Palatino Linotype" w:cs="Palatino Linotype"/>
          <w:b/>
          <w:bCs/>
          <w:i/>
          <w:iCs/>
        </w:rPr>
        <w:t>En la interpretación de este derecho deberá prevalecer el principio de máxima publicidad</w:t>
      </w:r>
      <w:r w:rsidRPr="00D53BC6">
        <w:rPr>
          <w:rFonts w:ascii="Palatino Linotype" w:eastAsia="Palatino Linotype" w:hAnsi="Palatino Linotype" w:cs="Palatino Linotype"/>
          <w:i/>
          <w:iCs/>
        </w:rPr>
        <w:t xml:space="preserve">. </w:t>
      </w:r>
      <w:r w:rsidRPr="00D53BC6">
        <w:rPr>
          <w:rFonts w:ascii="Palatino Linotype" w:eastAsia="Palatino Linotype" w:hAnsi="Palatino Linotype" w:cs="Palatino Linotype"/>
          <w:b/>
          <w:bCs/>
          <w:i/>
          <w:iCs/>
        </w:rPr>
        <w:t>Los sujetos obligados deberán documentar todo acto que derive del ejercicio de sus facultades, competencias o funciones</w:t>
      </w:r>
      <w:r w:rsidRPr="00D53BC6">
        <w:rPr>
          <w:rFonts w:ascii="Palatino Linotype" w:eastAsia="Palatino Linotype" w:hAnsi="Palatino Linotype" w:cs="Palatino Linotype"/>
          <w:i/>
          <w:iCs/>
        </w:rPr>
        <w:t>, la ley determinará los supuestos específicos bajo los cuales procederá la declaración de inexistencia de la información.”</w:t>
      </w:r>
    </w:p>
    <w:p w:rsidR="00166CFF" w:rsidRPr="00D53BC6" w:rsidRDefault="00166CFF">
      <w:pPr>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Según </w:t>
      </w:r>
      <w:r w:rsidRPr="00D53BC6">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D53BC6">
        <w:rPr>
          <w:rFonts w:ascii="Palatino Linotype" w:eastAsia="Palatino Linotype" w:hAnsi="Palatino Linotype" w:cs="Palatino Linotype"/>
          <w:i/>
          <w:iCs/>
        </w:rPr>
        <w:t>por los principios de simplicidad, rapidez gratuidad del procedimiento, auxilio y orientación a los particulares</w:t>
      </w:r>
      <w:r w:rsidRPr="00D53BC6">
        <w:rPr>
          <w:rFonts w:ascii="Palatino Linotype" w:eastAsia="Palatino Linotype" w:hAnsi="Palatino Linotype" w:cs="Palatino Linotype"/>
        </w:rPr>
        <w:t>, contemplando el derecho de las personas con discapacidad y hablantes de lengua indígena.</w:t>
      </w:r>
    </w:p>
    <w:p w:rsidR="00166CFF" w:rsidRPr="00D53BC6" w:rsidRDefault="00166CFF">
      <w:pPr>
        <w:ind w:right="-592"/>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El </w:t>
      </w:r>
      <w:r w:rsidRPr="00D53BC6">
        <w:rPr>
          <w:rFonts w:ascii="Palatino Linotype" w:eastAsia="Palatino Linotype" w:hAnsi="Palatino Linotype" w:cs="Palatino Linotype"/>
        </w:rPr>
        <w:t xml:space="preserve">Derecho de Acceso a la Información se garantiza y respeta oportunamente, y según lo que dispone la Ley, las </w:t>
      </w:r>
      <w:r w:rsidRPr="00D53BC6">
        <w:rPr>
          <w:rFonts w:ascii="Palatino Linotype" w:eastAsia="Palatino Linotype" w:hAnsi="Palatino Linotype" w:cs="Palatino Linotype"/>
          <w:i/>
          <w:iCs/>
        </w:rPr>
        <w:t>solicitudes de acceso a la información</w:t>
      </w:r>
      <w:r w:rsidRPr="00D53BC6">
        <w:rPr>
          <w:rFonts w:ascii="Palatino Linotype" w:eastAsia="Palatino Linotype" w:hAnsi="Palatino Linotype" w:cs="Palatino Linotype"/>
        </w:rPr>
        <w:t>.</w:t>
      </w:r>
    </w:p>
    <w:p w:rsidR="00166CFF" w:rsidRPr="00D53BC6" w:rsidRDefault="00166CFF">
      <w:pPr>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lastRenderedPageBreak/>
        <w:t xml:space="preserve">Así </w:t>
      </w:r>
      <w:r w:rsidRPr="00D53BC6">
        <w:rPr>
          <w:rFonts w:ascii="Palatino Linotype" w:eastAsia="Palatino Linotype" w:hAnsi="Palatino Linotype" w:cs="Palatino Linotype"/>
        </w:rPr>
        <w:t xml:space="preserve">entonces, se procede analizar, en primer lugar, si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166CFF" w:rsidRPr="00D53BC6" w:rsidRDefault="00166CFF">
      <w:pPr>
        <w:rPr>
          <w:rFonts w:ascii="Palatino Linotype" w:eastAsia="Palatino Linotype" w:hAnsi="Palatino Linotype" w:cs="Palatino Linotype"/>
          <w:b/>
          <w:bCs/>
        </w:rPr>
      </w:pPr>
    </w:p>
    <w:p w:rsidR="00166CFF" w:rsidRPr="00D53BC6" w:rsidRDefault="001E3050">
      <w:pPr>
        <w:keepNext/>
        <w:keepLines/>
        <w:numPr>
          <w:ilvl w:val="1"/>
          <w:numId w:val="4"/>
        </w:numPr>
        <w:spacing w:line="360" w:lineRule="auto"/>
        <w:ind w:left="567" w:right="-592"/>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De la información solicitada y la respuesta del SUJETO OBLIGADO.</w:t>
      </w: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bookmarkStart w:id="4" w:name="_heading=h.30j0zll" w:colFirst="0" w:colLast="0"/>
      <w:bookmarkEnd w:id="4"/>
      <w:r w:rsidRPr="00D53BC6">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166CFF" w:rsidRPr="00D53BC6" w:rsidRDefault="00166CFF">
      <w:pPr>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Así, resulta conveniente reiterar la información solicitada por la parte </w:t>
      </w:r>
      <w:r w:rsidRPr="00D53BC6">
        <w:rPr>
          <w:rFonts w:ascii="Palatino Linotype" w:eastAsia="Palatino Linotype" w:hAnsi="Palatino Linotype" w:cs="Palatino Linotype"/>
          <w:b/>
          <w:bCs/>
        </w:rPr>
        <w:t>RECURRENTE</w:t>
      </w:r>
      <w:r w:rsidRPr="00D53BC6">
        <w:rPr>
          <w:rFonts w:ascii="Palatino Linotype" w:eastAsia="Palatino Linotype" w:hAnsi="Palatino Linotype" w:cs="Palatino Linotype"/>
        </w:rPr>
        <w:t xml:space="preserve">, así como la respuesta emitida por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mediante el siguiente cuadro descriptivo:</w:t>
      </w:r>
    </w:p>
    <w:p w:rsidR="00166CFF" w:rsidRPr="00D53BC6" w:rsidRDefault="00166CFF">
      <w:pPr>
        <w:rPr>
          <w:rFonts w:ascii="Palatino Linotype" w:eastAsia="Palatino Linotype" w:hAnsi="Palatino Linotype" w:cs="Palatino Linotype"/>
        </w:rPr>
      </w:pPr>
    </w:p>
    <w:tbl>
      <w:tblPr>
        <w:tblStyle w:val="a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4678"/>
        <w:gridCol w:w="2551"/>
      </w:tblGrid>
      <w:tr w:rsidR="00166CFF" w:rsidRPr="00D53BC6" w:rsidTr="00D53BC6">
        <w:tc>
          <w:tcPr>
            <w:tcW w:w="2547" w:type="dxa"/>
            <w:shd w:val="clear" w:color="auto" w:fill="D9D9D9"/>
          </w:tcPr>
          <w:p w:rsidR="00166CFF" w:rsidRPr="00D53BC6" w:rsidRDefault="001E3050">
            <w:pPr>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Información Solicitada</w:t>
            </w:r>
          </w:p>
        </w:tc>
        <w:tc>
          <w:tcPr>
            <w:tcW w:w="4678" w:type="dxa"/>
            <w:shd w:val="clear" w:color="auto" w:fill="D9D9D9"/>
          </w:tcPr>
          <w:p w:rsidR="00166CFF" w:rsidRPr="00D53BC6" w:rsidRDefault="001E3050">
            <w:pPr>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Respuesta</w:t>
            </w:r>
          </w:p>
        </w:tc>
        <w:tc>
          <w:tcPr>
            <w:tcW w:w="2551" w:type="dxa"/>
            <w:shd w:val="clear" w:color="auto" w:fill="D9D9D9"/>
          </w:tcPr>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Comentario</w:t>
            </w:r>
          </w:p>
        </w:tc>
      </w:tr>
      <w:tr w:rsidR="00166CFF" w:rsidRPr="00D53BC6" w:rsidTr="00D53BC6">
        <w:tc>
          <w:tcPr>
            <w:tcW w:w="2547" w:type="dxa"/>
          </w:tcPr>
          <w:p w:rsidR="00166CFF" w:rsidRPr="00D53BC6" w:rsidRDefault="00E378E1">
            <w:pPr>
              <w:ind w:right="1"/>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1. </w:t>
            </w:r>
            <w:r w:rsidR="001E3050" w:rsidRPr="00D53BC6">
              <w:rPr>
                <w:rFonts w:ascii="Palatino Linotype" w:eastAsia="Palatino Linotype" w:hAnsi="Palatino Linotype" w:cs="Palatino Linotype"/>
                <w:color w:val="000000"/>
              </w:rPr>
              <w:t>Fondos asignados a programas sociales y apoyos en el último trienio (2022-2024);</w:t>
            </w:r>
          </w:p>
        </w:tc>
        <w:tc>
          <w:tcPr>
            <w:tcW w:w="4678" w:type="dxa"/>
          </w:tcPr>
          <w:p w:rsidR="00166CFF" w:rsidRPr="00D53BC6" w:rsidRDefault="001E3050">
            <w:pPr>
              <w:numPr>
                <w:ilvl w:val="0"/>
                <w:numId w:val="7"/>
              </w:numPr>
              <w:pBdr>
                <w:top w:val="nil"/>
                <w:left w:val="nil"/>
                <w:bottom w:val="nil"/>
                <w:right w:val="nil"/>
                <w:between w:val="nil"/>
              </w:pBdr>
              <w:ind w:left="33" w:right="31" w:firstLine="0"/>
              <w:jc w:val="both"/>
              <w:rPr>
                <w:rFonts w:ascii="Palatino Linotype" w:eastAsia="Palatino Linotype" w:hAnsi="Palatino Linotype" w:cs="Palatino Linotype"/>
                <w:b/>
                <w:bCs/>
                <w:color w:val="000000"/>
              </w:rPr>
            </w:pPr>
            <w:r w:rsidRPr="00D53BC6">
              <w:rPr>
                <w:rFonts w:ascii="Palatino Linotype" w:eastAsia="Palatino Linotype" w:hAnsi="Palatino Linotype" w:cs="Palatino Linotype"/>
                <w:color w:val="000000"/>
              </w:rPr>
              <w:t xml:space="preserve">La Directora de Desarrollo Social, informó que durante 2022, 2023 y 2024 la Dirección a su cargo ejecutó programas de despensa en el Municipio de Zinacantepec, asimismo, precisó el </w:t>
            </w:r>
            <w:r w:rsidRPr="00D53BC6">
              <w:rPr>
                <w:rFonts w:ascii="Palatino Linotype" w:eastAsia="Palatino Linotype" w:hAnsi="Palatino Linotype" w:cs="Palatino Linotype"/>
                <w:b/>
                <w:bCs/>
                <w:color w:val="000000"/>
              </w:rPr>
              <w:t>ejercicio fiscal, la denominación del programa, el número de beneficiarios, la fuente de financiamiento y el monto.</w:t>
            </w:r>
          </w:p>
          <w:p w:rsidR="00166CFF" w:rsidRPr="00D53BC6" w:rsidRDefault="00166CFF">
            <w:pPr>
              <w:ind w:left="33" w:right="31"/>
              <w:jc w:val="both"/>
              <w:rPr>
                <w:rFonts w:ascii="Palatino Linotype" w:eastAsia="Palatino Linotype" w:hAnsi="Palatino Linotype" w:cs="Palatino Linotype"/>
                <w:b/>
                <w:bCs/>
              </w:rPr>
            </w:pPr>
          </w:p>
          <w:p w:rsidR="00166CFF" w:rsidRPr="00D53BC6" w:rsidRDefault="001E3050">
            <w:pPr>
              <w:numPr>
                <w:ilvl w:val="0"/>
                <w:numId w:val="7"/>
              </w:numPr>
              <w:pBdr>
                <w:top w:val="nil"/>
                <w:left w:val="nil"/>
                <w:bottom w:val="nil"/>
                <w:right w:val="nil"/>
                <w:between w:val="nil"/>
              </w:pBdr>
              <w:ind w:left="33" w:right="31" w:firstLine="0"/>
              <w:jc w:val="both"/>
              <w:rPr>
                <w:rFonts w:ascii="Palatino Linotype" w:eastAsia="Palatino Linotype" w:hAnsi="Palatino Linotype" w:cs="Palatino Linotype"/>
                <w:b/>
                <w:bCs/>
                <w:color w:val="000000"/>
              </w:rPr>
            </w:pPr>
            <w:r w:rsidRPr="00D53BC6">
              <w:rPr>
                <w:rFonts w:ascii="Palatino Linotype" w:eastAsia="Palatino Linotype" w:hAnsi="Palatino Linotype" w:cs="Palatino Linotype"/>
                <w:color w:val="000000"/>
              </w:rPr>
              <w:lastRenderedPageBreak/>
              <w:t xml:space="preserve">El Tesorero Municipal, informó que todos los fondos asignados para los programas sociales y apoyos </w:t>
            </w:r>
            <w:r w:rsidRPr="00D53BC6">
              <w:rPr>
                <w:rFonts w:ascii="Palatino Linotype" w:eastAsia="Palatino Linotype" w:hAnsi="Palatino Linotype" w:cs="Palatino Linotype"/>
                <w:b/>
                <w:bCs/>
                <w:color w:val="000000"/>
              </w:rPr>
              <w:t>fueron recursos propios del Ayuntamiento.</w:t>
            </w:r>
          </w:p>
        </w:tc>
        <w:tc>
          <w:tcPr>
            <w:tcW w:w="2551" w:type="dxa"/>
          </w:tcPr>
          <w:p w:rsidR="00166CFF" w:rsidRPr="00D53BC6" w:rsidRDefault="001E3050">
            <w:pPr>
              <w:ind w:right="1"/>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lastRenderedPageBreak/>
              <w:t>El Requerimiento fue atendido por los Servidores Públicos Habilitados competentes.</w:t>
            </w:r>
          </w:p>
        </w:tc>
      </w:tr>
      <w:tr w:rsidR="00166CFF" w:rsidRPr="00D53BC6" w:rsidTr="00D53BC6">
        <w:tc>
          <w:tcPr>
            <w:tcW w:w="2547" w:type="dxa"/>
          </w:tcPr>
          <w:p w:rsidR="00166CFF" w:rsidRPr="00D53BC6" w:rsidRDefault="00E378E1">
            <w:pPr>
              <w:ind w:right="1"/>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2.</w:t>
            </w:r>
            <w:r w:rsidR="001E3050" w:rsidRPr="00D53BC6">
              <w:rPr>
                <w:rFonts w:ascii="Palatino Linotype" w:eastAsia="Palatino Linotype" w:hAnsi="Palatino Linotype" w:cs="Palatino Linotype"/>
                <w:color w:val="000000"/>
              </w:rPr>
              <w:t>Distribución, beneficiarios; y</w:t>
            </w:r>
          </w:p>
        </w:tc>
        <w:tc>
          <w:tcPr>
            <w:tcW w:w="4678" w:type="dxa"/>
          </w:tcPr>
          <w:p w:rsidR="00166CFF" w:rsidRPr="00D53BC6" w:rsidRDefault="001E3050">
            <w:pPr>
              <w:pBdr>
                <w:top w:val="nil"/>
                <w:left w:val="nil"/>
                <w:bottom w:val="nil"/>
                <w:right w:val="nil"/>
                <w:between w:val="nil"/>
              </w:pBdr>
              <w:ind w:left="33" w:right="1"/>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La Directora de Desarrollo Social remitió los siguientes documentos:</w:t>
            </w:r>
          </w:p>
          <w:p w:rsidR="00166CFF" w:rsidRPr="00D53BC6" w:rsidRDefault="001E3050">
            <w:pPr>
              <w:numPr>
                <w:ilvl w:val="0"/>
                <w:numId w:val="2"/>
              </w:numPr>
              <w:pBdr>
                <w:top w:val="nil"/>
                <w:left w:val="nil"/>
                <w:bottom w:val="nil"/>
                <w:right w:val="nil"/>
                <w:between w:val="nil"/>
              </w:pBdr>
              <w:ind w:left="33" w:right="1" w:hanging="33"/>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Padrón de beneficiarios del programa </w:t>
            </w:r>
            <w:r w:rsidRPr="00D53BC6">
              <w:rPr>
                <w:rFonts w:ascii="Palatino Linotype" w:eastAsia="Palatino Linotype" w:hAnsi="Palatino Linotype" w:cs="Palatino Linotype"/>
                <w:b/>
                <w:bCs/>
                <w:color w:val="000000"/>
              </w:rPr>
              <w:t>“Paquete Alimentario</w:t>
            </w:r>
            <w:r w:rsidRPr="00D53BC6">
              <w:rPr>
                <w:rFonts w:ascii="Palatino Linotype" w:eastAsia="Palatino Linotype" w:hAnsi="Palatino Linotype" w:cs="Palatino Linotype"/>
                <w:color w:val="000000"/>
              </w:rPr>
              <w:t xml:space="preserve">” del ejercicio fiscal </w:t>
            </w:r>
            <w:r w:rsidRPr="00D53BC6">
              <w:rPr>
                <w:rFonts w:ascii="Palatino Linotype" w:eastAsia="Palatino Linotype" w:hAnsi="Palatino Linotype" w:cs="Palatino Linotype"/>
                <w:b/>
                <w:bCs/>
                <w:color w:val="000000"/>
              </w:rPr>
              <w:t>2024;</w:t>
            </w:r>
          </w:p>
          <w:p w:rsidR="00166CFF" w:rsidRPr="00D53BC6" w:rsidRDefault="001E3050">
            <w:pPr>
              <w:numPr>
                <w:ilvl w:val="0"/>
                <w:numId w:val="2"/>
              </w:numPr>
              <w:pBdr>
                <w:top w:val="nil"/>
                <w:left w:val="nil"/>
                <w:bottom w:val="nil"/>
                <w:right w:val="nil"/>
                <w:between w:val="nil"/>
              </w:pBdr>
              <w:ind w:left="33" w:right="1" w:hanging="33"/>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Padrón de beneficiarios del programa </w:t>
            </w:r>
            <w:r w:rsidRPr="00D53BC6">
              <w:rPr>
                <w:rFonts w:ascii="Palatino Linotype" w:eastAsia="Palatino Linotype" w:hAnsi="Palatino Linotype" w:cs="Palatino Linotype"/>
                <w:b/>
                <w:bCs/>
                <w:color w:val="000000"/>
              </w:rPr>
              <w:t>“Canasta Alimentaria Zinacantepec”,</w:t>
            </w:r>
            <w:r w:rsidRPr="00D53BC6">
              <w:rPr>
                <w:rFonts w:ascii="Palatino Linotype" w:eastAsia="Palatino Linotype" w:hAnsi="Palatino Linotype" w:cs="Palatino Linotype"/>
                <w:color w:val="000000"/>
              </w:rPr>
              <w:t xml:space="preserve"> ejercicio fiscal </w:t>
            </w:r>
            <w:r w:rsidRPr="00D53BC6">
              <w:rPr>
                <w:rFonts w:ascii="Palatino Linotype" w:eastAsia="Palatino Linotype" w:hAnsi="Palatino Linotype" w:cs="Palatino Linotype"/>
                <w:b/>
                <w:bCs/>
                <w:color w:val="000000"/>
              </w:rPr>
              <w:t>2023;</w:t>
            </w:r>
          </w:p>
          <w:p w:rsidR="00166CFF" w:rsidRPr="00D53BC6" w:rsidRDefault="001E3050">
            <w:pPr>
              <w:numPr>
                <w:ilvl w:val="0"/>
                <w:numId w:val="2"/>
              </w:numPr>
              <w:pBdr>
                <w:top w:val="nil"/>
                <w:left w:val="nil"/>
                <w:bottom w:val="nil"/>
                <w:right w:val="nil"/>
                <w:between w:val="nil"/>
              </w:pBdr>
              <w:ind w:left="33" w:right="1" w:hanging="33"/>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Padrón de beneficiarios del programa </w:t>
            </w:r>
            <w:r w:rsidRPr="00D53BC6">
              <w:rPr>
                <w:rFonts w:ascii="Palatino Linotype" w:eastAsia="Palatino Linotype" w:hAnsi="Palatino Linotype" w:cs="Palatino Linotype"/>
                <w:b/>
                <w:bCs/>
                <w:color w:val="000000"/>
              </w:rPr>
              <w:t>“Merecemos Vivir Mejor”</w:t>
            </w:r>
            <w:r w:rsidRPr="00D53BC6">
              <w:rPr>
                <w:rFonts w:ascii="Palatino Linotype" w:eastAsia="Palatino Linotype" w:hAnsi="Palatino Linotype" w:cs="Palatino Linotype"/>
                <w:color w:val="000000"/>
              </w:rPr>
              <w:t xml:space="preserve">, del ejercicio fiscal </w:t>
            </w:r>
            <w:r w:rsidRPr="00D53BC6">
              <w:rPr>
                <w:rFonts w:ascii="Palatino Linotype" w:eastAsia="Palatino Linotype" w:hAnsi="Palatino Linotype" w:cs="Palatino Linotype"/>
                <w:b/>
                <w:bCs/>
                <w:color w:val="000000"/>
              </w:rPr>
              <w:t>2022.</w:t>
            </w:r>
          </w:p>
        </w:tc>
        <w:tc>
          <w:tcPr>
            <w:tcW w:w="2551" w:type="dxa"/>
          </w:tcPr>
          <w:p w:rsidR="00166CFF" w:rsidRPr="00D53BC6" w:rsidRDefault="001E3050" w:rsidP="00654953">
            <w:pPr>
              <w:ind w:right="1"/>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El requerimiento fue atendido por la Servidor</w:t>
            </w:r>
            <w:r w:rsidR="00654953" w:rsidRPr="00D53BC6">
              <w:rPr>
                <w:rFonts w:ascii="Palatino Linotype" w:eastAsia="Palatino Linotype" w:hAnsi="Palatino Linotype" w:cs="Palatino Linotype"/>
                <w:b/>
                <w:bCs/>
              </w:rPr>
              <w:t xml:space="preserve">a Pública Habilitada competente, no obstante, el padrón  de </w:t>
            </w:r>
            <w:r w:rsidR="00654953" w:rsidRPr="00D53BC6">
              <w:rPr>
                <w:rFonts w:ascii="Palatino Linotype" w:eastAsia="Palatino Linotype" w:hAnsi="Palatino Linotype" w:cs="Palatino Linotype"/>
                <w:b/>
                <w:color w:val="000000"/>
              </w:rPr>
              <w:t xml:space="preserve">beneficiarios del programa </w:t>
            </w:r>
            <w:r w:rsidR="00654953" w:rsidRPr="00D53BC6">
              <w:rPr>
                <w:rFonts w:ascii="Palatino Linotype" w:eastAsia="Palatino Linotype" w:hAnsi="Palatino Linotype" w:cs="Palatino Linotype"/>
                <w:b/>
                <w:bCs/>
                <w:color w:val="000000"/>
              </w:rPr>
              <w:t>“Merecemos Vivir Mejor”</w:t>
            </w:r>
            <w:r w:rsidR="00654953" w:rsidRPr="00D53BC6">
              <w:rPr>
                <w:rFonts w:ascii="Palatino Linotype" w:eastAsia="Palatino Linotype" w:hAnsi="Palatino Linotype" w:cs="Palatino Linotype"/>
                <w:b/>
                <w:color w:val="000000"/>
              </w:rPr>
              <w:t xml:space="preserve">, del ejercicio fiscal </w:t>
            </w:r>
            <w:r w:rsidR="00654953" w:rsidRPr="00D53BC6">
              <w:rPr>
                <w:rFonts w:ascii="Palatino Linotype" w:eastAsia="Palatino Linotype" w:hAnsi="Palatino Linotype" w:cs="Palatino Linotype"/>
                <w:b/>
                <w:bCs/>
                <w:color w:val="000000"/>
              </w:rPr>
              <w:t>2022, fue remitido en una versión pública excesiva, al suprimirse los apellidos de los beneficiarios.</w:t>
            </w:r>
          </w:p>
        </w:tc>
      </w:tr>
      <w:tr w:rsidR="00166CFF" w:rsidRPr="00D53BC6" w:rsidTr="00D53BC6">
        <w:tc>
          <w:tcPr>
            <w:tcW w:w="2547" w:type="dxa"/>
          </w:tcPr>
          <w:p w:rsidR="00166CFF" w:rsidRPr="00D53BC6" w:rsidRDefault="00D53BC6" w:rsidP="00D53BC6">
            <w:pPr>
              <w:ind w:right="34"/>
              <w:rPr>
                <w:rFonts w:ascii="Palatino Linotype" w:eastAsia="Palatino Linotype" w:hAnsi="Palatino Linotype" w:cs="Palatino Linotype"/>
              </w:rPr>
            </w:pPr>
            <w:r>
              <w:rPr>
                <w:rFonts w:ascii="Palatino Linotype" w:eastAsia="Palatino Linotype" w:hAnsi="Palatino Linotype" w:cs="Palatino Linotype"/>
                <w:color w:val="000000"/>
              </w:rPr>
              <w:t xml:space="preserve">3. </w:t>
            </w:r>
            <w:r w:rsidRPr="00D53BC6">
              <w:rPr>
                <w:rFonts w:ascii="Palatino Linotype" w:eastAsia="Palatino Linotype" w:hAnsi="Palatino Linotype" w:cs="Palatino Linotype"/>
                <w:color w:val="000000"/>
              </w:rPr>
              <w:t>Auditorías</w:t>
            </w:r>
            <w:r>
              <w:rPr>
                <w:rFonts w:ascii="Palatino Linotype" w:eastAsia="Palatino Linotype" w:hAnsi="Palatino Linotype" w:cs="Palatino Linotype"/>
                <w:color w:val="000000"/>
              </w:rPr>
              <w:t xml:space="preserve"> </w:t>
            </w:r>
            <w:r w:rsidR="001E3050" w:rsidRPr="00D53BC6">
              <w:rPr>
                <w:rFonts w:ascii="Palatino Linotype" w:eastAsia="Palatino Linotype" w:hAnsi="Palatino Linotype" w:cs="Palatino Linotype"/>
                <w:color w:val="000000"/>
              </w:rPr>
              <w:t>realizadas, incluyendo cualquier intervención del Presidente Municipal en la asignación o supervisión de dichos fondos.</w:t>
            </w:r>
          </w:p>
        </w:tc>
        <w:tc>
          <w:tcPr>
            <w:tcW w:w="4678" w:type="dxa"/>
          </w:tcPr>
          <w:p w:rsidR="00166CFF" w:rsidRPr="00D53BC6" w:rsidRDefault="001E3050">
            <w:pPr>
              <w:numPr>
                <w:ilvl w:val="0"/>
                <w:numId w:val="3"/>
              </w:numPr>
              <w:pBdr>
                <w:top w:val="nil"/>
                <w:left w:val="nil"/>
                <w:bottom w:val="nil"/>
                <w:right w:val="nil"/>
                <w:between w:val="nil"/>
              </w:pBdr>
              <w:ind w:left="0" w:right="1"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El Tesorero Municipal, informó que </w:t>
            </w:r>
            <w:r w:rsidRPr="00D53BC6">
              <w:rPr>
                <w:rFonts w:ascii="Palatino Linotype" w:eastAsia="Palatino Linotype" w:hAnsi="Palatino Linotype" w:cs="Palatino Linotype"/>
                <w:b/>
                <w:bCs/>
                <w:color w:val="000000"/>
              </w:rPr>
              <w:t xml:space="preserve">no se realizaron auditorias </w:t>
            </w:r>
            <w:r w:rsidRPr="00D53BC6">
              <w:rPr>
                <w:rFonts w:ascii="Palatino Linotype" w:eastAsia="Palatino Linotype" w:hAnsi="Palatino Linotype" w:cs="Palatino Linotype"/>
                <w:color w:val="000000"/>
              </w:rPr>
              <w:t>respecto a los programas y apoyos sociales.</w:t>
            </w:r>
          </w:p>
          <w:p w:rsidR="00166CFF" w:rsidRPr="00D53BC6" w:rsidRDefault="001E3050">
            <w:pPr>
              <w:numPr>
                <w:ilvl w:val="0"/>
                <w:numId w:val="3"/>
              </w:numPr>
              <w:pBdr>
                <w:top w:val="nil"/>
                <w:left w:val="nil"/>
                <w:bottom w:val="nil"/>
                <w:right w:val="nil"/>
                <w:between w:val="nil"/>
              </w:pBdr>
              <w:ind w:left="0" w:right="1"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La Contralora Municipal informó que </w:t>
            </w:r>
            <w:r w:rsidRPr="00D53BC6">
              <w:rPr>
                <w:rFonts w:ascii="Palatino Linotype" w:eastAsia="Palatino Linotype" w:hAnsi="Palatino Linotype" w:cs="Palatino Linotype"/>
                <w:b/>
                <w:bCs/>
                <w:color w:val="000000"/>
              </w:rPr>
              <w:t>en el periodo requerido, no se localizó información relacionada</w:t>
            </w:r>
            <w:r w:rsidRPr="00D53BC6">
              <w:rPr>
                <w:rFonts w:ascii="Palatino Linotype" w:eastAsia="Palatino Linotype" w:hAnsi="Palatino Linotype" w:cs="Palatino Linotype"/>
                <w:color w:val="000000"/>
              </w:rPr>
              <w:t xml:space="preserve"> con la solicitud de información.</w:t>
            </w:r>
          </w:p>
        </w:tc>
        <w:tc>
          <w:tcPr>
            <w:tcW w:w="2551" w:type="dxa"/>
          </w:tcPr>
          <w:p w:rsidR="00166CFF" w:rsidRPr="00D53BC6" w:rsidRDefault="001E3050">
            <w:pPr>
              <w:ind w:right="1"/>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El requerimiento fue atendido por los Servidores Públicos Habilitados competentes.</w:t>
            </w:r>
          </w:p>
          <w:p w:rsidR="00654953" w:rsidRPr="00D53BC6" w:rsidRDefault="00654953">
            <w:pPr>
              <w:ind w:right="1"/>
              <w:jc w:val="both"/>
              <w:rPr>
                <w:rFonts w:ascii="Palatino Linotype" w:eastAsia="Palatino Linotype" w:hAnsi="Palatino Linotype" w:cs="Palatino Linotype"/>
                <w:b/>
                <w:bCs/>
              </w:rPr>
            </w:pPr>
          </w:p>
          <w:p w:rsidR="00166CFF" w:rsidRPr="00D53BC6" w:rsidRDefault="001E3050">
            <w:pPr>
              <w:ind w:right="1"/>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(Hechos negativos)</w:t>
            </w:r>
          </w:p>
        </w:tc>
      </w:tr>
    </w:tbl>
    <w:p w:rsidR="00166CFF" w:rsidRDefault="00166CFF">
      <w:pPr>
        <w:spacing w:line="360" w:lineRule="auto"/>
        <w:ind w:right="1"/>
        <w:jc w:val="both"/>
        <w:rPr>
          <w:rFonts w:ascii="Palatino Linotype" w:eastAsia="Palatino Linotype" w:hAnsi="Palatino Linotype" w:cs="Palatino Linotype"/>
        </w:rPr>
      </w:pPr>
    </w:p>
    <w:p w:rsidR="008444E9" w:rsidRPr="00D53BC6" w:rsidRDefault="008444E9">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Posteriormente, el</w:t>
      </w:r>
      <w:r w:rsidRPr="00D53BC6">
        <w:rPr>
          <w:rFonts w:ascii="Palatino Linotype" w:eastAsia="Palatino Linotype" w:hAnsi="Palatino Linotype" w:cs="Palatino Linotype"/>
          <w:b/>
          <w:bCs/>
        </w:rPr>
        <w:t xml:space="preserve"> RECURRENTE </w:t>
      </w:r>
      <w:r w:rsidRPr="00D53BC6">
        <w:rPr>
          <w:rFonts w:ascii="Palatino Linotype" w:eastAsia="Palatino Linotype" w:hAnsi="Palatino Linotype" w:cs="Palatino Linotype"/>
        </w:rPr>
        <w:t xml:space="preserve">se inconformó por </w:t>
      </w:r>
      <w:r w:rsidRPr="00D53BC6">
        <w:rPr>
          <w:rFonts w:ascii="Palatino Linotype" w:eastAsia="Palatino Linotype" w:hAnsi="Palatino Linotype" w:cs="Palatino Linotype"/>
          <w:b/>
          <w:bCs/>
        </w:rPr>
        <w:t>la negativa de la información solicitada.</w:t>
      </w:r>
    </w:p>
    <w:p w:rsidR="00166CFF" w:rsidRPr="00D53BC6" w:rsidRDefault="00166CFF">
      <w:pPr>
        <w:rPr>
          <w:rFonts w:ascii="Palatino Linotype" w:eastAsia="Palatino Linotype" w:hAnsi="Palatino Linotype" w:cs="Palatino Linotype"/>
          <w:color w:val="000000"/>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lastRenderedPageBreak/>
        <w:t xml:space="preserve">Así, mediante un acto jurídico posterior como lo es el informe justificado,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w:t>
      </w:r>
      <w:r w:rsidRPr="00D53BC6">
        <w:rPr>
          <w:rFonts w:ascii="Palatino Linotype" w:eastAsia="Palatino Linotype" w:hAnsi="Palatino Linotype" w:cs="Palatino Linotype"/>
          <w:b/>
          <w:bCs/>
        </w:rPr>
        <w:t>ratificó la respuesta.</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En atención a lo expuesto, es necesario señalar que se obvia el análisis de la competencia por parte del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para generar, administrar o poseer la información solicitada, dado que éste ha asumido la misma, tan es así que hizo entrega de la misma.</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Del análisis realizado a los documentos remitidos, se advierte que la Directora de Desarrollo social atendió de manera puntual el requerimiento planteado en la solicitud de información, como se observa:</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noProof/>
        </w:rPr>
        <w:drawing>
          <wp:inline distT="0" distB="0" distL="0" distR="0">
            <wp:extent cx="4615191" cy="1285998"/>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615191" cy="1285998"/>
                    </a:xfrm>
                    <a:prstGeom prst="rect">
                      <a:avLst/>
                    </a:prstGeom>
                    <a:ln/>
                  </pic:spPr>
                </pic:pic>
              </a:graphicData>
            </a:graphic>
          </wp:inline>
        </w:drawing>
      </w: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w:t>
      </w: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noProof/>
        </w:rPr>
        <w:lastRenderedPageBreak/>
        <w:drawing>
          <wp:inline distT="0" distB="0" distL="0" distR="0">
            <wp:extent cx="4706347" cy="241935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4724887" cy="2428881"/>
                    </a:xfrm>
                    <a:prstGeom prst="rect">
                      <a:avLst/>
                    </a:prstGeom>
                    <a:ln/>
                  </pic:spPr>
                </pic:pic>
              </a:graphicData>
            </a:graphic>
          </wp:inline>
        </w:drawing>
      </w: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w:t>
      </w: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noProof/>
        </w:rPr>
        <w:drawing>
          <wp:inline distT="0" distB="0" distL="0" distR="0">
            <wp:extent cx="4630437" cy="2531002"/>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630437" cy="2531002"/>
                    </a:xfrm>
                    <a:prstGeom prst="rect">
                      <a:avLst/>
                    </a:prstGeom>
                    <a:ln/>
                  </pic:spPr>
                </pic:pic>
              </a:graphicData>
            </a:graphic>
          </wp:inline>
        </w:drawing>
      </w: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w:t>
      </w:r>
    </w:p>
    <w:p w:rsidR="00166CFF" w:rsidRPr="00D53BC6"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noProof/>
        </w:rPr>
        <w:lastRenderedPageBreak/>
        <w:drawing>
          <wp:inline distT="0" distB="0" distL="0" distR="0">
            <wp:extent cx="4703421" cy="204656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4703421" cy="2046561"/>
                    </a:xfrm>
                    <a:prstGeom prst="rect">
                      <a:avLst/>
                    </a:prstGeom>
                    <a:ln/>
                  </pic:spPr>
                </pic:pic>
              </a:graphicData>
            </a:graphic>
          </wp:inline>
        </w:drawing>
      </w:r>
    </w:p>
    <w:p w:rsidR="00166CFF" w:rsidRDefault="001E3050">
      <w:pPr>
        <w:spacing w:line="360" w:lineRule="auto"/>
        <w:ind w:right="1"/>
        <w:jc w:val="center"/>
        <w:rPr>
          <w:rFonts w:ascii="Palatino Linotype" w:eastAsia="Palatino Linotype" w:hAnsi="Palatino Linotype" w:cs="Palatino Linotype"/>
          <w:b/>
          <w:bCs/>
        </w:rPr>
      </w:pPr>
      <w:r w:rsidRPr="00D53BC6">
        <w:rPr>
          <w:rFonts w:ascii="Palatino Linotype" w:eastAsia="Palatino Linotype" w:hAnsi="Palatino Linotype" w:cs="Palatino Linotype"/>
          <w:b/>
          <w:bCs/>
        </w:rPr>
        <w:t>(…)</w:t>
      </w:r>
    </w:p>
    <w:p w:rsidR="008444E9" w:rsidRPr="00D53BC6" w:rsidRDefault="008444E9">
      <w:pPr>
        <w:spacing w:line="360" w:lineRule="auto"/>
        <w:ind w:right="1"/>
        <w:jc w:val="center"/>
        <w:rPr>
          <w:rFonts w:ascii="Palatino Linotype" w:eastAsia="Palatino Linotype" w:hAnsi="Palatino Linotype" w:cs="Palatino Linotype"/>
          <w:b/>
          <w:bCs/>
        </w:rPr>
      </w:pPr>
    </w:p>
    <w:p w:rsidR="00654953" w:rsidRPr="00D53BC6" w:rsidRDefault="00654953" w:rsidP="00654953">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No obstante, se precisa que </w:t>
      </w:r>
      <w:r w:rsidRPr="00D53BC6">
        <w:rPr>
          <w:rFonts w:ascii="Palatino Linotype" w:eastAsia="Palatino Linotype" w:hAnsi="Palatino Linotype" w:cs="Palatino Linotype"/>
          <w:b/>
          <w:bCs/>
        </w:rPr>
        <w:t xml:space="preserve">el padrón de </w:t>
      </w:r>
      <w:r w:rsidRPr="00D53BC6">
        <w:rPr>
          <w:rFonts w:ascii="Palatino Linotype" w:eastAsia="Palatino Linotype" w:hAnsi="Palatino Linotype" w:cs="Palatino Linotype"/>
          <w:b/>
          <w:color w:val="000000"/>
        </w:rPr>
        <w:t xml:space="preserve">beneficiarios del programa </w:t>
      </w:r>
      <w:r w:rsidRPr="00D53BC6">
        <w:rPr>
          <w:rFonts w:ascii="Palatino Linotype" w:eastAsia="Palatino Linotype" w:hAnsi="Palatino Linotype" w:cs="Palatino Linotype"/>
          <w:b/>
          <w:bCs/>
          <w:color w:val="000000"/>
        </w:rPr>
        <w:t>“Merecemos Vivir Mejor”</w:t>
      </w:r>
      <w:r w:rsidRPr="00D53BC6">
        <w:rPr>
          <w:rFonts w:ascii="Palatino Linotype" w:eastAsia="Palatino Linotype" w:hAnsi="Palatino Linotype" w:cs="Palatino Linotype"/>
          <w:b/>
          <w:color w:val="000000"/>
        </w:rPr>
        <w:t xml:space="preserve"> del ejercicio fiscal </w:t>
      </w:r>
      <w:r w:rsidRPr="00D53BC6">
        <w:rPr>
          <w:rFonts w:ascii="Palatino Linotype" w:eastAsia="Palatino Linotype" w:hAnsi="Palatino Linotype" w:cs="Palatino Linotype"/>
          <w:b/>
          <w:bCs/>
          <w:color w:val="000000"/>
        </w:rPr>
        <w:t>2022, fue remitido en una versión pública excesiva, al suprimirse los apellidos de los beneficiarios</w:t>
      </w:r>
      <w:r w:rsidR="001E3050" w:rsidRPr="00D53BC6">
        <w:rPr>
          <w:rFonts w:ascii="Palatino Linotype" w:eastAsia="Palatino Linotype" w:hAnsi="Palatino Linotype" w:cs="Palatino Linotype"/>
          <w:b/>
          <w:bCs/>
          <w:color w:val="000000"/>
        </w:rPr>
        <w:t>; como se expuso previamente</w:t>
      </w:r>
      <w:r w:rsidRPr="00D53BC6">
        <w:rPr>
          <w:rFonts w:ascii="Palatino Linotype" w:eastAsia="Palatino Linotype" w:hAnsi="Palatino Linotype" w:cs="Palatino Linotype"/>
          <w:b/>
          <w:bCs/>
          <w:color w:val="000000"/>
        </w:rPr>
        <w:t>.</w:t>
      </w:r>
    </w:p>
    <w:p w:rsidR="00654953" w:rsidRPr="00D53BC6" w:rsidRDefault="00654953" w:rsidP="00654953">
      <w:pPr>
        <w:spacing w:line="360" w:lineRule="auto"/>
        <w:ind w:right="1"/>
        <w:jc w:val="both"/>
        <w:rPr>
          <w:rFonts w:ascii="Palatino Linotype" w:eastAsia="Palatino Linotype" w:hAnsi="Palatino Linotype" w:cs="Palatino Linotype"/>
        </w:rPr>
      </w:pPr>
    </w:p>
    <w:p w:rsidR="00654953" w:rsidRPr="00D53BC6" w:rsidRDefault="00654953">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Al respecto, se advierte que la Ley de Trans</w:t>
      </w:r>
      <w:r w:rsidR="001E3050" w:rsidRPr="00D53BC6">
        <w:rPr>
          <w:rFonts w:ascii="Palatino Linotype" w:eastAsia="Palatino Linotype" w:hAnsi="Palatino Linotype" w:cs="Palatino Linotype"/>
        </w:rPr>
        <w:t>parencia y Acceso a la Información Pública del Estado de México y Municipios, establece en la fracción XIV del artículo 92, lo siguiente:</w:t>
      </w:r>
    </w:p>
    <w:p w:rsidR="001E3050" w:rsidRPr="00D53BC6" w:rsidRDefault="001E3050" w:rsidP="001E3050">
      <w:pPr>
        <w:ind w:left="567" w:right="567"/>
        <w:jc w:val="center"/>
        <w:rPr>
          <w:rFonts w:ascii="Palatino Linotype" w:eastAsia="Palatino Linotype" w:hAnsi="Palatino Linotype" w:cs="Palatino Linotype"/>
          <w:b/>
          <w:i/>
        </w:rPr>
      </w:pPr>
      <w:r w:rsidRPr="00D53BC6">
        <w:rPr>
          <w:rFonts w:ascii="Palatino Linotype" w:eastAsia="Palatino Linotype" w:hAnsi="Palatino Linotype" w:cs="Palatino Linotype"/>
          <w:b/>
          <w:i/>
        </w:rPr>
        <w:t>Capítulo II</w:t>
      </w:r>
    </w:p>
    <w:p w:rsidR="001E3050" w:rsidRPr="00D53BC6" w:rsidRDefault="001E3050" w:rsidP="001E3050">
      <w:pPr>
        <w:ind w:left="567" w:right="567"/>
        <w:jc w:val="center"/>
        <w:rPr>
          <w:rFonts w:ascii="Palatino Linotype" w:eastAsia="Palatino Linotype" w:hAnsi="Palatino Linotype" w:cs="Palatino Linotype"/>
          <w:b/>
          <w:i/>
        </w:rPr>
      </w:pPr>
      <w:r w:rsidRPr="00D53BC6">
        <w:rPr>
          <w:rFonts w:ascii="Palatino Linotype" w:eastAsia="Palatino Linotype" w:hAnsi="Palatino Linotype" w:cs="Palatino Linotype"/>
          <w:b/>
          <w:i/>
        </w:rPr>
        <w:t>De las Obligaciones de Transparencia Comunes</w:t>
      </w:r>
    </w:p>
    <w:p w:rsidR="001E3050" w:rsidRPr="00D53BC6" w:rsidRDefault="001E3050" w:rsidP="001E3050">
      <w:pPr>
        <w:ind w:left="567" w:right="567"/>
        <w:jc w:val="center"/>
        <w:rPr>
          <w:rFonts w:ascii="Palatino Linotype" w:eastAsia="Palatino Linotype" w:hAnsi="Palatino Linotype" w:cs="Palatino Linotype"/>
          <w:b/>
          <w:i/>
        </w:rPr>
      </w:pP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b/>
          <w:i/>
        </w:rPr>
        <w:t>Artículo 92. Los sujetos obligados deberán poner a disposición del público de manera permanente y actualizada de forma sencilla, precisa y entendible, en los respectivos medios electrónicos,</w:t>
      </w:r>
      <w:r w:rsidRPr="00D53BC6">
        <w:rPr>
          <w:rFonts w:ascii="Palatino Linotype" w:eastAsia="Palatino Linotype" w:hAnsi="Palatino Linotype" w:cs="Palatino Linotype"/>
          <w:i/>
        </w:rPr>
        <w:t xml:space="preserve"> de acuerdo con sus facultades, atribuciones, funciones u objeto social, según corresponda, la información, por lo menos, de los temas, documentos y políticas que a continuación se señalan:</w:t>
      </w:r>
    </w:p>
    <w:p w:rsidR="001E3050" w:rsidRPr="00D53BC6" w:rsidRDefault="001E3050" w:rsidP="001E3050">
      <w:pPr>
        <w:ind w:left="567" w:right="567"/>
        <w:jc w:val="both"/>
        <w:rPr>
          <w:rFonts w:ascii="Palatino Linotype" w:eastAsia="Palatino Linotype" w:hAnsi="Palatino Linotype" w:cs="Palatino Linotype"/>
          <w:b/>
          <w:i/>
        </w:rPr>
      </w:pPr>
      <w:r w:rsidRPr="00D53BC6">
        <w:rPr>
          <w:rFonts w:ascii="Palatino Linotype" w:eastAsia="Palatino Linotype" w:hAnsi="Palatino Linotype" w:cs="Palatino Linotype"/>
          <w:b/>
          <w:i/>
        </w:rPr>
        <w:t>(…)</w:t>
      </w:r>
    </w:p>
    <w:p w:rsidR="001E3050" w:rsidRPr="00D53BC6" w:rsidRDefault="001E3050" w:rsidP="001E3050">
      <w:pPr>
        <w:ind w:left="567" w:right="567"/>
        <w:jc w:val="both"/>
        <w:rPr>
          <w:rFonts w:ascii="Palatino Linotype" w:eastAsia="Palatino Linotype" w:hAnsi="Palatino Linotype" w:cs="Palatino Linotype"/>
          <w:b/>
          <w:i/>
        </w:rPr>
      </w:pPr>
      <w:r w:rsidRPr="00D53BC6">
        <w:rPr>
          <w:rFonts w:ascii="Palatino Linotype" w:eastAsia="Palatino Linotype" w:hAnsi="Palatino Linotype" w:cs="Palatino Linotype"/>
          <w:b/>
          <w:i/>
        </w:rPr>
        <w:t xml:space="preserve">XIV. La información de los programas de subsidios, estímulos y apoyos, en el que se deberá informar respecto de los programas de transferencia, de servicios, de infraestructura social y de subsidio, en los que se deberá contener lo siguiente: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a) Área;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b) Denominación del programa;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lastRenderedPageBreak/>
        <w:t xml:space="preserve">c) Periodo de vigencia;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d) Diseño, objetivos y alcances;</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e) Metas físicas;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f) Población beneficiada estimada;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g) Monto aprobado, modificado y ejercido, así como los calendarios de su programación presupuestal;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h) Requisitos y procedimientos de acceso;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i) Procedimiento de queja o inconformidad ciudadana;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j) Mecanismos de exigibilidad;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k) Mecanismos e informes de evaluación y seguimiento de recomendaciones;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l) Indicadores con nombre, definición, método de cálculo, unidad de medida; dimensión, frecuencia de medición, nombre de las bases de datos utilizadas para su cálculo;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m) Formas de participación social;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n) Articulación con otros programas sociales;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ñ) Vínculo a las reglas de operación o documento equivalente; </w:t>
      </w:r>
    </w:p>
    <w:p w:rsidR="001E3050" w:rsidRPr="00D53BC6" w:rsidRDefault="001E3050" w:rsidP="001E3050">
      <w:pPr>
        <w:ind w:left="567" w:right="567"/>
        <w:jc w:val="both"/>
        <w:rPr>
          <w:rFonts w:ascii="Palatino Linotype" w:eastAsia="Palatino Linotype" w:hAnsi="Palatino Linotype" w:cs="Palatino Linotype"/>
          <w:i/>
        </w:rPr>
      </w:pPr>
      <w:r w:rsidRPr="00D53BC6">
        <w:rPr>
          <w:rFonts w:ascii="Palatino Linotype" w:eastAsia="Palatino Linotype" w:hAnsi="Palatino Linotype" w:cs="Palatino Linotype"/>
          <w:i/>
        </w:rPr>
        <w:t xml:space="preserve">o) Informes periódicos sobre la ejecución y los resultados de las evaluaciones realizadas; y </w:t>
      </w:r>
    </w:p>
    <w:p w:rsidR="001E3050" w:rsidRPr="00D53BC6" w:rsidRDefault="001E3050" w:rsidP="001E3050">
      <w:pPr>
        <w:ind w:left="567" w:right="567"/>
        <w:jc w:val="both"/>
        <w:rPr>
          <w:rFonts w:ascii="Palatino Linotype" w:eastAsia="Palatino Linotype" w:hAnsi="Palatino Linotype" w:cs="Palatino Linotype"/>
          <w:b/>
          <w:i/>
        </w:rPr>
      </w:pPr>
      <w:r w:rsidRPr="00D53BC6">
        <w:rPr>
          <w:rFonts w:ascii="Palatino Linotype" w:eastAsia="Palatino Linotype" w:hAnsi="Palatino Linotype" w:cs="Palatino Linotype"/>
          <w:b/>
          <w:i/>
        </w:rPr>
        <w:t>p) Padrón de beneficiarios mismo que deberá contener los siguientes datos</w:t>
      </w:r>
      <w:r w:rsidRPr="00D53BC6">
        <w:rPr>
          <w:rFonts w:ascii="Palatino Linotype" w:eastAsia="Palatino Linotype" w:hAnsi="Palatino Linotype" w:cs="Palatino Linotype"/>
          <w:b/>
          <w:i/>
          <w:u w:val="single"/>
        </w:rPr>
        <w:t>: nombre de la persona física</w:t>
      </w:r>
      <w:r w:rsidRPr="00D53BC6">
        <w:rPr>
          <w:rFonts w:ascii="Palatino Linotype" w:eastAsia="Palatino Linotype" w:hAnsi="Palatino Linotype" w:cs="Palatino Linotype"/>
          <w:b/>
          <w:i/>
        </w:rPr>
        <w:t xml:space="preserve"> o denominación social de las personas jurídicas colectivas beneficiadas, el monto, recurso, beneficio o apoyo otorgado para cada una de ellas, unidad territorial, en su caso, edad y sexo.</w:t>
      </w:r>
    </w:p>
    <w:p w:rsidR="00654953" w:rsidRPr="00D53BC6" w:rsidRDefault="00654953" w:rsidP="001E3050">
      <w:pPr>
        <w:spacing w:line="360" w:lineRule="auto"/>
        <w:ind w:right="1"/>
        <w:jc w:val="both"/>
        <w:rPr>
          <w:rFonts w:ascii="Palatino Linotype" w:eastAsia="Palatino Linotype" w:hAnsi="Palatino Linotype" w:cs="Palatino Linotype"/>
        </w:rPr>
      </w:pPr>
    </w:p>
    <w:p w:rsidR="00C03945" w:rsidRPr="00D53BC6" w:rsidRDefault="00C03945" w:rsidP="00C03945">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Así, </w:t>
      </w:r>
      <w:r w:rsidRPr="00D53BC6">
        <w:rPr>
          <w:rFonts w:ascii="Palatino Linotype" w:hAnsi="Palatino Linotype" w:cs="Arial"/>
        </w:rPr>
        <w:t>materia de transparencia se determina que es pública aquella información relativa a los beneficiarios de programas de apoyo, subsidios, estímulos o apoyos, dicho padrón debe contener información como nombre, monto, recurso, edad y sexo.</w:t>
      </w:r>
    </w:p>
    <w:p w:rsidR="00C03945" w:rsidRPr="00D53BC6" w:rsidRDefault="00C03945" w:rsidP="00C03945">
      <w:pPr>
        <w:spacing w:line="360" w:lineRule="auto"/>
        <w:ind w:right="1"/>
        <w:jc w:val="both"/>
        <w:rPr>
          <w:rFonts w:ascii="Palatino Linotype" w:eastAsia="Palatino Linotype" w:hAnsi="Palatino Linotype" w:cs="Palatino Linotype"/>
        </w:rPr>
      </w:pPr>
    </w:p>
    <w:p w:rsidR="00C03945" w:rsidRPr="00D53BC6" w:rsidRDefault="00C03945" w:rsidP="00C03945">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Correlativo a lo anterior, los </w:t>
      </w:r>
      <w:r w:rsidRPr="00D53BC6">
        <w:rPr>
          <w:rFonts w:ascii="Palatino Linotype" w:hAnsi="Palatino Linotype" w:cs="Arial"/>
          <w:i/>
        </w:rPr>
        <w:t>Lineamientos técnicos generales para la publicación, homologación y estandarización de la información de las obligaciones establecidas en el título quinto, que deben de difundir los sujetos obligados en los portales de Internet y en la Plataforma Nacional de Transparencia</w:t>
      </w:r>
      <w:r w:rsidRPr="00D53BC6">
        <w:rPr>
          <w:rStyle w:val="Refdenotaalpie"/>
          <w:rFonts w:ascii="Palatino Linotype" w:hAnsi="Palatino Linotype" w:cs="Arial"/>
          <w:i/>
        </w:rPr>
        <w:footnoteReference w:id="5"/>
      </w:r>
      <w:r w:rsidRPr="00D53BC6">
        <w:rPr>
          <w:rFonts w:ascii="Palatino Linotype" w:hAnsi="Palatino Linotype" w:cs="Arial"/>
        </w:rPr>
        <w:t>al respecto establecen lo siguiente:</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lastRenderedPageBreak/>
        <w:t>Por cada programa se publicará en formatos explotables el padrón de participantes o beneficiarios actualizado (salvaguardando los datos personales), e información sobre los recursos económicos o en especie entregados:</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Criterio 51    Hipervínculo al padrón de beneficiarios o participantes. Deberá publicarse en un documento explotable y constituido con los siguientes campos:</w:t>
      </w:r>
    </w:p>
    <w:p w:rsidR="00C03945" w:rsidRPr="00D53BC6" w:rsidRDefault="00C03945" w:rsidP="00C57F05">
      <w:pPr>
        <w:pStyle w:val="Prrafodelista"/>
        <w:ind w:left="567" w:right="822"/>
        <w:jc w:val="both"/>
        <w:rPr>
          <w:rFonts w:ascii="Palatino Linotype" w:hAnsi="Palatino Linotype" w:cs="Arial"/>
          <w:b/>
          <w:i/>
          <w:sz w:val="24"/>
        </w:rPr>
      </w:pPr>
      <w:r w:rsidRPr="00D53BC6">
        <w:rPr>
          <w:rFonts w:ascii="Palatino Linotype" w:hAnsi="Palatino Linotype" w:cs="Arial"/>
          <w:b/>
          <w:i/>
          <w:sz w:val="24"/>
        </w:rPr>
        <w:t xml:space="preserve">Criterio 52    Nombre de la persona física </w:t>
      </w:r>
      <w:r w:rsidRPr="00D53BC6">
        <w:rPr>
          <w:rFonts w:ascii="Palatino Linotype" w:hAnsi="Palatino Linotype" w:cs="Arial"/>
          <w:b/>
          <w:i/>
          <w:sz w:val="24"/>
          <w:u w:val="single"/>
        </w:rPr>
        <w:t>(nombre[s], primer apellido, segundo apellido),</w:t>
      </w:r>
      <w:r w:rsidRPr="00D53BC6">
        <w:rPr>
          <w:rFonts w:ascii="Palatino Linotype" w:hAnsi="Palatino Linotype" w:cs="Arial"/>
          <w:b/>
          <w:i/>
          <w:sz w:val="24"/>
        </w:rPr>
        <w:t xml:space="preserve"> denominación social de las personas morales beneficiarias o denominación (en su caso) de un grupo constituido por varias personas físicas o morales, de acuerdo con la identificación que el sujeto obligado le otorgue</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Criterio 53    Monto (en pesos), recurso, beneficio o apoyo (en dinero o en especie) otorgado a cada una de las personas físicas, morales o grupos que el sujeto obligado determine</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Se incluirán los siguientes datos, únicamente cuando formen parte de los criterios y requisitos de elegibilidad previstos en los programas de desarrollo social, excepto aquellos casos en el que el beneficiario directo sea un(a) niño(a), adolescente (33) o víctima del delito:</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Criterio 54    Unidad territorial (34) (colonia, municipio, delegación, estado y/o país)</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Criterio 55    Edad (en su caso)</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Criterio 56    Sexo (en su caso)</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Respecto a la información estadística de programas que sean abiertos a la población en general y de los cuales no se genere un padrón de beneficiarios, se publicará:</w:t>
      </w:r>
    </w:p>
    <w:p w:rsidR="00C03945" w:rsidRPr="00D53BC6" w:rsidRDefault="00C03945" w:rsidP="00C57F05">
      <w:pPr>
        <w:pStyle w:val="Prrafodelista"/>
        <w:ind w:left="567" w:right="822"/>
        <w:jc w:val="both"/>
        <w:rPr>
          <w:rFonts w:ascii="Palatino Linotype" w:hAnsi="Palatino Linotype" w:cs="Arial"/>
          <w:i/>
          <w:sz w:val="24"/>
        </w:rPr>
      </w:pPr>
      <w:r w:rsidRPr="00D53BC6">
        <w:rPr>
          <w:rFonts w:ascii="Palatino Linotype" w:hAnsi="Palatino Linotype" w:cs="Arial"/>
          <w:i/>
          <w:sz w:val="24"/>
        </w:rPr>
        <w:t>Criterio 57    Hipervínculo a información estadística general de las personas beneficiadas por el programa (35)</w:t>
      </w:r>
    </w:p>
    <w:p w:rsidR="00C03945" w:rsidRPr="00D53BC6" w:rsidRDefault="00C03945" w:rsidP="00C03945">
      <w:pPr>
        <w:spacing w:line="360" w:lineRule="auto"/>
        <w:ind w:right="1"/>
        <w:jc w:val="both"/>
        <w:rPr>
          <w:rFonts w:ascii="Palatino Linotype" w:eastAsia="Palatino Linotype" w:hAnsi="Palatino Linotype" w:cs="Palatino Linotype"/>
        </w:rPr>
      </w:pPr>
    </w:p>
    <w:p w:rsidR="00E378E1" w:rsidRPr="00D53BC6" w:rsidRDefault="00E378E1" w:rsidP="00E378E1">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Asimismo, </w:t>
      </w:r>
      <w:r w:rsidRPr="00D53BC6">
        <w:rPr>
          <w:rFonts w:ascii="Palatino Linotype" w:hAnsi="Palatino Linotype" w:cs="Arial"/>
        </w:rPr>
        <w:t>proporciona el formato 15 b LGT_Art_70_Fr_XV, el cual contiene lo siguiente:</w:t>
      </w:r>
    </w:p>
    <w:p w:rsidR="00E378E1" w:rsidRPr="00D53BC6" w:rsidRDefault="00E378E1" w:rsidP="00E378E1">
      <w:pPr>
        <w:spacing w:line="360" w:lineRule="auto"/>
        <w:ind w:right="1"/>
        <w:jc w:val="center"/>
        <w:rPr>
          <w:rFonts w:ascii="Palatino Linotype" w:eastAsia="Palatino Linotype" w:hAnsi="Palatino Linotype" w:cs="Palatino Linotype"/>
        </w:rPr>
      </w:pPr>
      <w:r w:rsidRPr="00D53BC6">
        <w:rPr>
          <w:rFonts w:ascii="Palatino Linotype" w:hAnsi="Palatino Linotype"/>
          <w:noProof/>
        </w:rPr>
        <w:drawing>
          <wp:inline distT="0" distB="0" distL="0" distR="0" wp14:anchorId="23DCA801" wp14:editId="6325EB0E">
            <wp:extent cx="5690249" cy="150495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312" t="14448" r="9775" b="45155"/>
                    <a:stretch/>
                  </pic:blipFill>
                  <pic:spPr bwMode="auto">
                    <a:xfrm>
                      <a:off x="0" y="0"/>
                      <a:ext cx="5700400" cy="1507635"/>
                    </a:xfrm>
                    <a:prstGeom prst="rect">
                      <a:avLst/>
                    </a:prstGeom>
                    <a:ln>
                      <a:noFill/>
                    </a:ln>
                    <a:extLst>
                      <a:ext uri="{53640926-AAD7-44D8-BBD7-CCE9431645EC}">
                        <a14:shadowObscured xmlns:a14="http://schemas.microsoft.com/office/drawing/2010/main"/>
                      </a:ext>
                    </a:extLst>
                  </pic:spPr>
                </pic:pic>
              </a:graphicData>
            </a:graphic>
          </wp:inline>
        </w:drawing>
      </w:r>
    </w:p>
    <w:p w:rsidR="00E378E1" w:rsidRPr="00D53BC6" w:rsidRDefault="00E378E1" w:rsidP="00E378E1">
      <w:pPr>
        <w:spacing w:line="360" w:lineRule="auto"/>
        <w:ind w:right="1"/>
        <w:jc w:val="both"/>
        <w:rPr>
          <w:rFonts w:ascii="Palatino Linotype" w:eastAsia="Palatino Linotype" w:hAnsi="Palatino Linotype" w:cs="Palatino Linotype"/>
        </w:rPr>
      </w:pPr>
    </w:p>
    <w:p w:rsidR="00E378E1" w:rsidRPr="00D53BC6" w:rsidRDefault="00E378E1" w:rsidP="00E378E1">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lastRenderedPageBreak/>
        <w:t xml:space="preserve">Es así que, conforme a los establecido en la normatividad, </w:t>
      </w:r>
      <w:r w:rsidRPr="00D53BC6">
        <w:rPr>
          <w:rFonts w:ascii="Palatino Linotype" w:hAnsi="Palatino Linotype" w:cs="Arial"/>
        </w:rPr>
        <w:t>la información relativa al padrón de beneficiarios de programas sociales, debe ser pública y debe contener al menos lo siguiente:</w:t>
      </w:r>
    </w:p>
    <w:p w:rsidR="00E378E1" w:rsidRPr="00D53BC6" w:rsidRDefault="00E378E1" w:rsidP="00C57F05">
      <w:pPr>
        <w:pStyle w:val="Prrafodelista"/>
        <w:numPr>
          <w:ilvl w:val="0"/>
          <w:numId w:val="9"/>
        </w:numPr>
        <w:ind w:left="567" w:right="567" w:hanging="141"/>
        <w:jc w:val="both"/>
        <w:rPr>
          <w:rFonts w:ascii="Palatino Linotype" w:hAnsi="Palatino Linotype"/>
          <w:b/>
          <w:i/>
          <w:sz w:val="24"/>
        </w:rPr>
      </w:pPr>
      <w:r w:rsidRPr="00D53BC6">
        <w:rPr>
          <w:rFonts w:ascii="Palatino Linotype" w:hAnsi="Palatino Linotype"/>
          <w:b/>
          <w:i/>
          <w:sz w:val="24"/>
        </w:rPr>
        <w:t>Nombre de la persona física o denominación social de las personas morales beneficiarias;</w:t>
      </w:r>
    </w:p>
    <w:p w:rsidR="00E378E1" w:rsidRPr="00D53BC6" w:rsidRDefault="00E378E1" w:rsidP="00C57F05">
      <w:pPr>
        <w:pStyle w:val="Prrafodelista"/>
        <w:numPr>
          <w:ilvl w:val="0"/>
          <w:numId w:val="9"/>
        </w:numPr>
        <w:ind w:left="567" w:right="567" w:hanging="141"/>
        <w:jc w:val="both"/>
        <w:rPr>
          <w:rFonts w:ascii="Palatino Linotype" w:hAnsi="Palatino Linotype"/>
          <w:b/>
          <w:i/>
          <w:sz w:val="24"/>
        </w:rPr>
      </w:pPr>
      <w:r w:rsidRPr="00D53BC6">
        <w:rPr>
          <w:rFonts w:ascii="Palatino Linotype" w:hAnsi="Palatino Linotype"/>
          <w:b/>
          <w:i/>
          <w:sz w:val="24"/>
        </w:rPr>
        <w:t>Monto;</w:t>
      </w:r>
    </w:p>
    <w:p w:rsidR="00E378E1" w:rsidRPr="00D53BC6" w:rsidRDefault="00E378E1" w:rsidP="00C57F05">
      <w:pPr>
        <w:pStyle w:val="Prrafodelista"/>
        <w:numPr>
          <w:ilvl w:val="0"/>
          <w:numId w:val="9"/>
        </w:numPr>
        <w:ind w:left="567" w:right="567" w:hanging="141"/>
        <w:jc w:val="both"/>
        <w:rPr>
          <w:rFonts w:ascii="Palatino Linotype" w:hAnsi="Palatino Linotype"/>
          <w:b/>
          <w:i/>
          <w:sz w:val="24"/>
        </w:rPr>
      </w:pPr>
      <w:r w:rsidRPr="00D53BC6">
        <w:rPr>
          <w:rFonts w:ascii="Palatino Linotype" w:hAnsi="Palatino Linotype"/>
          <w:b/>
          <w:i/>
          <w:sz w:val="24"/>
        </w:rPr>
        <w:t>Recurso, beneficio o apoyo otorgado para cada una de ellas; y,</w:t>
      </w:r>
    </w:p>
    <w:p w:rsidR="00C57F05" w:rsidRPr="00D53BC6" w:rsidRDefault="00E378E1" w:rsidP="00C57F05">
      <w:pPr>
        <w:pStyle w:val="Prrafodelista"/>
        <w:numPr>
          <w:ilvl w:val="0"/>
          <w:numId w:val="9"/>
        </w:numPr>
        <w:ind w:left="567" w:right="567" w:hanging="141"/>
        <w:jc w:val="both"/>
        <w:rPr>
          <w:rFonts w:ascii="Palatino Linotype" w:hAnsi="Palatino Linotype"/>
          <w:b/>
          <w:i/>
          <w:sz w:val="24"/>
        </w:rPr>
      </w:pPr>
      <w:r w:rsidRPr="00D53BC6">
        <w:rPr>
          <w:rFonts w:ascii="Palatino Linotype" w:hAnsi="Palatino Linotype"/>
          <w:b/>
          <w:i/>
          <w:sz w:val="24"/>
        </w:rPr>
        <w:t>Unidad territorial, en su caso, edad y sexo.</w:t>
      </w:r>
    </w:p>
    <w:p w:rsidR="00E378E1" w:rsidRPr="00D53BC6" w:rsidRDefault="00E378E1" w:rsidP="00E378E1">
      <w:pPr>
        <w:spacing w:line="360" w:lineRule="auto"/>
        <w:ind w:right="1"/>
        <w:jc w:val="both"/>
        <w:rPr>
          <w:rFonts w:ascii="Palatino Linotype" w:eastAsia="Palatino Linotype" w:hAnsi="Palatino Linotype" w:cs="Palatino Linotype"/>
        </w:rPr>
      </w:pPr>
    </w:p>
    <w:p w:rsidR="001E3050"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En consecuencia, el </w:t>
      </w:r>
      <w:r w:rsidRPr="00D53BC6">
        <w:rPr>
          <w:rFonts w:ascii="Palatino Linotype" w:eastAsia="Palatino Linotype" w:hAnsi="Palatino Linotype" w:cs="Palatino Linotype"/>
          <w:b/>
        </w:rPr>
        <w:t>SUJETO OBLIGADO</w:t>
      </w:r>
      <w:r w:rsidRPr="00D53BC6">
        <w:rPr>
          <w:rFonts w:ascii="Palatino Linotype" w:eastAsia="Palatino Linotype" w:hAnsi="Palatino Linotype" w:cs="Palatino Linotype"/>
        </w:rPr>
        <w:t xml:space="preserve"> deberá hacer entrega del padrón de beneficiarios </w:t>
      </w:r>
      <w:r w:rsidRPr="00D53BC6">
        <w:rPr>
          <w:rFonts w:ascii="Palatino Linotype" w:eastAsia="Palatino Linotype" w:hAnsi="Palatino Linotype" w:cs="Palatino Linotype"/>
          <w:b/>
          <w:color w:val="000000"/>
        </w:rPr>
        <w:t xml:space="preserve">del Programa </w:t>
      </w:r>
      <w:r w:rsidRPr="00D53BC6">
        <w:rPr>
          <w:rFonts w:ascii="Palatino Linotype" w:eastAsia="Palatino Linotype" w:hAnsi="Palatino Linotype" w:cs="Palatino Linotype"/>
          <w:b/>
          <w:bCs/>
          <w:color w:val="000000"/>
        </w:rPr>
        <w:t>“Merecemos Vivir Mejor”</w:t>
      </w:r>
      <w:r w:rsidRPr="00D53BC6">
        <w:rPr>
          <w:rFonts w:ascii="Palatino Linotype" w:eastAsia="Palatino Linotype" w:hAnsi="Palatino Linotype" w:cs="Palatino Linotype"/>
          <w:b/>
          <w:color w:val="000000"/>
        </w:rPr>
        <w:t xml:space="preserve"> del ejercicio fiscal </w:t>
      </w:r>
      <w:r w:rsidRPr="00D53BC6">
        <w:rPr>
          <w:rFonts w:ascii="Palatino Linotype" w:eastAsia="Palatino Linotype" w:hAnsi="Palatino Linotype" w:cs="Palatino Linotype"/>
          <w:b/>
          <w:bCs/>
          <w:color w:val="000000"/>
        </w:rPr>
        <w:t>2022</w:t>
      </w:r>
      <w:r w:rsidR="00E378E1" w:rsidRPr="00D53BC6">
        <w:rPr>
          <w:rFonts w:ascii="Palatino Linotype" w:eastAsia="Palatino Linotype" w:hAnsi="Palatino Linotype" w:cs="Palatino Linotype"/>
          <w:b/>
          <w:bCs/>
          <w:color w:val="000000"/>
        </w:rPr>
        <w:t>, consistente en la entrega de despensas</w:t>
      </w:r>
      <w:r w:rsidRPr="00D53BC6">
        <w:rPr>
          <w:rFonts w:ascii="Palatino Linotype" w:eastAsia="Palatino Linotype" w:hAnsi="Palatino Linotype" w:cs="Palatino Linotype"/>
          <w:b/>
          <w:bCs/>
          <w:color w:val="000000"/>
        </w:rPr>
        <w:t>, de manera íntegra.</w:t>
      </w:r>
    </w:p>
    <w:p w:rsidR="001E3050" w:rsidRPr="00D53BC6" w:rsidRDefault="001E3050" w:rsidP="001E3050">
      <w:pPr>
        <w:spacing w:line="360" w:lineRule="auto"/>
        <w:ind w:right="1"/>
        <w:jc w:val="both"/>
        <w:rPr>
          <w:rFonts w:ascii="Palatino Linotype" w:eastAsia="Palatino Linotype" w:hAnsi="Palatino Linotype" w:cs="Palatino Linotype"/>
        </w:rPr>
      </w:pPr>
    </w:p>
    <w:p w:rsidR="00166CFF" w:rsidRPr="00D53BC6" w:rsidRDefault="00E378E1">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P</w:t>
      </w:r>
      <w:r w:rsidR="00654953" w:rsidRPr="00D53BC6">
        <w:rPr>
          <w:rFonts w:ascii="Palatino Linotype" w:eastAsia="Palatino Linotype" w:hAnsi="Palatino Linotype" w:cs="Palatino Linotype"/>
        </w:rPr>
        <w:t>recisado lo anterior, es necesario referir que</w:t>
      </w:r>
      <w:r w:rsidRPr="00D53BC6">
        <w:rPr>
          <w:rFonts w:ascii="Palatino Linotype" w:eastAsia="Palatino Linotype" w:hAnsi="Palatino Linotype" w:cs="Palatino Linotype"/>
        </w:rPr>
        <w:t xml:space="preserve">, relativo al </w:t>
      </w:r>
      <w:r w:rsidRPr="00D53BC6">
        <w:rPr>
          <w:rFonts w:ascii="Palatino Linotype" w:eastAsia="Palatino Linotype" w:hAnsi="Palatino Linotype" w:cs="Palatino Linotype"/>
          <w:b/>
        </w:rPr>
        <w:t xml:space="preserve">punto 3 </w:t>
      </w:r>
      <w:r w:rsidRPr="00D53BC6">
        <w:rPr>
          <w:rFonts w:ascii="Palatino Linotype" w:eastAsia="Palatino Linotype" w:hAnsi="Palatino Linotype" w:cs="Palatino Linotype"/>
        </w:rPr>
        <w:t>del cuadro descriptivo,</w:t>
      </w:r>
      <w:r w:rsidR="001E3050" w:rsidRPr="00D53BC6">
        <w:rPr>
          <w:rFonts w:ascii="Palatino Linotype" w:eastAsia="Palatino Linotype" w:hAnsi="Palatino Linotype" w:cs="Palatino Linotype"/>
        </w:rPr>
        <w:t xml:space="preserve"> el Tesorero y el Contralor Municipal, </w:t>
      </w:r>
      <w:r w:rsidR="00654953" w:rsidRPr="00D53BC6">
        <w:rPr>
          <w:rFonts w:ascii="Palatino Linotype" w:eastAsia="Palatino Linotype" w:hAnsi="Palatino Linotype" w:cs="Palatino Linotype"/>
        </w:rPr>
        <w:t>informaron</w:t>
      </w:r>
      <w:r w:rsidR="001E3050" w:rsidRPr="00D53BC6">
        <w:rPr>
          <w:rFonts w:ascii="Palatino Linotype" w:eastAsia="Palatino Linotype" w:hAnsi="Palatino Linotype" w:cs="Palatino Linotype"/>
        </w:rPr>
        <w:t xml:space="preserve"> que en el periodo requerido, </w:t>
      </w:r>
      <w:r w:rsidR="001E3050" w:rsidRPr="00D53BC6">
        <w:rPr>
          <w:rFonts w:ascii="Palatino Linotype" w:eastAsia="Palatino Linotype" w:hAnsi="Palatino Linotype" w:cs="Palatino Linotype"/>
          <w:b/>
          <w:bCs/>
        </w:rPr>
        <w:t>no se</w:t>
      </w:r>
      <w:r w:rsidR="001E3050" w:rsidRPr="00D53BC6">
        <w:rPr>
          <w:rFonts w:ascii="Palatino Linotype" w:eastAsia="Palatino Linotype" w:hAnsi="Palatino Linotype" w:cs="Palatino Linotype"/>
        </w:rPr>
        <w:t xml:space="preserve"> </w:t>
      </w:r>
      <w:r w:rsidR="001E3050" w:rsidRPr="00D53BC6">
        <w:rPr>
          <w:rFonts w:ascii="Palatino Linotype" w:eastAsia="Palatino Linotype" w:hAnsi="Palatino Linotype" w:cs="Palatino Linotype"/>
          <w:b/>
          <w:bCs/>
        </w:rPr>
        <w:t>realizaron auditorias respecto a los programas y apoyos sociales.</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color w:val="000000"/>
        </w:rPr>
        <w:t xml:space="preserve">En consecuencia, </w:t>
      </w:r>
      <w:r w:rsidRPr="00D53BC6">
        <w:rPr>
          <w:rFonts w:ascii="Palatino Linotype" w:eastAsia="Palatino Linotype" w:hAnsi="Palatino Linotype" w:cs="Palatino Linotype"/>
        </w:rPr>
        <w:t xml:space="preserve">nos encontramos ante la presencia de un </w:t>
      </w:r>
      <w:r w:rsidRPr="00D53BC6">
        <w:rPr>
          <w:rFonts w:ascii="Palatino Linotype" w:eastAsia="Palatino Linotype" w:hAnsi="Palatino Linotype" w:cs="Palatino Linotype"/>
          <w:b/>
          <w:bCs/>
        </w:rPr>
        <w:t>hecho negativo</w:t>
      </w:r>
      <w:r w:rsidRPr="00D53BC6">
        <w:rPr>
          <w:rFonts w:ascii="Palatino Linotype" w:eastAsia="Palatino Linotype" w:hAnsi="Palatino Linotype" w:cs="Palatino Linotype"/>
        </w:rPr>
        <w:t xml:space="preserve">, en virtud de que la información solicitada no puede fácticamente obrar en los archivos del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ya que no puede probarse por ser lógica y materialmente imposible.</w:t>
      </w:r>
    </w:p>
    <w:p w:rsidR="00166CFF" w:rsidRPr="00D53BC6" w:rsidRDefault="00166CFF">
      <w:pPr>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Asimismo, no se trata de un caso por el cual la negación del hecho implique la afirmación de este, simplemente se está ante una notoria y evidente inexistencia de la información solicitada. En este contexto, nos encontramos ante la presencia de un hecho negativo, en virtud de que la información solicitada no puede fácticamente obrar en los archivos del Sujeto Obligado, ya que no puede probarse por ser lógica y materialmente imposible. </w:t>
      </w: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lastRenderedPageBreak/>
        <w:t xml:space="preserve">Es conveniente, invocar la tesis con número de registro 267287, de la Sexta Época, Instancia: Segunda Sala, publicada en el Semanario Judicial de la Federación, Volumen LII, Tercera Parte, Materia Común, que indica lo siguiente: </w:t>
      </w:r>
    </w:p>
    <w:p w:rsidR="00166CFF" w:rsidRPr="00D53BC6" w:rsidRDefault="001E3050">
      <w:pPr>
        <w:ind w:left="567" w:right="567"/>
        <w:jc w:val="both"/>
        <w:rPr>
          <w:rFonts w:ascii="Palatino Linotype" w:eastAsia="Palatino Linotype" w:hAnsi="Palatino Linotype" w:cs="Palatino Linotype"/>
          <w:b/>
          <w:bCs/>
        </w:rPr>
      </w:pPr>
      <w:r w:rsidRPr="00D53BC6">
        <w:rPr>
          <w:rFonts w:ascii="Palatino Linotype" w:eastAsia="Palatino Linotype" w:hAnsi="Palatino Linotype" w:cs="Palatino Linotype"/>
          <w:i/>
          <w:iCs/>
        </w:rPr>
        <w:t>“</w:t>
      </w:r>
      <w:r w:rsidRPr="00D53BC6">
        <w:rPr>
          <w:rFonts w:ascii="Palatino Linotype" w:eastAsia="Palatino Linotype" w:hAnsi="Palatino Linotype" w:cs="Palatino Linotype"/>
          <w:b/>
          <w:bCs/>
          <w:i/>
          <w:iCs/>
        </w:rPr>
        <w:t>HECHOS NEGATIVOS, NO SON SUSCEPTIBLES DE DEMOSTRACION.</w:t>
      </w:r>
      <w:r w:rsidRPr="00D53BC6">
        <w:rPr>
          <w:rFonts w:ascii="Palatino Linotype" w:eastAsia="Palatino Linotype" w:hAnsi="Palatino Linotype" w:cs="Palatino Linotype"/>
          <w:i/>
          <w:iCs/>
        </w:rPr>
        <w:t xml:space="preserve"> Tratándose de un hecho negativo, el Juez no tiene por qué invocar prueba alguna de la que se desprenda, ya que es bien sabido que esta clase de hechos no son susceptibles de demostración.”</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Precisado lo anterior, </w:t>
      </w:r>
      <w:r w:rsidRPr="00D53BC6">
        <w:rPr>
          <w:rFonts w:ascii="Palatino Linotype" w:eastAsia="Palatino Linotype" w:hAnsi="Palatino Linotype" w:cs="Palatino Linotype"/>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166CFF" w:rsidRPr="00D53BC6" w:rsidRDefault="00166CFF">
      <w:pPr>
        <w:rPr>
          <w:rFonts w:ascii="Palatino Linotype" w:eastAsia="Palatino Linotype" w:hAnsi="Palatino Linotype" w:cs="Palatino Linotype"/>
          <w:color w:val="000000"/>
        </w:rPr>
      </w:pPr>
    </w:p>
    <w:p w:rsidR="00166CFF" w:rsidRPr="00D53BC6" w:rsidRDefault="001E305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D53BC6">
        <w:rPr>
          <w:rFonts w:ascii="Palatino Linotype" w:eastAsia="Palatino Linotype" w:hAnsi="Palatino Linotype" w:cs="Palatino Linotype"/>
          <w:color w:val="000000"/>
          <w:vertAlign w:val="superscript"/>
        </w:rPr>
        <w:footnoteReference w:id="6"/>
      </w:r>
      <w:r w:rsidRPr="00D53BC6">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D53BC6">
        <w:rPr>
          <w:rFonts w:ascii="Palatino Linotype" w:eastAsia="Palatino Linotype" w:hAnsi="Palatino Linotype" w:cs="Palatino Linotype"/>
          <w:b/>
          <w:bCs/>
          <w:color w:val="000000"/>
        </w:rPr>
        <w:t xml:space="preserve"> </w:t>
      </w:r>
      <w:r w:rsidRPr="00D53BC6">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D53BC6">
        <w:rPr>
          <w:rFonts w:ascii="Palatino Linotype" w:eastAsia="Palatino Linotype" w:hAnsi="Palatino Linotype" w:cs="Palatino Linotype"/>
          <w:color w:val="000000"/>
          <w:vertAlign w:val="superscript"/>
        </w:rPr>
        <w:footnoteReference w:id="7"/>
      </w:r>
      <w:r w:rsidRPr="00D53BC6">
        <w:rPr>
          <w:rFonts w:ascii="Palatino Linotype" w:eastAsia="Palatino Linotype" w:hAnsi="Palatino Linotype" w:cs="Palatino Linotype"/>
          <w:color w:val="000000"/>
        </w:rPr>
        <w:t>.</w:t>
      </w:r>
    </w:p>
    <w:p w:rsidR="00166CFF" w:rsidRPr="00D53BC6" w:rsidRDefault="00166CFF">
      <w:pPr>
        <w:rPr>
          <w:rFonts w:ascii="Palatino Linotype" w:eastAsia="Palatino Linotype" w:hAnsi="Palatino Linotype" w:cs="Palatino Linotype"/>
          <w:color w:val="000000"/>
        </w:rPr>
      </w:pPr>
    </w:p>
    <w:p w:rsidR="00166CFF" w:rsidRPr="00D53BC6" w:rsidRDefault="001E3050">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D53BC6">
        <w:rPr>
          <w:rFonts w:ascii="Palatino Linotype" w:eastAsia="Palatino Linotype" w:hAnsi="Palatino Linotype" w:cs="Palatino Linotype"/>
          <w:color w:val="000000"/>
        </w:rPr>
        <w:lastRenderedPageBreak/>
        <w:t>De conformidad con lo dispuesto en la Ley de Transparencia y Acceso a la Información Pública del Estado de México y Municipios, las Unidades de Transparencia tendrán, entre sus atribuciones, las siguientes:</w:t>
      </w:r>
    </w:p>
    <w:p w:rsidR="00166CFF" w:rsidRPr="00D53BC6" w:rsidRDefault="001E3050">
      <w:pPr>
        <w:numPr>
          <w:ilvl w:val="1"/>
          <w:numId w:val="5"/>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Recibir, tramitar y dar respuesta a las solicitudes de acceso a la información;</w:t>
      </w:r>
    </w:p>
    <w:p w:rsidR="00166CFF" w:rsidRPr="00D53BC6" w:rsidRDefault="001E3050">
      <w:pPr>
        <w:numPr>
          <w:ilvl w:val="1"/>
          <w:numId w:val="5"/>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166CFF" w:rsidRPr="00D53BC6" w:rsidRDefault="001E3050">
      <w:pPr>
        <w:numPr>
          <w:ilvl w:val="1"/>
          <w:numId w:val="5"/>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Entregar, en su caso, a los particulares la información solicitada; y </w:t>
      </w:r>
    </w:p>
    <w:p w:rsidR="00166CFF" w:rsidRPr="00D53BC6" w:rsidRDefault="001E3050">
      <w:pPr>
        <w:numPr>
          <w:ilvl w:val="1"/>
          <w:numId w:val="5"/>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Efectuar las notificaciones a los solicitantes.</w:t>
      </w:r>
    </w:p>
    <w:p w:rsidR="00166CFF" w:rsidRPr="00D53BC6" w:rsidRDefault="00166CFF">
      <w:pPr>
        <w:pBdr>
          <w:top w:val="nil"/>
          <w:left w:val="nil"/>
          <w:bottom w:val="nil"/>
          <w:right w:val="nil"/>
          <w:between w:val="nil"/>
        </w:pBdr>
        <w:spacing w:after="240"/>
        <w:ind w:right="616"/>
        <w:jc w:val="both"/>
        <w:rPr>
          <w:rFonts w:ascii="Palatino Linotype" w:eastAsia="Palatino Linotype" w:hAnsi="Palatino Linotype" w:cs="Palatino Linotype"/>
          <w:color w:val="000000"/>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D53BC6">
        <w:rPr>
          <w:rFonts w:ascii="Palatino Linotype" w:eastAsia="Palatino Linotype" w:hAnsi="Palatino Linotype" w:cs="Palatino Linotype"/>
          <w:b/>
          <w:bCs/>
          <w:color w:val="000000"/>
        </w:rPr>
        <w:t xml:space="preserve">SUJETO OBLIGADO </w:t>
      </w:r>
      <w:r w:rsidRPr="00D53BC6">
        <w:rPr>
          <w:rFonts w:ascii="Palatino Linotype" w:eastAsia="Palatino Linotype" w:hAnsi="Palatino Linotype" w:cs="Palatino Linotype"/>
          <w:color w:val="000000"/>
        </w:rPr>
        <w:t>a propuesta del responsable de la Unidad de Transparencia</w:t>
      </w:r>
      <w:r w:rsidRPr="00D53BC6">
        <w:rPr>
          <w:rFonts w:ascii="Palatino Linotype" w:eastAsia="Palatino Linotype" w:hAnsi="Palatino Linotype" w:cs="Palatino Linotype"/>
          <w:color w:val="000000"/>
          <w:vertAlign w:val="superscript"/>
        </w:rPr>
        <w:footnoteReference w:id="8"/>
      </w:r>
      <w:r w:rsidRPr="00D53BC6">
        <w:rPr>
          <w:rFonts w:ascii="Palatino Linotype" w:eastAsia="Palatino Linotype" w:hAnsi="Palatino Linotype" w:cs="Palatino Linotype"/>
          <w:color w:val="000000"/>
        </w:rPr>
        <w:t xml:space="preserve"> y tendrán, entre sus atribuciones, las siguientes</w:t>
      </w:r>
      <w:r w:rsidRPr="00D53BC6">
        <w:rPr>
          <w:rFonts w:ascii="Palatino Linotype" w:eastAsia="Palatino Linotype" w:hAnsi="Palatino Linotype" w:cs="Palatino Linotype"/>
          <w:color w:val="000000"/>
          <w:vertAlign w:val="superscript"/>
        </w:rPr>
        <w:footnoteReference w:id="9"/>
      </w:r>
      <w:r w:rsidRPr="00D53BC6">
        <w:rPr>
          <w:rFonts w:ascii="Palatino Linotype" w:eastAsia="Palatino Linotype" w:hAnsi="Palatino Linotype" w:cs="Palatino Linotype"/>
          <w:color w:val="000000"/>
        </w:rPr>
        <w:t>:</w:t>
      </w:r>
    </w:p>
    <w:p w:rsidR="00166CFF" w:rsidRPr="00D53BC6" w:rsidRDefault="001E3050">
      <w:pPr>
        <w:numPr>
          <w:ilvl w:val="1"/>
          <w:numId w:val="6"/>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Localizar la información que le solicite la Unidad de Transparencia; y</w:t>
      </w:r>
    </w:p>
    <w:p w:rsidR="00166CFF" w:rsidRPr="00D53BC6" w:rsidRDefault="001E3050">
      <w:pPr>
        <w:numPr>
          <w:ilvl w:val="1"/>
          <w:numId w:val="6"/>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Proporcionar la información que obre en los archivos y que le sea solicitada por la Unidad de Transparencia.</w:t>
      </w:r>
    </w:p>
    <w:p w:rsidR="00166CFF" w:rsidRPr="00D53BC6" w:rsidRDefault="00166CFF">
      <w:pPr>
        <w:pBdr>
          <w:top w:val="nil"/>
          <w:left w:val="nil"/>
          <w:bottom w:val="nil"/>
          <w:right w:val="nil"/>
          <w:between w:val="nil"/>
        </w:pBdr>
        <w:spacing w:after="240"/>
        <w:ind w:right="565"/>
        <w:jc w:val="both"/>
        <w:rPr>
          <w:rFonts w:ascii="Palatino Linotype" w:eastAsia="Palatino Linotype" w:hAnsi="Palatino Linotype" w:cs="Palatino Linotype"/>
          <w:color w:val="000000"/>
        </w:rPr>
      </w:pPr>
    </w:p>
    <w:p w:rsidR="00166CFF" w:rsidRPr="00D53BC6" w:rsidRDefault="001E3050">
      <w:pPr>
        <w:numPr>
          <w:ilvl w:val="0"/>
          <w:numId w:val="1"/>
        </w:numPr>
        <w:tabs>
          <w:tab w:val="left" w:pos="142"/>
        </w:tabs>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De tal manera que cada una de las áreas administrativas del </w:t>
      </w:r>
      <w:r w:rsidRPr="00D53BC6">
        <w:rPr>
          <w:rFonts w:ascii="Palatino Linotype" w:eastAsia="Palatino Linotype" w:hAnsi="Palatino Linotype" w:cs="Palatino Linotype"/>
          <w:b/>
          <w:bCs/>
          <w:color w:val="000000"/>
        </w:rPr>
        <w:t>SUJETO OBLIGADO</w:t>
      </w:r>
      <w:r w:rsidRPr="00D53BC6">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166CFF" w:rsidRPr="00D53BC6" w:rsidRDefault="001E3050">
      <w:pPr>
        <w:numPr>
          <w:ilvl w:val="0"/>
          <w:numId w:val="1"/>
        </w:numPr>
        <w:tabs>
          <w:tab w:val="left" w:pos="142"/>
        </w:tabs>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lastRenderedPageBreak/>
        <w:t>Aunado a lo anterior, la Ley de Transparencia y Acceso a la Información Pública del Estado de México y Municipios, en su artículo 53, establece las funciones correspondientes a esta Unidad; mismas que se inserta a continuación:</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b/>
          <w:bCs/>
          <w:i/>
          <w:iCs/>
          <w:color w:val="000000"/>
        </w:rPr>
        <w:t>“Artículo 53</w:t>
      </w:r>
      <w:r w:rsidRPr="00D53BC6">
        <w:rPr>
          <w:rFonts w:ascii="Palatino Linotype" w:eastAsia="Palatino Linotype" w:hAnsi="Palatino Linotype" w:cs="Palatino Linotype"/>
          <w:i/>
          <w:iCs/>
          <w:color w:val="000000"/>
        </w:rPr>
        <w:t xml:space="preserve">. Las Unidades de Transparencia tendrán las siguientes funciones: </w:t>
      </w:r>
    </w:p>
    <w:p w:rsidR="00166CFF" w:rsidRPr="00D53BC6" w:rsidRDefault="00166CF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D53BC6">
        <w:rPr>
          <w:rFonts w:ascii="Palatino Linotype" w:eastAsia="Palatino Linotype" w:hAnsi="Palatino Linotype" w:cs="Palatino Linotype"/>
          <w:b/>
          <w:bCs/>
          <w:i/>
          <w:iCs/>
          <w:color w:val="000000"/>
        </w:rPr>
        <w:t xml:space="preserve">II. Recibir, tramitar y dar respuesta a las solicitudes de acceso a la información;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D53BC6">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V. Entregar, en su caso, a los particulares la información solicitada;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VI. Efectuar las notificaciones a los solicitantes;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D53BC6">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X. Presentar ante el Comité, el proyecto de clasificación de información;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XI. Promover e implementar políticas de transparencia proactiva procurando su accesibilidad;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XII. Fomentar la transparencia y accesibilidad al interior del sujeto obligado; </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166CFF" w:rsidRPr="00D53BC6" w:rsidRDefault="001E305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166CFF" w:rsidRPr="00D53BC6" w:rsidRDefault="001E3050">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lastRenderedPageBreak/>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166CFF" w:rsidRPr="00D53BC6" w:rsidRDefault="00166CFF">
      <w:pPr>
        <w:pBdr>
          <w:top w:val="nil"/>
          <w:left w:val="nil"/>
          <w:bottom w:val="nil"/>
          <w:right w:val="nil"/>
          <w:between w:val="nil"/>
        </w:pBdr>
        <w:tabs>
          <w:tab w:val="left" w:pos="426"/>
        </w:tabs>
        <w:spacing w:after="240"/>
        <w:ind w:right="616"/>
        <w:jc w:val="both"/>
        <w:rPr>
          <w:rFonts w:ascii="Palatino Linotype" w:eastAsia="Palatino Linotype" w:hAnsi="Palatino Linotype" w:cs="Palatino Linotype"/>
          <w:i/>
          <w:iCs/>
          <w:color w:val="000000"/>
        </w:rPr>
      </w:pPr>
    </w:p>
    <w:p w:rsidR="00E378E1" w:rsidRPr="00D53BC6" w:rsidRDefault="001E3050" w:rsidP="00E378E1">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De lo expuesto y con relación a lo solicitado, se tiene que, en efecto, la Unidad de Transparencia es la encargada de </w:t>
      </w:r>
      <w:r w:rsidRPr="00D53BC6">
        <w:rPr>
          <w:rFonts w:ascii="Palatino Linotype" w:eastAsia="Palatino Linotype" w:hAnsi="Palatino Linotype" w:cs="Palatino Linotype"/>
        </w:rPr>
        <w:t>recibir, tramitar y dar respuesta a las solicitudes de acceso a la información.</w:t>
      </w:r>
      <w:r w:rsidRPr="00D53BC6">
        <w:rPr>
          <w:rFonts w:ascii="Palatino Linotype" w:eastAsia="Palatino Linotype" w:hAnsi="Palatino Linotype" w:cs="Palatino Linotype"/>
          <w:b/>
          <w:bCs/>
        </w:rPr>
        <w:t xml:space="preserve"> </w:t>
      </w:r>
    </w:p>
    <w:p w:rsidR="00E378E1" w:rsidRPr="00D53BC6" w:rsidRDefault="00E378E1" w:rsidP="00E378E1">
      <w:pPr>
        <w:spacing w:line="360" w:lineRule="auto"/>
        <w:ind w:right="1"/>
        <w:jc w:val="both"/>
        <w:rPr>
          <w:rFonts w:ascii="Palatino Linotype" w:eastAsia="Palatino Linotype" w:hAnsi="Palatino Linotype" w:cs="Palatino Linotype"/>
          <w:b/>
          <w:bCs/>
        </w:rPr>
      </w:pPr>
    </w:p>
    <w:p w:rsidR="00166CFF" w:rsidRPr="00D53BC6" w:rsidRDefault="001E3050" w:rsidP="00E378E1">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En atención a lo anterior, se advierte </w:t>
      </w:r>
      <w:r w:rsidRPr="00D53BC6">
        <w:rPr>
          <w:rFonts w:ascii="Palatino Linotype" w:eastAsia="Palatino Linotype" w:hAnsi="Palatino Linotype" w:cs="Palatino Linotype"/>
        </w:rPr>
        <w:t xml:space="preserve">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w:t>
      </w:r>
      <w:r w:rsidRPr="00D53BC6">
        <w:rPr>
          <w:rFonts w:ascii="Palatino Linotype" w:eastAsia="Palatino Linotype" w:hAnsi="Palatino Linotype" w:cs="Palatino Linotype"/>
          <w:b/>
          <w:bCs/>
        </w:rPr>
        <w:t>se pronunció por medio de los Servidores Públicos Habilitados competentes, en el presente caso, la Directora de Desarrollo Social, el Tesorero y el Contralor Municipal.</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En atención a lo expuesto, </w:t>
      </w:r>
      <w:r w:rsidRPr="00D53BC6">
        <w:rPr>
          <w:rFonts w:ascii="Palatino Linotype" w:eastAsia="Palatino Linotype" w:hAnsi="Palatino Linotype" w:cs="Palatino Linotype"/>
          <w:color w:val="000000"/>
        </w:rPr>
        <w:t>se reitera que la respuesta fue emitida por el Servidor Público Habi</w:t>
      </w:r>
      <w:r w:rsidR="00C57F05" w:rsidRPr="00D53BC6">
        <w:rPr>
          <w:rFonts w:ascii="Palatino Linotype" w:eastAsia="Palatino Linotype" w:hAnsi="Palatino Linotype" w:cs="Palatino Linotype"/>
          <w:color w:val="000000"/>
        </w:rPr>
        <w:t>li</w:t>
      </w:r>
      <w:r w:rsidRPr="00D53BC6">
        <w:rPr>
          <w:rFonts w:ascii="Palatino Linotype" w:eastAsia="Palatino Linotype" w:hAnsi="Palatino Linotype" w:cs="Palatino Linotype"/>
          <w:color w:val="000000"/>
        </w:rPr>
        <w:t xml:space="preserve">tado competente, así </w:t>
      </w:r>
      <w:r w:rsidRPr="00D53BC6">
        <w:rPr>
          <w:rFonts w:ascii="Palatino Linotype" w:eastAsia="Palatino Linotype" w:hAnsi="Palatino Linotype" w:cs="Palatino Linotype"/>
        </w:rPr>
        <w:t xml:space="preserve">es dable sostener que, al haber existido un pronunciamiento por parte del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rsidR="00166CFF" w:rsidRPr="00D53BC6" w:rsidRDefault="00166CFF">
      <w:pPr>
        <w:spacing w:line="360" w:lineRule="auto"/>
        <w:ind w:right="1"/>
        <w:jc w:val="both"/>
        <w:rPr>
          <w:rFonts w:ascii="Palatino Linotype" w:eastAsia="Palatino Linotype" w:hAnsi="Palatino Linotype" w:cs="Palatino Linotype"/>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rPr>
      </w:pPr>
      <w:r w:rsidRPr="00D53BC6">
        <w:rPr>
          <w:rFonts w:ascii="Palatino Linotype" w:eastAsia="Palatino Linotype" w:hAnsi="Palatino Linotype" w:cs="Palatino Linotype"/>
        </w:rPr>
        <w:t xml:space="preserve">Ahora bien, es importante señalar que el artículo 4, párrafo segundo de la Ley de Transparencia y Acceso a la Información Pública del Estado de México y Municipios, dispone lo siguiente: </w:t>
      </w:r>
    </w:p>
    <w:p w:rsidR="00166CFF" w:rsidRPr="00D53BC6" w:rsidRDefault="00166CFF">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lastRenderedPageBreak/>
        <w:t>“</w:t>
      </w:r>
      <w:r w:rsidRPr="00D53BC6">
        <w:rPr>
          <w:rFonts w:ascii="Palatino Linotype" w:eastAsia="Palatino Linotype" w:hAnsi="Palatino Linotype" w:cs="Palatino Linotype"/>
          <w:b/>
          <w:bCs/>
          <w:i/>
          <w:iCs/>
          <w:color w:val="000000"/>
        </w:rPr>
        <w:t>Artículo 4.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66CFF" w:rsidRPr="00D53BC6" w:rsidRDefault="00166CFF">
      <w:pPr>
        <w:tabs>
          <w:tab w:val="left" w:pos="426"/>
          <w:tab w:val="left" w:pos="567"/>
        </w:tabs>
        <w:ind w:right="565"/>
        <w:jc w:val="both"/>
        <w:rPr>
          <w:rFonts w:ascii="Palatino Linotype" w:eastAsia="Palatino Linotype" w:hAnsi="Palatino Linotype" w:cs="Palatino Linotype"/>
          <w:i/>
          <w:iCs/>
        </w:rPr>
      </w:pPr>
    </w:p>
    <w:p w:rsidR="00166CFF" w:rsidRPr="00D53BC6" w:rsidRDefault="001E305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166CFF" w:rsidRPr="00D53BC6" w:rsidRDefault="00166CFF">
      <w:pPr>
        <w:pBdr>
          <w:top w:val="nil"/>
          <w:left w:val="nil"/>
          <w:bottom w:val="nil"/>
          <w:right w:val="nil"/>
          <w:between w:val="nil"/>
        </w:pBdr>
        <w:jc w:val="both"/>
        <w:rPr>
          <w:rFonts w:ascii="Palatino Linotype" w:eastAsia="Palatino Linotype" w:hAnsi="Palatino Linotype" w:cs="Palatino Linotype"/>
          <w:color w:val="000000"/>
        </w:rPr>
      </w:pPr>
    </w:p>
    <w:p w:rsidR="00166CFF" w:rsidRPr="00D53BC6" w:rsidRDefault="001E3050">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Así, </w:t>
      </w:r>
      <w:r w:rsidRPr="00D53BC6">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166CFF" w:rsidRPr="00D53BC6" w:rsidRDefault="00166CFF">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rsidR="00166CFF" w:rsidRPr="00D53BC6" w:rsidRDefault="001E3050">
      <w:pPr>
        <w:numPr>
          <w:ilvl w:val="0"/>
          <w:numId w:val="1"/>
        </w:numPr>
        <w:pBdr>
          <w:top w:val="nil"/>
          <w:left w:val="nil"/>
          <w:bottom w:val="nil"/>
          <w:right w:val="nil"/>
          <w:between w:val="nil"/>
        </w:pBdr>
        <w:tabs>
          <w:tab w:val="left" w:pos="851"/>
          <w:tab w:val="left" w:pos="1701"/>
        </w:tabs>
        <w:spacing w:line="360" w:lineRule="auto"/>
        <w:ind w:left="0"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Como apoyo a lo anterior, es aplicable el Criterio 03-17, emitido por el Instituto Nacional de Transparencia, Acceso a la Información y Protección de Datos Personales, que dice: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b/>
          <w:bCs/>
          <w:i/>
          <w:iCs/>
          <w:color w:val="000000"/>
        </w:rPr>
        <w:t>“No existe obligación de elaborar documentos ad hoc para atender las solicitudes de acceso a la información.</w:t>
      </w:r>
      <w:r w:rsidRPr="00D53BC6">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w:t>
      </w:r>
      <w:r w:rsidRPr="00D53BC6">
        <w:rPr>
          <w:rFonts w:ascii="Palatino Linotype" w:eastAsia="Palatino Linotype" w:hAnsi="Palatino Linotype" w:cs="Palatino Linotype"/>
          <w:i/>
          <w:iCs/>
          <w:color w:val="000000"/>
        </w:rPr>
        <w:lastRenderedPageBreak/>
        <w:t xml:space="preserve">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166CFF" w:rsidRPr="00D53BC6" w:rsidRDefault="00166CFF">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Resoluciones: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Symbol" w:hAnsi="Palatino Linotype" w:cs="Symbol"/>
          <w:i/>
          <w:iCs/>
          <w:color w:val="000000"/>
        </w:rPr>
        <w:t>∙</w:t>
      </w:r>
      <w:r w:rsidRPr="00D53BC6">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Symbol" w:hAnsi="Palatino Linotype" w:cs="Symbol"/>
          <w:i/>
          <w:iCs/>
          <w:color w:val="000000"/>
        </w:rPr>
        <w:t>∙</w:t>
      </w:r>
      <w:r w:rsidRPr="00D53BC6">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Symbol" w:hAnsi="Palatino Linotype" w:cs="Symbol"/>
          <w:i/>
          <w:iCs/>
          <w:color w:val="000000"/>
        </w:rPr>
        <w:t>∙</w:t>
      </w:r>
      <w:r w:rsidRPr="00D53BC6">
        <w:rPr>
          <w:rFonts w:ascii="Palatino Linotype" w:eastAsia="Palatino Linotype" w:hAnsi="Palatino Linotype" w:cs="Palatino Linotype"/>
          <w:i/>
          <w:iCs/>
          <w:color w:val="000000"/>
        </w:rPr>
        <w:t xml:space="preserve"> RRA 1889/16. Secretaría de Hacienda y Crédito Público. 05 de octubre de 2016. Por unanimidad. Comisionada Ponente. Ximena Puente de la Mora.”</w:t>
      </w:r>
    </w:p>
    <w:p w:rsidR="00166CFF" w:rsidRDefault="00166CFF">
      <w:pPr>
        <w:tabs>
          <w:tab w:val="left" w:pos="426"/>
          <w:tab w:val="left" w:pos="567"/>
        </w:tabs>
        <w:ind w:right="565"/>
        <w:jc w:val="both"/>
        <w:rPr>
          <w:rFonts w:ascii="Palatino Linotype" w:eastAsia="Palatino Linotype" w:hAnsi="Palatino Linotype" w:cs="Palatino Linotype"/>
          <w:i/>
          <w:iCs/>
          <w:color w:val="000000"/>
        </w:rPr>
      </w:pPr>
    </w:p>
    <w:p w:rsidR="008444E9" w:rsidRPr="00D53BC6" w:rsidRDefault="008444E9">
      <w:pPr>
        <w:tabs>
          <w:tab w:val="left" w:pos="426"/>
          <w:tab w:val="left" w:pos="567"/>
        </w:tabs>
        <w:ind w:right="565"/>
        <w:jc w:val="both"/>
        <w:rPr>
          <w:rFonts w:ascii="Palatino Linotype" w:eastAsia="Palatino Linotype" w:hAnsi="Palatino Linotype" w:cs="Palatino Linotype"/>
          <w:i/>
          <w:iCs/>
          <w:color w:val="000000"/>
        </w:rPr>
      </w:pPr>
    </w:p>
    <w:p w:rsidR="00166CFF" w:rsidRPr="00D53BC6" w:rsidRDefault="001E3050">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color w:val="000000"/>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166CFF" w:rsidRPr="00D53BC6" w:rsidRDefault="00166CFF">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rsidR="00166CFF" w:rsidRPr="00D53BC6" w:rsidRDefault="001E3050">
      <w:pPr>
        <w:numPr>
          <w:ilvl w:val="0"/>
          <w:numId w:val="1"/>
        </w:numPr>
        <w:tabs>
          <w:tab w:val="left" w:pos="426"/>
          <w:tab w:val="left" w:pos="1134"/>
        </w:tabs>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b/>
          <w:bCs/>
          <w:i/>
          <w:iCs/>
          <w:color w:val="000000"/>
        </w:rPr>
        <w:lastRenderedPageBreak/>
        <w:t>“Artículo 3.</w:t>
      </w:r>
      <w:r w:rsidRPr="00D53BC6">
        <w:rPr>
          <w:rFonts w:ascii="Palatino Linotype" w:eastAsia="Palatino Linotype" w:hAnsi="Palatino Linotype" w:cs="Palatino Linotype"/>
          <w:i/>
          <w:iCs/>
          <w:color w:val="000000"/>
        </w:rPr>
        <w:t xml:space="preserve"> Para los efectos de la presente Ley se entenderá por: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 xml:space="preserve">(…)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bCs/>
          <w:i/>
          <w:iCs/>
          <w:color w:val="000000"/>
        </w:rPr>
      </w:pPr>
      <w:r w:rsidRPr="00D53BC6">
        <w:rPr>
          <w:rFonts w:ascii="Palatino Linotype" w:eastAsia="Palatino Linotype" w:hAnsi="Palatino Linotype" w:cs="Palatino Linotype"/>
          <w:b/>
          <w:bCs/>
          <w:i/>
          <w:iCs/>
          <w:color w:val="000000"/>
        </w:rPr>
        <w:t>XI. Documento:</w:t>
      </w:r>
      <w:r w:rsidRPr="00D53BC6">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53BC6">
        <w:rPr>
          <w:rFonts w:ascii="Palatino Linotype" w:eastAsia="Palatino Linotype" w:hAnsi="Palatino Linotype" w:cs="Palatino Linotype"/>
          <w:b/>
          <w:bCs/>
          <w:i/>
          <w:iCs/>
          <w:color w:val="000000"/>
        </w:rPr>
        <w:t xml:space="preserve">Los documentos podrán estar en cualquier medio, sea escrito, impreso, sonoro, visual, electrónico, informático u holográfico; </w:t>
      </w:r>
    </w:p>
    <w:p w:rsidR="00166CFF" w:rsidRPr="00D53BC6" w:rsidRDefault="001E305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D53BC6">
        <w:rPr>
          <w:rFonts w:ascii="Palatino Linotype" w:eastAsia="Palatino Linotype" w:hAnsi="Palatino Linotype" w:cs="Palatino Linotype"/>
          <w:i/>
          <w:iCs/>
          <w:color w:val="000000"/>
        </w:rPr>
        <w:t>(…)”</w:t>
      </w:r>
    </w:p>
    <w:p w:rsidR="00166CFF" w:rsidRDefault="00166CFF">
      <w:pPr>
        <w:tabs>
          <w:tab w:val="left" w:pos="426"/>
          <w:tab w:val="left" w:pos="567"/>
        </w:tabs>
        <w:ind w:right="565"/>
        <w:jc w:val="both"/>
        <w:rPr>
          <w:rFonts w:ascii="Palatino Linotype" w:eastAsia="Palatino Linotype" w:hAnsi="Palatino Linotype" w:cs="Palatino Linotype"/>
          <w:i/>
          <w:iCs/>
          <w:color w:val="000000"/>
        </w:rPr>
      </w:pPr>
    </w:p>
    <w:p w:rsidR="008444E9" w:rsidRPr="00D53BC6" w:rsidRDefault="008444E9">
      <w:pPr>
        <w:tabs>
          <w:tab w:val="left" w:pos="426"/>
          <w:tab w:val="left" w:pos="567"/>
        </w:tabs>
        <w:ind w:right="565"/>
        <w:jc w:val="both"/>
        <w:rPr>
          <w:rFonts w:ascii="Palatino Linotype" w:eastAsia="Palatino Linotype" w:hAnsi="Palatino Linotype" w:cs="Palatino Linotype"/>
          <w:i/>
          <w:iCs/>
          <w:color w:val="000000"/>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000000"/>
        </w:rPr>
        <w:t xml:space="preserve">Siendo </w:t>
      </w:r>
      <w:r w:rsidRPr="00D53BC6">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166CFF" w:rsidRPr="00D53BC6" w:rsidRDefault="001E3050">
      <w:pPr>
        <w:pBdr>
          <w:top w:val="nil"/>
          <w:left w:val="nil"/>
          <w:bottom w:val="nil"/>
          <w:right w:val="nil"/>
          <w:between w:val="nil"/>
        </w:pBdr>
        <w:ind w:left="567" w:right="539"/>
        <w:jc w:val="both"/>
        <w:rPr>
          <w:rFonts w:ascii="Palatino Linotype" w:eastAsia="Palatino Linotype" w:hAnsi="Palatino Linotype" w:cs="Palatino Linotype"/>
          <w:color w:val="000000"/>
        </w:rPr>
      </w:pPr>
      <w:r w:rsidRPr="00D53BC6">
        <w:rPr>
          <w:rFonts w:ascii="Palatino Linotype" w:eastAsia="Palatino Linotype" w:hAnsi="Palatino Linotype" w:cs="Palatino Linotype"/>
          <w:i/>
          <w:iCs/>
          <w:color w:val="000000"/>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1E3050">
      <w:pPr>
        <w:numPr>
          <w:ilvl w:val="0"/>
          <w:numId w:val="1"/>
        </w:numPr>
        <w:spacing w:line="360" w:lineRule="auto"/>
        <w:ind w:left="0" w:right="1" w:firstLine="0"/>
        <w:jc w:val="both"/>
        <w:rPr>
          <w:rFonts w:ascii="Palatino Linotype" w:eastAsia="Palatino Linotype" w:hAnsi="Palatino Linotype" w:cs="Palatino Linotype"/>
          <w:b/>
          <w:bCs/>
        </w:rPr>
      </w:pPr>
      <w:r w:rsidRPr="00D53BC6">
        <w:rPr>
          <w:rFonts w:ascii="Palatino Linotype" w:eastAsia="Palatino Linotype" w:hAnsi="Palatino Linotype" w:cs="Palatino Linotype"/>
          <w:color w:val="222222"/>
        </w:rPr>
        <w:lastRenderedPageBreak/>
        <w:t xml:space="preserve">Por lo anteriormente expuesto y fundado, este </w:t>
      </w:r>
      <w:r w:rsidRPr="00D53BC6">
        <w:rPr>
          <w:rFonts w:ascii="Palatino Linotype" w:eastAsia="Palatino Linotype" w:hAnsi="Palatino Linotype" w:cs="Palatino Linotype"/>
          <w:b/>
          <w:bCs/>
          <w:color w:val="222222"/>
        </w:rPr>
        <w:t>ÓRGANO GARANTE</w:t>
      </w:r>
      <w:r w:rsidRPr="00D53BC6">
        <w:rPr>
          <w:rFonts w:ascii="Palatino Linotype" w:eastAsia="Palatino Linotype" w:hAnsi="Palatino Linotype" w:cs="Palatino Linotype"/>
          <w:color w:val="222222"/>
        </w:rPr>
        <w:t xml:space="preserve"> emite los siguientes:</w:t>
      </w:r>
    </w:p>
    <w:p w:rsidR="00166CFF" w:rsidRPr="00D53BC6" w:rsidRDefault="00166CFF">
      <w:pPr>
        <w:spacing w:line="360" w:lineRule="auto"/>
        <w:ind w:right="1"/>
        <w:jc w:val="both"/>
        <w:rPr>
          <w:rFonts w:ascii="Palatino Linotype" w:eastAsia="Palatino Linotype" w:hAnsi="Palatino Linotype" w:cs="Palatino Linotype"/>
          <w:b/>
          <w:bCs/>
        </w:rPr>
      </w:pPr>
    </w:p>
    <w:p w:rsidR="00166CFF" w:rsidRPr="00D53BC6" w:rsidRDefault="001E3050">
      <w:pPr>
        <w:keepNext/>
        <w:keepLines/>
        <w:spacing w:line="360" w:lineRule="auto"/>
        <w:ind w:right="-592"/>
        <w:jc w:val="center"/>
        <w:rPr>
          <w:rFonts w:ascii="Palatino Linotype" w:eastAsia="Palatino Linotype" w:hAnsi="Palatino Linotype" w:cs="Palatino Linotype"/>
          <w:b/>
          <w:bCs/>
          <w:color w:val="000000"/>
        </w:rPr>
      </w:pPr>
      <w:r w:rsidRPr="00D53BC6">
        <w:rPr>
          <w:rFonts w:ascii="Palatino Linotype" w:eastAsia="Palatino Linotype" w:hAnsi="Palatino Linotype" w:cs="Palatino Linotype"/>
          <w:b/>
          <w:bCs/>
          <w:color w:val="000000"/>
        </w:rPr>
        <w:t>R E S O L U T I V O S</w:t>
      </w:r>
    </w:p>
    <w:p w:rsidR="00166CFF" w:rsidRPr="00D53BC6" w:rsidRDefault="00166CFF">
      <w:pPr>
        <w:keepNext/>
        <w:keepLines/>
        <w:spacing w:line="360" w:lineRule="auto"/>
        <w:ind w:right="-592"/>
        <w:rPr>
          <w:rFonts w:ascii="Palatino Linotype" w:eastAsia="Palatino Linotype" w:hAnsi="Palatino Linotype" w:cs="Palatino Linotype"/>
          <w:b/>
          <w:bCs/>
          <w:color w:val="000000"/>
        </w:rPr>
      </w:pPr>
    </w:p>
    <w:p w:rsidR="00E378E1" w:rsidRPr="00D53BC6" w:rsidRDefault="00E378E1" w:rsidP="00E378E1">
      <w:pPr>
        <w:spacing w:line="360" w:lineRule="auto"/>
        <w:jc w:val="both"/>
        <w:rPr>
          <w:rFonts w:ascii="Palatino Linotype" w:eastAsia="Palatino Linotype" w:hAnsi="Palatino Linotype" w:cs="Palatino Linotype"/>
        </w:rPr>
      </w:pPr>
      <w:r w:rsidRPr="00D53BC6">
        <w:rPr>
          <w:rFonts w:ascii="Palatino Linotype" w:eastAsia="Palatino Linotype" w:hAnsi="Palatino Linotype" w:cs="Palatino Linotype"/>
          <w:b/>
          <w:bCs/>
        </w:rPr>
        <w:t>PRIMERO</w:t>
      </w:r>
      <w:r w:rsidRPr="00D53BC6">
        <w:rPr>
          <w:rFonts w:ascii="Palatino Linotype" w:eastAsia="Palatino Linotype" w:hAnsi="Palatino Linotype" w:cs="Palatino Linotype"/>
        </w:rPr>
        <w:t xml:space="preserve">. Resultan fundadas las razones o motivos de inconformidad hechos valer en el Recursos de Revisión </w:t>
      </w:r>
      <w:r w:rsidR="00C57F05" w:rsidRPr="00D53BC6">
        <w:rPr>
          <w:rFonts w:ascii="Palatino Linotype" w:eastAsia="Palatino Linotype" w:hAnsi="Palatino Linotype" w:cs="Palatino Linotype"/>
          <w:b/>
          <w:bCs/>
        </w:rPr>
        <w:t>05103</w:t>
      </w:r>
      <w:r w:rsidRPr="00D53BC6">
        <w:rPr>
          <w:rFonts w:ascii="Palatino Linotype" w:eastAsia="Palatino Linotype" w:hAnsi="Palatino Linotype" w:cs="Palatino Linotype"/>
          <w:b/>
          <w:bCs/>
        </w:rPr>
        <w:t xml:space="preserve">/INFOEM/IP/RR/2025 </w:t>
      </w:r>
      <w:r w:rsidRPr="00D53BC6">
        <w:rPr>
          <w:rFonts w:ascii="Palatino Linotype" w:eastAsia="Palatino Linotype" w:hAnsi="Palatino Linotype" w:cs="Palatino Linotype"/>
        </w:rPr>
        <w:t xml:space="preserve">en términos del </w:t>
      </w:r>
      <w:r w:rsidRPr="00D53BC6">
        <w:rPr>
          <w:rFonts w:ascii="Palatino Linotype" w:eastAsia="Palatino Linotype" w:hAnsi="Palatino Linotype" w:cs="Palatino Linotype"/>
          <w:b/>
          <w:bCs/>
        </w:rPr>
        <w:t xml:space="preserve">Considerando CUARTO </w:t>
      </w:r>
      <w:r w:rsidRPr="00D53BC6">
        <w:rPr>
          <w:rFonts w:ascii="Palatino Linotype" w:eastAsia="Palatino Linotype" w:hAnsi="Palatino Linotype" w:cs="Palatino Linotype"/>
        </w:rPr>
        <w:t>de la presente resolución.</w:t>
      </w:r>
    </w:p>
    <w:p w:rsidR="00E378E1" w:rsidRPr="00D53BC6" w:rsidRDefault="00E378E1" w:rsidP="00E378E1">
      <w:pPr>
        <w:spacing w:line="360" w:lineRule="auto"/>
        <w:jc w:val="both"/>
        <w:rPr>
          <w:rFonts w:ascii="Palatino Linotype" w:eastAsia="Palatino Linotype" w:hAnsi="Palatino Linotype" w:cs="Palatino Linotype"/>
        </w:rPr>
      </w:pPr>
    </w:p>
    <w:p w:rsidR="00C57F05" w:rsidRPr="00D53BC6" w:rsidRDefault="00E378E1" w:rsidP="00C57F05">
      <w:pPr>
        <w:pBdr>
          <w:top w:val="nil"/>
          <w:left w:val="nil"/>
          <w:bottom w:val="nil"/>
          <w:right w:val="nil"/>
          <w:between w:val="nil"/>
        </w:pBdr>
        <w:spacing w:line="360" w:lineRule="auto"/>
        <w:ind w:right="1"/>
        <w:jc w:val="both"/>
        <w:rPr>
          <w:rFonts w:ascii="Palatino Linotype" w:eastAsia="Palatino Linotype" w:hAnsi="Palatino Linotype" w:cs="Palatino Linotype"/>
          <w:b/>
          <w:bCs/>
        </w:rPr>
      </w:pPr>
      <w:bookmarkStart w:id="5" w:name="_heading=h.26in1rg" w:colFirst="0" w:colLast="0"/>
      <w:bookmarkEnd w:id="5"/>
      <w:r w:rsidRPr="008444E9">
        <w:rPr>
          <w:rFonts w:ascii="Palatino Linotype" w:eastAsia="Palatino Linotype" w:hAnsi="Palatino Linotype" w:cs="Palatino Linotype"/>
          <w:b/>
          <w:bCs/>
        </w:rPr>
        <w:t xml:space="preserve">SEGUNDO. </w:t>
      </w:r>
      <w:r w:rsidRPr="008444E9">
        <w:rPr>
          <w:rFonts w:ascii="Palatino Linotype" w:eastAsia="Palatino Linotype" w:hAnsi="Palatino Linotype" w:cs="Palatino Linotype"/>
          <w:color w:val="000000"/>
        </w:rPr>
        <w:t>Se</w:t>
      </w:r>
      <w:r w:rsidR="00C57F05" w:rsidRPr="008444E9">
        <w:rPr>
          <w:rFonts w:ascii="Palatino Linotype" w:eastAsia="Palatino Linotype" w:hAnsi="Palatino Linotype" w:cs="Palatino Linotype"/>
          <w:b/>
          <w:bCs/>
          <w:color w:val="000000"/>
        </w:rPr>
        <w:t xml:space="preserve"> MODI</w:t>
      </w:r>
      <w:r w:rsidRPr="008444E9">
        <w:rPr>
          <w:rFonts w:ascii="Palatino Linotype" w:eastAsia="Palatino Linotype" w:hAnsi="Palatino Linotype" w:cs="Palatino Linotype"/>
          <w:b/>
          <w:bCs/>
          <w:color w:val="000000"/>
        </w:rPr>
        <w:t>F</w:t>
      </w:r>
      <w:r w:rsidR="00916D4C" w:rsidRPr="008444E9">
        <w:rPr>
          <w:rFonts w:ascii="Palatino Linotype" w:eastAsia="Palatino Linotype" w:hAnsi="Palatino Linotype" w:cs="Palatino Linotype"/>
          <w:b/>
          <w:bCs/>
          <w:color w:val="000000"/>
        </w:rPr>
        <w:t>I</w:t>
      </w:r>
      <w:r w:rsidRPr="008444E9">
        <w:rPr>
          <w:rFonts w:ascii="Palatino Linotype" w:eastAsia="Palatino Linotype" w:hAnsi="Palatino Linotype" w:cs="Palatino Linotype"/>
          <w:b/>
          <w:bCs/>
          <w:color w:val="000000"/>
        </w:rPr>
        <w:t xml:space="preserve">CA </w:t>
      </w:r>
      <w:r w:rsidRPr="008444E9">
        <w:rPr>
          <w:rFonts w:ascii="Palatino Linotype" w:eastAsia="Palatino Linotype" w:hAnsi="Palatino Linotype" w:cs="Palatino Linotype"/>
          <w:color w:val="000000"/>
        </w:rPr>
        <w:t xml:space="preserve">la respuesta emitida por </w:t>
      </w:r>
      <w:r w:rsidRPr="008444E9">
        <w:rPr>
          <w:rFonts w:ascii="Palatino Linotype" w:eastAsia="Palatino Linotype" w:hAnsi="Palatino Linotype" w:cs="Palatino Linotype"/>
          <w:b/>
          <w:bCs/>
          <w:color w:val="000000"/>
        </w:rPr>
        <w:t xml:space="preserve">el </w:t>
      </w:r>
      <w:r w:rsidRPr="008444E9">
        <w:rPr>
          <w:rFonts w:ascii="Palatino Linotype" w:eastAsia="Palatino Linotype" w:hAnsi="Palatino Linotype" w:cs="Palatino Linotype"/>
          <w:b/>
          <w:bCs/>
        </w:rPr>
        <w:t xml:space="preserve">Ayuntamiento de </w:t>
      </w:r>
      <w:r w:rsidR="00C57F05" w:rsidRPr="008444E9">
        <w:rPr>
          <w:rFonts w:ascii="Palatino Linotype" w:eastAsia="Palatino Linotype" w:hAnsi="Palatino Linotype" w:cs="Palatino Linotype"/>
          <w:b/>
          <w:bCs/>
        </w:rPr>
        <w:t>Zinacantepec</w:t>
      </w:r>
      <w:r w:rsidRPr="008444E9">
        <w:rPr>
          <w:rFonts w:ascii="Palatino Linotype" w:eastAsia="Palatino Linotype" w:hAnsi="Palatino Linotype" w:cs="Palatino Linotype"/>
          <w:b/>
          <w:bCs/>
          <w:color w:val="000000"/>
        </w:rPr>
        <w:t xml:space="preserve">, </w:t>
      </w:r>
      <w:r w:rsidRPr="008444E9">
        <w:rPr>
          <w:rFonts w:ascii="Palatino Linotype" w:eastAsia="Palatino Linotype" w:hAnsi="Palatino Linotype" w:cs="Palatino Linotype"/>
          <w:color w:val="000000"/>
        </w:rPr>
        <w:t xml:space="preserve">a la </w:t>
      </w:r>
      <w:r w:rsidRPr="008444E9">
        <w:rPr>
          <w:rFonts w:ascii="Palatino Linotype" w:eastAsia="Palatino Linotype" w:hAnsi="Palatino Linotype" w:cs="Palatino Linotype"/>
        </w:rPr>
        <w:t>solicitud de información pública registrada con el número</w:t>
      </w:r>
      <w:r w:rsidRPr="008444E9">
        <w:rPr>
          <w:rFonts w:ascii="Palatino Linotype" w:eastAsia="Palatino Linotype" w:hAnsi="Palatino Linotype" w:cs="Palatino Linotype"/>
          <w:b/>
          <w:bCs/>
        </w:rPr>
        <w:t xml:space="preserve"> </w:t>
      </w:r>
      <w:r w:rsidR="00C57F05" w:rsidRPr="008444E9">
        <w:rPr>
          <w:rFonts w:ascii="Palatino Linotype" w:eastAsia="Palatino Linotype" w:hAnsi="Palatino Linotype" w:cs="Palatino Linotype"/>
          <w:b/>
          <w:bCs/>
          <w:color w:val="000000"/>
        </w:rPr>
        <w:t>00114</w:t>
      </w:r>
      <w:r w:rsidRPr="008444E9">
        <w:rPr>
          <w:rFonts w:ascii="Palatino Linotype" w:eastAsia="Palatino Linotype" w:hAnsi="Palatino Linotype" w:cs="Palatino Linotype"/>
          <w:b/>
          <w:bCs/>
          <w:color w:val="000000"/>
        </w:rPr>
        <w:t>/</w:t>
      </w:r>
      <w:r w:rsidR="00C57F05" w:rsidRPr="008444E9">
        <w:rPr>
          <w:rFonts w:ascii="Palatino Linotype" w:eastAsia="Palatino Linotype" w:hAnsi="Palatino Linotype" w:cs="Palatino Linotype"/>
          <w:b/>
          <w:bCs/>
          <w:color w:val="000000"/>
        </w:rPr>
        <w:t>ZINACANT</w:t>
      </w:r>
      <w:r w:rsidRPr="008444E9">
        <w:rPr>
          <w:rFonts w:ascii="Palatino Linotype" w:eastAsia="Palatino Linotype" w:hAnsi="Palatino Linotype" w:cs="Palatino Linotype"/>
          <w:b/>
          <w:bCs/>
          <w:color w:val="000000"/>
        </w:rPr>
        <w:t xml:space="preserve">/IP/2025 </w:t>
      </w:r>
      <w:r w:rsidRPr="008444E9">
        <w:rPr>
          <w:rFonts w:ascii="Palatino Linotype" w:eastAsia="Palatino Linotype" w:hAnsi="Palatino Linotype" w:cs="Palatino Linotype"/>
          <w:color w:val="000000"/>
        </w:rPr>
        <w:t xml:space="preserve">y se </w:t>
      </w:r>
      <w:r w:rsidRPr="008444E9">
        <w:rPr>
          <w:rFonts w:ascii="Palatino Linotype" w:eastAsia="Palatino Linotype" w:hAnsi="Palatino Linotype" w:cs="Palatino Linotype"/>
          <w:b/>
          <w:bCs/>
          <w:color w:val="000000"/>
        </w:rPr>
        <w:t>ORDENA</w:t>
      </w:r>
      <w:r w:rsidRPr="008444E9">
        <w:rPr>
          <w:rFonts w:ascii="Palatino Linotype" w:eastAsia="Palatino Linotype" w:hAnsi="Palatino Linotype" w:cs="Palatino Linotype"/>
          <w:color w:val="000000"/>
        </w:rPr>
        <w:t xml:space="preserve"> entregar vía Sistema de Acceso a la Información Mexiquense </w:t>
      </w:r>
      <w:r w:rsidRPr="008444E9">
        <w:rPr>
          <w:rFonts w:ascii="Palatino Linotype" w:eastAsia="Palatino Linotype" w:hAnsi="Palatino Linotype" w:cs="Palatino Linotype"/>
          <w:b/>
          <w:bCs/>
          <w:color w:val="000000"/>
        </w:rPr>
        <w:t xml:space="preserve">(SAIMEX), </w:t>
      </w:r>
      <w:r w:rsidR="00C57F05" w:rsidRPr="008444E9">
        <w:rPr>
          <w:rFonts w:ascii="Palatino Linotype" w:eastAsia="Palatino Linotype" w:hAnsi="Palatino Linotype" w:cs="Palatino Linotype"/>
          <w:b/>
        </w:rPr>
        <w:t>de manera íntegra</w:t>
      </w:r>
      <w:r w:rsidRPr="008444E9">
        <w:rPr>
          <w:rFonts w:ascii="Palatino Linotype" w:eastAsia="Palatino Linotype" w:hAnsi="Palatino Linotype" w:cs="Palatino Linotype"/>
          <w:b/>
        </w:rPr>
        <w:t>,</w:t>
      </w:r>
      <w:r w:rsidRPr="008444E9">
        <w:rPr>
          <w:rFonts w:ascii="Palatino Linotype" w:eastAsia="Palatino Linotype" w:hAnsi="Palatino Linotype" w:cs="Palatino Linotype"/>
        </w:rPr>
        <w:t xml:space="preserve"> </w:t>
      </w:r>
      <w:r w:rsidR="00C57F05" w:rsidRPr="008444E9">
        <w:rPr>
          <w:rFonts w:ascii="Palatino Linotype" w:eastAsia="Palatino Linotype" w:hAnsi="Palatino Linotype" w:cs="Palatino Linotype"/>
          <w:b/>
          <w:bCs/>
        </w:rPr>
        <w:t xml:space="preserve">el </w:t>
      </w:r>
      <w:r w:rsidR="00C57F05" w:rsidRPr="008444E9">
        <w:rPr>
          <w:rFonts w:ascii="Palatino Linotype" w:eastAsia="Palatino Linotype" w:hAnsi="Palatino Linotype" w:cs="Palatino Linotype"/>
          <w:b/>
        </w:rPr>
        <w:t xml:space="preserve">padrón de beneficiarios </w:t>
      </w:r>
      <w:r w:rsidR="00C57F05" w:rsidRPr="008444E9">
        <w:rPr>
          <w:rFonts w:ascii="Palatino Linotype" w:eastAsia="Palatino Linotype" w:hAnsi="Palatino Linotype" w:cs="Palatino Linotype"/>
          <w:b/>
          <w:color w:val="000000"/>
        </w:rPr>
        <w:t>del</w:t>
      </w:r>
      <w:r w:rsidR="00C57F05" w:rsidRPr="008444E9">
        <w:rPr>
          <w:rFonts w:ascii="Palatino Linotype" w:eastAsia="Palatino Linotype" w:hAnsi="Palatino Linotype" w:cs="Palatino Linotype"/>
          <w:color w:val="000000"/>
        </w:rPr>
        <w:t xml:space="preserve"> </w:t>
      </w:r>
      <w:r w:rsidR="00C57F05" w:rsidRPr="008444E9">
        <w:rPr>
          <w:rFonts w:ascii="Palatino Linotype" w:eastAsia="Palatino Linotype" w:hAnsi="Palatino Linotype" w:cs="Palatino Linotype"/>
          <w:b/>
          <w:color w:val="000000"/>
        </w:rPr>
        <w:t xml:space="preserve">Programa </w:t>
      </w:r>
      <w:r w:rsidR="00C57F05" w:rsidRPr="008444E9">
        <w:rPr>
          <w:rFonts w:ascii="Palatino Linotype" w:eastAsia="Palatino Linotype" w:hAnsi="Palatino Linotype" w:cs="Palatino Linotype"/>
          <w:b/>
          <w:bCs/>
          <w:color w:val="000000"/>
        </w:rPr>
        <w:t>“Merecemos Vivir Mejor”</w:t>
      </w:r>
      <w:r w:rsidR="00C57F05" w:rsidRPr="008444E9">
        <w:rPr>
          <w:rFonts w:ascii="Palatino Linotype" w:eastAsia="Palatino Linotype" w:hAnsi="Palatino Linotype" w:cs="Palatino Linotype"/>
          <w:b/>
          <w:color w:val="000000"/>
        </w:rPr>
        <w:t xml:space="preserve"> del ejercicio fiscal </w:t>
      </w:r>
      <w:r w:rsidR="00C57F05" w:rsidRPr="008444E9">
        <w:rPr>
          <w:rFonts w:ascii="Palatino Linotype" w:eastAsia="Palatino Linotype" w:hAnsi="Palatino Linotype" w:cs="Palatino Linotype"/>
          <w:b/>
          <w:bCs/>
          <w:color w:val="000000"/>
        </w:rPr>
        <w:t>2022, remitido en respuesta.</w:t>
      </w:r>
    </w:p>
    <w:p w:rsidR="00C57F05" w:rsidRPr="00D53BC6" w:rsidRDefault="00C57F05" w:rsidP="00E378E1">
      <w:pPr>
        <w:tabs>
          <w:tab w:val="left" w:pos="8080"/>
        </w:tabs>
        <w:spacing w:line="360" w:lineRule="auto"/>
        <w:ind w:right="49"/>
        <w:jc w:val="both"/>
        <w:rPr>
          <w:rFonts w:ascii="Palatino Linotype" w:eastAsia="Palatino Linotype" w:hAnsi="Palatino Linotype" w:cs="Palatino Linotype"/>
          <w:color w:val="000000"/>
        </w:rPr>
      </w:pPr>
    </w:p>
    <w:p w:rsidR="00E378E1" w:rsidRPr="00D53BC6" w:rsidRDefault="00E378E1" w:rsidP="00E378E1">
      <w:pPr>
        <w:tabs>
          <w:tab w:val="left" w:pos="8080"/>
        </w:tabs>
        <w:spacing w:line="360" w:lineRule="auto"/>
        <w:ind w:right="49"/>
        <w:jc w:val="both"/>
        <w:rPr>
          <w:rFonts w:ascii="Palatino Linotype" w:eastAsia="Palatino Linotype" w:hAnsi="Palatino Linotype" w:cs="Palatino Linotype"/>
          <w:b/>
          <w:bCs/>
        </w:rPr>
      </w:pPr>
      <w:r w:rsidRPr="00D53BC6">
        <w:rPr>
          <w:rFonts w:ascii="Palatino Linotype" w:eastAsia="Palatino Linotype" w:hAnsi="Palatino Linotype" w:cs="Palatino Linotype"/>
          <w:b/>
          <w:bCs/>
        </w:rPr>
        <w:t xml:space="preserve">TERCERO. NOTIFÍQUESE </w:t>
      </w:r>
      <w:r w:rsidRPr="00D53BC6">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53BC6">
        <w:rPr>
          <w:rFonts w:ascii="Palatino Linotype" w:eastAsia="Palatino Linotype" w:hAnsi="Palatino Linotype" w:cs="Palatino Linotype"/>
          <w:b/>
          <w:bCs/>
        </w:rPr>
        <w:t>dé cumplimiento a lo ordenado dentro del plazo de diez días hábiles,</w:t>
      </w:r>
      <w:r w:rsidRPr="00D53BC6">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378E1" w:rsidRPr="00D53BC6" w:rsidRDefault="00E378E1" w:rsidP="00E378E1">
      <w:pPr>
        <w:tabs>
          <w:tab w:val="left" w:pos="8080"/>
        </w:tabs>
        <w:spacing w:line="360" w:lineRule="auto"/>
        <w:ind w:right="49"/>
        <w:jc w:val="both"/>
        <w:rPr>
          <w:rFonts w:ascii="Palatino Linotype" w:eastAsia="Palatino Linotype" w:hAnsi="Palatino Linotype" w:cs="Palatino Linotype"/>
        </w:rPr>
      </w:pPr>
    </w:p>
    <w:p w:rsidR="00E378E1" w:rsidRPr="00D53BC6" w:rsidRDefault="00E378E1" w:rsidP="00E378E1">
      <w:pPr>
        <w:spacing w:line="360" w:lineRule="auto"/>
        <w:jc w:val="both"/>
        <w:rPr>
          <w:rFonts w:ascii="Palatino Linotype" w:eastAsia="Palatino Linotype" w:hAnsi="Palatino Linotype" w:cs="Palatino Linotype"/>
        </w:rPr>
      </w:pPr>
      <w:r w:rsidRPr="00D53BC6">
        <w:rPr>
          <w:rFonts w:ascii="Palatino Linotype" w:eastAsia="Palatino Linotype" w:hAnsi="Palatino Linotype" w:cs="Palatino Linotype"/>
          <w:b/>
          <w:bCs/>
        </w:rPr>
        <w:lastRenderedPageBreak/>
        <w:t xml:space="preserve">CUARTO. </w:t>
      </w:r>
      <w:r w:rsidRPr="00D53BC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53BC6">
        <w:rPr>
          <w:rFonts w:ascii="Palatino Linotype" w:eastAsia="Palatino Linotype" w:hAnsi="Palatino Linotype" w:cs="Palatino Linotype"/>
          <w:b/>
          <w:bCs/>
        </w:rPr>
        <w:t>SUJETO OBLIGADO</w:t>
      </w:r>
      <w:r w:rsidRPr="00D53BC6">
        <w:rPr>
          <w:rFonts w:ascii="Palatino Linotype" w:eastAsia="Palatino Linotype" w:hAnsi="Palatino Linotype" w:cs="Palatino Linotype"/>
        </w:rPr>
        <w:t xml:space="preserve"> de manera fundada y motivada, podrá solicitar una ampliación de plazo para el cumplimiento de la presente resolución.</w:t>
      </w:r>
    </w:p>
    <w:p w:rsidR="00E378E1" w:rsidRPr="00D53BC6" w:rsidRDefault="00E378E1" w:rsidP="00E378E1">
      <w:pPr>
        <w:spacing w:line="360" w:lineRule="auto"/>
        <w:jc w:val="both"/>
        <w:rPr>
          <w:rFonts w:ascii="Palatino Linotype" w:eastAsia="Palatino Linotype" w:hAnsi="Palatino Linotype" w:cs="Palatino Linotype"/>
        </w:rPr>
      </w:pPr>
    </w:p>
    <w:p w:rsidR="00E378E1" w:rsidRPr="00D53BC6" w:rsidRDefault="00E378E1" w:rsidP="00E378E1">
      <w:pPr>
        <w:tabs>
          <w:tab w:val="left" w:pos="8080"/>
        </w:tabs>
        <w:spacing w:line="360" w:lineRule="auto"/>
        <w:ind w:right="49"/>
        <w:jc w:val="both"/>
        <w:rPr>
          <w:rFonts w:ascii="Palatino Linotype" w:eastAsia="Palatino Linotype" w:hAnsi="Palatino Linotype" w:cs="Palatino Linotype"/>
        </w:rPr>
      </w:pPr>
      <w:bookmarkStart w:id="6" w:name="_heading=h.35nkun2" w:colFirst="0" w:colLast="0"/>
      <w:bookmarkEnd w:id="6"/>
      <w:r w:rsidRPr="00D53BC6">
        <w:rPr>
          <w:rFonts w:ascii="Palatino Linotype" w:eastAsia="Palatino Linotype" w:hAnsi="Palatino Linotype" w:cs="Palatino Linotype"/>
          <w:b/>
          <w:bCs/>
        </w:rPr>
        <w:t xml:space="preserve">QUINTO. </w:t>
      </w:r>
      <w:r w:rsidRPr="00D53BC6">
        <w:rPr>
          <w:rFonts w:ascii="Palatino Linotype" w:eastAsia="Palatino Linotype" w:hAnsi="Palatino Linotype" w:cs="Palatino Linotype"/>
        </w:rPr>
        <w:t>Notifíquese a la parte</w:t>
      </w:r>
      <w:r w:rsidRPr="00D53BC6">
        <w:rPr>
          <w:rFonts w:ascii="Palatino Linotype" w:eastAsia="Palatino Linotype" w:hAnsi="Palatino Linotype" w:cs="Palatino Linotype"/>
          <w:b/>
          <w:bCs/>
        </w:rPr>
        <w:t xml:space="preserve"> RECURRENTE</w:t>
      </w:r>
      <w:r w:rsidRPr="00D53BC6">
        <w:rPr>
          <w:rFonts w:ascii="Palatino Linotype" w:eastAsia="Palatino Linotype" w:hAnsi="Palatino Linotype" w:cs="Palatino Linotype"/>
        </w:rPr>
        <w:t xml:space="preserve"> la presente resolución, vía </w:t>
      </w:r>
      <w:r w:rsidRPr="00D53BC6">
        <w:rPr>
          <w:rFonts w:ascii="Palatino Linotype" w:eastAsia="Palatino Linotype" w:hAnsi="Palatino Linotype" w:cs="Palatino Linotype"/>
          <w:b/>
          <w:bCs/>
        </w:rPr>
        <w:t>SAIMEX.</w:t>
      </w:r>
    </w:p>
    <w:p w:rsidR="00E378E1" w:rsidRPr="00D53BC6" w:rsidRDefault="00E378E1" w:rsidP="00E378E1">
      <w:pPr>
        <w:tabs>
          <w:tab w:val="left" w:pos="8080"/>
        </w:tabs>
        <w:spacing w:line="360" w:lineRule="auto"/>
        <w:ind w:right="49"/>
        <w:jc w:val="both"/>
        <w:rPr>
          <w:rFonts w:ascii="Palatino Linotype" w:eastAsia="Palatino Linotype" w:hAnsi="Palatino Linotype" w:cs="Palatino Linotype"/>
        </w:rPr>
      </w:pPr>
    </w:p>
    <w:p w:rsidR="00166CFF" w:rsidRPr="00D53BC6" w:rsidRDefault="00E378E1" w:rsidP="00E378E1">
      <w:pPr>
        <w:pBdr>
          <w:top w:val="nil"/>
          <w:left w:val="nil"/>
          <w:bottom w:val="nil"/>
          <w:right w:val="nil"/>
          <w:between w:val="nil"/>
        </w:pBdr>
        <w:spacing w:line="360" w:lineRule="auto"/>
        <w:jc w:val="both"/>
        <w:rPr>
          <w:rFonts w:ascii="Palatino Linotype" w:eastAsia="Palatino Linotype" w:hAnsi="Palatino Linotype" w:cs="Palatino Linotype"/>
        </w:rPr>
      </w:pPr>
      <w:r w:rsidRPr="00D53BC6">
        <w:rPr>
          <w:rFonts w:ascii="Palatino Linotype" w:eastAsia="Palatino Linotype" w:hAnsi="Palatino Linotype" w:cs="Palatino Linotype"/>
          <w:b/>
          <w:bCs/>
        </w:rPr>
        <w:t>SEXTO.</w:t>
      </w:r>
      <w:r w:rsidR="00916D4C" w:rsidRPr="00D53BC6">
        <w:rPr>
          <w:rFonts w:ascii="Palatino Linotype" w:eastAsia="Palatino Linotype" w:hAnsi="Palatino Linotype" w:cs="Palatino Linotype"/>
        </w:rPr>
        <w:t xml:space="preserve"> Se hace del conocimiento a</w:t>
      </w:r>
      <w:r w:rsidRPr="00D53BC6">
        <w:rPr>
          <w:rFonts w:ascii="Palatino Linotype" w:eastAsia="Palatino Linotype" w:hAnsi="Palatino Linotype" w:cs="Palatino Linotype"/>
        </w:rPr>
        <w:t xml:space="preserve"> la parte</w:t>
      </w:r>
      <w:r w:rsidRPr="00D53BC6">
        <w:rPr>
          <w:rFonts w:ascii="Palatino Linotype" w:eastAsia="Palatino Linotype" w:hAnsi="Palatino Linotype" w:cs="Palatino Linotype"/>
          <w:b/>
          <w:bCs/>
        </w:rPr>
        <w:t xml:space="preserve"> RECURRENTE</w:t>
      </w:r>
      <w:r w:rsidRPr="00D53BC6">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916D4C" w:rsidRPr="00D53BC6" w:rsidRDefault="00916D4C" w:rsidP="00E378E1">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916D4C" w:rsidRPr="00D53BC6" w:rsidRDefault="00916D4C" w:rsidP="00916D4C">
      <w:pPr>
        <w:spacing w:before="240" w:after="240" w:line="360" w:lineRule="auto"/>
        <w:ind w:firstLine="1"/>
        <w:jc w:val="both"/>
        <w:rPr>
          <w:rFonts w:ascii="Palatino Linotype" w:hAnsi="Palatino Linotype"/>
        </w:rPr>
      </w:pPr>
      <w:bookmarkStart w:id="7" w:name="_Hlk99014733"/>
      <w:r w:rsidRPr="00D53BC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SEGUNDA SESIÓN ORDINARIA, CELEBRADA EL VEINTIUNO (21) DE ENERO DE DOS MIL VEINTISÉIS, ANTE EL SECRETARIO TÉCNICO DEL PLENO </w:t>
      </w:r>
      <w:r w:rsidRPr="00D53BC6">
        <w:rPr>
          <w:rFonts w:ascii="Palatino Linotype" w:hAnsi="Palatino Linotype" w:cs="Palatino Linotype"/>
          <w:color w:val="000000" w:themeColor="text1"/>
        </w:rPr>
        <w:t>ALEXIS TAPIA RAMÍREZ.</w:t>
      </w:r>
    </w:p>
    <w:bookmarkEnd w:id="7"/>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jc w:val="both"/>
        <w:rPr>
          <w:rFonts w:ascii="Palatino Linotype" w:eastAsia="Palatino Linotype" w:hAnsi="Palatino Linotype" w:cs="Palatino Linotype"/>
        </w:rPr>
      </w:pPr>
    </w:p>
    <w:p w:rsidR="00166CFF" w:rsidRPr="00D53BC6" w:rsidRDefault="00166CFF">
      <w:pPr>
        <w:spacing w:line="360" w:lineRule="auto"/>
        <w:ind w:right="-592"/>
        <w:rPr>
          <w:rFonts w:ascii="Palatino Linotype" w:eastAsia="Palatino Linotype" w:hAnsi="Palatino Linotype" w:cs="Palatino Linotype"/>
        </w:rPr>
      </w:pPr>
    </w:p>
    <w:p w:rsidR="00166CFF" w:rsidRPr="00D53BC6" w:rsidRDefault="00166CFF">
      <w:pPr>
        <w:spacing w:line="360" w:lineRule="auto"/>
        <w:ind w:right="-592"/>
        <w:rPr>
          <w:rFonts w:ascii="Palatino Linotype" w:eastAsia="Palatino Linotype" w:hAnsi="Palatino Linotype" w:cs="Palatino Linotype"/>
        </w:rPr>
      </w:pPr>
    </w:p>
    <w:p w:rsidR="00166CFF" w:rsidRPr="00D53BC6" w:rsidRDefault="00166CFF">
      <w:pPr>
        <w:spacing w:line="360" w:lineRule="auto"/>
        <w:ind w:right="-592"/>
        <w:rPr>
          <w:rFonts w:ascii="Palatino Linotype" w:eastAsia="Palatino Linotype" w:hAnsi="Palatino Linotype" w:cs="Palatino Linotype"/>
        </w:rPr>
      </w:pPr>
    </w:p>
    <w:p w:rsidR="00166CFF" w:rsidRPr="00D53BC6" w:rsidRDefault="00166CFF">
      <w:pPr>
        <w:spacing w:line="360" w:lineRule="auto"/>
        <w:ind w:right="-592"/>
        <w:rPr>
          <w:rFonts w:ascii="Palatino Linotype" w:eastAsia="Palatino Linotype" w:hAnsi="Palatino Linotype" w:cs="Palatino Linotype"/>
        </w:rPr>
      </w:pPr>
    </w:p>
    <w:p w:rsidR="00166CFF" w:rsidRPr="00D53BC6" w:rsidRDefault="00166CFF">
      <w:pPr>
        <w:spacing w:line="360" w:lineRule="auto"/>
        <w:ind w:right="-592"/>
        <w:rPr>
          <w:rFonts w:ascii="Palatino Linotype" w:eastAsia="Palatino Linotype" w:hAnsi="Palatino Linotype" w:cs="Palatino Linotype"/>
        </w:rPr>
      </w:pPr>
    </w:p>
    <w:p w:rsidR="00166CFF" w:rsidRPr="00D53BC6" w:rsidRDefault="00166CFF">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p w:rsidR="00916D4C" w:rsidRPr="00D53BC6" w:rsidRDefault="00916D4C">
      <w:pPr>
        <w:ind w:right="-592"/>
        <w:rPr>
          <w:rFonts w:ascii="Palatino Linotype" w:eastAsia="Palatino Linotype" w:hAnsi="Palatino Linotype" w:cs="Palatino Linotype"/>
        </w:rPr>
      </w:pPr>
    </w:p>
    <w:sectPr w:rsidR="00916D4C" w:rsidRPr="00D53BC6" w:rsidSect="00D53BC6">
      <w:headerReference w:type="even" r:id="rId20"/>
      <w:headerReference w:type="default" r:id="rId21"/>
      <w:footerReference w:type="default" r:id="rId22"/>
      <w:headerReference w:type="first" r:id="rId23"/>
      <w:footerReference w:type="first" r:id="rId24"/>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16E" w:rsidRDefault="00B5416E">
      <w:r>
        <w:separator/>
      </w:r>
    </w:p>
  </w:endnote>
  <w:endnote w:type="continuationSeparator" w:id="0">
    <w:p w:rsidR="00B5416E" w:rsidRDefault="00B5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9AF74C21-886D-4325-8E15-CD4C4BD782DD}"/>
    <w:embedBold r:id="rId2" w:fontKey="{F93A75D2-60A6-4676-B7BA-93CCF0EDFB05}"/>
    <w:embedItalic r:id="rId3" w:fontKey="{2125A4BA-EC73-4E1A-AE14-07670F2FBD5F}"/>
    <w:embedBoldItalic r:id="rId4" w:fontKey="{1368A89F-1395-4D8A-A3CF-56EA33093FAC}"/>
  </w:font>
  <w:font w:name="Noto Sans Symbols">
    <w:charset w:val="00"/>
    <w:family w:val="auto"/>
    <w:pitch w:val="default"/>
    <w:embedRegular r:id="rId5" w:fontKey="{F48D0954-C777-439C-96CD-CD1FE8EF90A3}"/>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EA9E82FE-B73D-4CB2-9E7F-305F24780DFB}"/>
    <w:embedBold r:id="rId7" w:fontKey="{F3B0B0E3-631B-4E35-922E-3F03B7AC3709}"/>
  </w:font>
  <w:font w:name="Calibri Light">
    <w:panose1 w:val="020F0302020204030204"/>
    <w:charset w:val="00"/>
    <w:family w:val="swiss"/>
    <w:pitch w:val="variable"/>
    <w:sig w:usb0="E4002EFF" w:usb1="C200247B" w:usb2="00000009" w:usb3="00000000" w:csb0="000001FF" w:csb1="00000000"/>
    <w:embedRegular r:id="rId8" w:fontKey="{78F0056A-D6C1-4EC1-8180-38783AACD76A}"/>
  </w:font>
  <w:font w:name="Century Gothic">
    <w:panose1 w:val="020B0502020202020204"/>
    <w:charset w:val="00"/>
    <w:family w:val="swiss"/>
    <w:pitch w:val="variable"/>
    <w:sig w:usb0="00000287" w:usb1="00000000" w:usb2="00000000" w:usb3="00000000" w:csb0="0000009F" w:csb1="00000000"/>
    <w:embedRegular r:id="rId9" w:fontKey="{3C3E7893-29B6-4023-BE0D-FEC4D0927DA7}"/>
  </w:font>
  <w:font w:name="Segoe UI">
    <w:panose1 w:val="020B0502040204020203"/>
    <w:charset w:val="00"/>
    <w:family w:val="swiss"/>
    <w:pitch w:val="variable"/>
    <w:sig w:usb0="E4002EFF" w:usb1="C000E47F" w:usb2="00000009" w:usb3="00000000" w:csb0="000001FF" w:csb1="00000000"/>
    <w:embedRegular r:id="rId10" w:fontKey="{98A7C5B1-4D41-422B-BDA7-921904A62C9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86696847-4CE8-4961-A315-DF40AB183EEB}"/>
  </w:font>
  <w:font w:name="Garamond">
    <w:panose1 w:val="02020404030301010803"/>
    <w:charset w:val="00"/>
    <w:family w:val="roman"/>
    <w:pitch w:val="variable"/>
    <w:sig w:usb0="00000287" w:usb1="00000000" w:usb2="00000000" w:usb3="00000000" w:csb0="0000009F" w:csb1="00000000"/>
    <w:embedRegular r:id="rId12" w:fontKey="{0D6F423F-6108-42B8-932F-E3C547D2B5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50" w:rsidRPr="00D53BC6" w:rsidRDefault="001E305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D53BC6">
      <w:rPr>
        <w:rFonts w:ascii="Palatino Linotype" w:hAnsi="Palatino Linotype"/>
        <w:color w:val="000000"/>
        <w:sz w:val="22"/>
      </w:rPr>
      <w:t xml:space="preserve">Página </w:t>
    </w:r>
    <w:r w:rsidRPr="00D53BC6">
      <w:rPr>
        <w:rFonts w:ascii="Palatino Linotype" w:hAnsi="Palatino Linotype"/>
        <w:b/>
        <w:bCs/>
        <w:color w:val="000000"/>
        <w:sz w:val="22"/>
      </w:rPr>
      <w:fldChar w:fldCharType="begin"/>
    </w:r>
    <w:r w:rsidRPr="00D53BC6">
      <w:rPr>
        <w:rFonts w:ascii="Palatino Linotype" w:hAnsi="Palatino Linotype"/>
        <w:b/>
        <w:bCs/>
        <w:color w:val="000000"/>
        <w:sz w:val="22"/>
      </w:rPr>
      <w:instrText>PAGE</w:instrText>
    </w:r>
    <w:r w:rsidRPr="00D53BC6">
      <w:rPr>
        <w:rFonts w:ascii="Palatino Linotype" w:hAnsi="Palatino Linotype"/>
        <w:b/>
        <w:bCs/>
        <w:color w:val="000000"/>
        <w:sz w:val="22"/>
      </w:rPr>
      <w:fldChar w:fldCharType="separate"/>
    </w:r>
    <w:r w:rsidR="008444E9">
      <w:rPr>
        <w:rFonts w:ascii="Palatino Linotype" w:hAnsi="Palatino Linotype"/>
        <w:b/>
        <w:bCs/>
        <w:noProof/>
        <w:color w:val="000000"/>
        <w:sz w:val="22"/>
      </w:rPr>
      <w:t>21</w:t>
    </w:r>
    <w:r w:rsidRPr="00D53BC6">
      <w:rPr>
        <w:rFonts w:ascii="Palatino Linotype" w:hAnsi="Palatino Linotype"/>
        <w:b/>
        <w:bCs/>
        <w:color w:val="000000"/>
        <w:sz w:val="22"/>
      </w:rPr>
      <w:fldChar w:fldCharType="end"/>
    </w:r>
    <w:r w:rsidRPr="00D53BC6">
      <w:rPr>
        <w:rFonts w:ascii="Palatino Linotype" w:hAnsi="Palatino Linotype"/>
        <w:color w:val="000000"/>
        <w:sz w:val="22"/>
      </w:rPr>
      <w:t xml:space="preserve"> de </w:t>
    </w:r>
    <w:r w:rsidRPr="00D53BC6">
      <w:rPr>
        <w:rFonts w:ascii="Palatino Linotype" w:hAnsi="Palatino Linotype"/>
        <w:b/>
        <w:bCs/>
        <w:color w:val="000000"/>
        <w:sz w:val="22"/>
      </w:rPr>
      <w:fldChar w:fldCharType="begin"/>
    </w:r>
    <w:r w:rsidRPr="00D53BC6">
      <w:rPr>
        <w:rFonts w:ascii="Palatino Linotype" w:hAnsi="Palatino Linotype"/>
        <w:b/>
        <w:bCs/>
        <w:color w:val="000000"/>
        <w:sz w:val="22"/>
      </w:rPr>
      <w:instrText>NUMPAGES</w:instrText>
    </w:r>
    <w:r w:rsidRPr="00D53BC6">
      <w:rPr>
        <w:rFonts w:ascii="Palatino Linotype" w:hAnsi="Palatino Linotype"/>
        <w:b/>
        <w:bCs/>
        <w:color w:val="000000"/>
        <w:sz w:val="22"/>
      </w:rPr>
      <w:fldChar w:fldCharType="separate"/>
    </w:r>
    <w:r w:rsidR="008444E9">
      <w:rPr>
        <w:rFonts w:ascii="Palatino Linotype" w:hAnsi="Palatino Linotype"/>
        <w:b/>
        <w:bCs/>
        <w:noProof/>
        <w:color w:val="000000"/>
        <w:sz w:val="22"/>
      </w:rPr>
      <w:t>26</w:t>
    </w:r>
    <w:r w:rsidRPr="00D53BC6">
      <w:rPr>
        <w:rFonts w:ascii="Palatino Linotype" w:hAnsi="Palatino Linotype"/>
        <w:b/>
        <w:bCs/>
        <w:color w:val="000000"/>
        <w:sz w:val="22"/>
      </w:rPr>
      <w:fldChar w:fldCharType="end"/>
    </w:r>
  </w:p>
  <w:p w:rsidR="001E3050" w:rsidRDefault="001E305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50" w:rsidRPr="00D53BC6" w:rsidRDefault="001E305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D53BC6">
      <w:rPr>
        <w:rFonts w:ascii="Palatino Linotype" w:hAnsi="Palatino Linotype"/>
        <w:color w:val="000000"/>
        <w:sz w:val="22"/>
      </w:rPr>
      <w:t xml:space="preserve">Página </w:t>
    </w:r>
    <w:r w:rsidRPr="00D53BC6">
      <w:rPr>
        <w:rFonts w:ascii="Palatino Linotype" w:hAnsi="Palatino Linotype"/>
        <w:b/>
        <w:bCs/>
        <w:color w:val="000000"/>
        <w:sz w:val="22"/>
      </w:rPr>
      <w:fldChar w:fldCharType="begin"/>
    </w:r>
    <w:r w:rsidRPr="00D53BC6">
      <w:rPr>
        <w:rFonts w:ascii="Palatino Linotype" w:hAnsi="Palatino Linotype"/>
        <w:b/>
        <w:bCs/>
        <w:color w:val="000000"/>
        <w:sz w:val="22"/>
      </w:rPr>
      <w:instrText>PAGE</w:instrText>
    </w:r>
    <w:r w:rsidRPr="00D53BC6">
      <w:rPr>
        <w:rFonts w:ascii="Palatino Linotype" w:hAnsi="Palatino Linotype"/>
        <w:b/>
        <w:bCs/>
        <w:color w:val="000000"/>
        <w:sz w:val="22"/>
      </w:rPr>
      <w:fldChar w:fldCharType="separate"/>
    </w:r>
    <w:r w:rsidR="008444E9">
      <w:rPr>
        <w:rFonts w:ascii="Palatino Linotype" w:hAnsi="Palatino Linotype"/>
        <w:b/>
        <w:bCs/>
        <w:noProof/>
        <w:color w:val="000000"/>
        <w:sz w:val="22"/>
      </w:rPr>
      <w:t>1</w:t>
    </w:r>
    <w:r w:rsidRPr="00D53BC6">
      <w:rPr>
        <w:rFonts w:ascii="Palatino Linotype" w:hAnsi="Palatino Linotype"/>
        <w:b/>
        <w:bCs/>
        <w:color w:val="000000"/>
        <w:sz w:val="22"/>
      </w:rPr>
      <w:fldChar w:fldCharType="end"/>
    </w:r>
    <w:r w:rsidRPr="00D53BC6">
      <w:rPr>
        <w:rFonts w:ascii="Palatino Linotype" w:hAnsi="Palatino Linotype"/>
        <w:color w:val="000000"/>
        <w:sz w:val="22"/>
      </w:rPr>
      <w:t xml:space="preserve"> de </w:t>
    </w:r>
    <w:r w:rsidRPr="00D53BC6">
      <w:rPr>
        <w:rFonts w:ascii="Palatino Linotype" w:hAnsi="Palatino Linotype"/>
        <w:b/>
        <w:bCs/>
        <w:color w:val="000000"/>
        <w:sz w:val="22"/>
      </w:rPr>
      <w:fldChar w:fldCharType="begin"/>
    </w:r>
    <w:r w:rsidRPr="00D53BC6">
      <w:rPr>
        <w:rFonts w:ascii="Palatino Linotype" w:hAnsi="Palatino Linotype"/>
        <w:b/>
        <w:bCs/>
        <w:color w:val="000000"/>
        <w:sz w:val="22"/>
      </w:rPr>
      <w:instrText>NUMPAGES</w:instrText>
    </w:r>
    <w:r w:rsidRPr="00D53BC6">
      <w:rPr>
        <w:rFonts w:ascii="Palatino Linotype" w:hAnsi="Palatino Linotype"/>
        <w:b/>
        <w:bCs/>
        <w:color w:val="000000"/>
        <w:sz w:val="22"/>
      </w:rPr>
      <w:fldChar w:fldCharType="separate"/>
    </w:r>
    <w:r w:rsidR="008444E9">
      <w:rPr>
        <w:rFonts w:ascii="Palatino Linotype" w:hAnsi="Palatino Linotype"/>
        <w:b/>
        <w:bCs/>
        <w:noProof/>
        <w:color w:val="000000"/>
        <w:sz w:val="22"/>
      </w:rPr>
      <w:t>26</w:t>
    </w:r>
    <w:r w:rsidRPr="00D53BC6">
      <w:rPr>
        <w:rFonts w:ascii="Palatino Linotype" w:hAnsi="Palatino Linotype"/>
        <w:b/>
        <w:bCs/>
        <w:color w:val="000000"/>
        <w:sz w:val="22"/>
      </w:rPr>
      <w:fldChar w:fldCharType="end"/>
    </w:r>
  </w:p>
  <w:p w:rsidR="001E3050" w:rsidRDefault="001E305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16E" w:rsidRDefault="00B5416E">
      <w:r>
        <w:separator/>
      </w:r>
    </w:p>
  </w:footnote>
  <w:footnote w:type="continuationSeparator" w:id="0">
    <w:p w:rsidR="00B5416E" w:rsidRDefault="00B5416E">
      <w:r>
        <w:continuationSeparator/>
      </w:r>
    </w:p>
  </w:footnote>
  <w:footnote w:id="1">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C03945" w:rsidRDefault="00C03945" w:rsidP="00C03945">
      <w:pPr>
        <w:pStyle w:val="Textonotapie"/>
      </w:pPr>
      <w:r>
        <w:rPr>
          <w:rStyle w:val="Refdenotaalpie"/>
        </w:rPr>
        <w:footnoteRef/>
      </w:r>
      <w:r>
        <w:t xml:space="preserve"> Disponible para su consulta en </w:t>
      </w:r>
      <w:hyperlink r:id="rId1" w:history="1">
        <w:r w:rsidRPr="00213E1F">
          <w:rPr>
            <w:rStyle w:val="Hipervnculo"/>
          </w:rPr>
          <w:t>https://www.dof.gob.mx/nota_detalle.php?codigo=5436072&amp;fecha=04/05/2016</w:t>
        </w:r>
      </w:hyperlink>
    </w:p>
    <w:p w:rsidR="00C03945" w:rsidRDefault="00C03945" w:rsidP="00C03945">
      <w:pPr>
        <w:pStyle w:val="Textonotapie"/>
      </w:pPr>
    </w:p>
  </w:footnote>
  <w:footnote w:id="6">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7">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8">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9">
    <w:p w:rsidR="001E3050" w:rsidRDefault="001E305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50" w:rsidRDefault="00B5416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10065" w:type="dxa"/>
      <w:tblInd w:w="0" w:type="dxa"/>
      <w:tblLayout w:type="fixed"/>
      <w:tblLook w:val="0400" w:firstRow="0" w:lastRow="0" w:firstColumn="0" w:lastColumn="0" w:noHBand="0" w:noVBand="1"/>
    </w:tblPr>
    <w:tblGrid>
      <w:gridCol w:w="2268"/>
      <w:gridCol w:w="7797"/>
    </w:tblGrid>
    <w:tr w:rsidR="001E3050" w:rsidTr="00D53BC6">
      <w:trPr>
        <w:trHeight w:val="1435"/>
      </w:trPr>
      <w:tc>
        <w:tcPr>
          <w:tcW w:w="2268" w:type="dxa"/>
          <w:shd w:val="clear" w:color="auto" w:fill="auto"/>
        </w:tcPr>
        <w:p w:rsidR="001E3050" w:rsidRDefault="001E3050">
          <w:pPr>
            <w:tabs>
              <w:tab w:val="right" w:pos="4273"/>
            </w:tabs>
            <w:rPr>
              <w:rFonts w:ascii="Garamond" w:eastAsia="Garamond" w:hAnsi="Garamond" w:cs="Garamond"/>
              <w:sz w:val="16"/>
              <w:szCs w:val="16"/>
            </w:rPr>
          </w:pPr>
        </w:p>
      </w:tc>
      <w:tc>
        <w:tcPr>
          <w:tcW w:w="7797" w:type="dxa"/>
          <w:shd w:val="clear" w:color="auto" w:fill="auto"/>
        </w:tcPr>
        <w:tbl>
          <w:tblPr>
            <w:tblStyle w:val="af"/>
            <w:tblW w:w="7642" w:type="dxa"/>
            <w:tblInd w:w="40" w:type="dxa"/>
            <w:tblLayout w:type="fixed"/>
            <w:tblLook w:val="0400" w:firstRow="0" w:lastRow="0" w:firstColumn="0" w:lastColumn="0" w:noHBand="0" w:noVBand="1"/>
          </w:tblPr>
          <w:tblGrid>
            <w:gridCol w:w="3673"/>
            <w:gridCol w:w="3969"/>
          </w:tblGrid>
          <w:tr w:rsidR="001E3050" w:rsidTr="00D53BC6">
            <w:trPr>
              <w:trHeight w:val="150"/>
            </w:trPr>
            <w:tc>
              <w:tcPr>
                <w:tcW w:w="3673" w:type="dxa"/>
                <w:shd w:val="clear" w:color="auto" w:fill="auto"/>
              </w:tcPr>
              <w:p w:rsidR="001E3050" w:rsidRPr="00D53BC6" w:rsidRDefault="001E3050">
                <w:pPr>
                  <w:tabs>
                    <w:tab w:val="right" w:pos="8838"/>
                  </w:tabs>
                  <w:ind w:left="850" w:right="-105"/>
                  <w:jc w:val="both"/>
                  <w:rPr>
                    <w:rFonts w:ascii="Palatino Linotype" w:eastAsia="Palatino Linotype" w:hAnsi="Palatino Linotype" w:cs="Palatino Linotype"/>
                    <w:b/>
                    <w:bCs/>
                    <w:szCs w:val="18"/>
                  </w:rPr>
                </w:pPr>
                <w:r w:rsidRPr="00D53BC6">
                  <w:rPr>
                    <w:rFonts w:ascii="Palatino Linotype" w:eastAsia="Palatino Linotype" w:hAnsi="Palatino Linotype" w:cs="Palatino Linotype"/>
                    <w:b/>
                    <w:bCs/>
                    <w:szCs w:val="18"/>
                  </w:rPr>
                  <w:t>Recurso de Revisión:</w:t>
                </w:r>
              </w:p>
            </w:tc>
            <w:tc>
              <w:tcPr>
                <w:tcW w:w="3969" w:type="dxa"/>
                <w:shd w:val="clear" w:color="auto" w:fill="auto"/>
              </w:tcPr>
              <w:p w:rsidR="001E3050" w:rsidRPr="00D53BC6" w:rsidRDefault="001E3050">
                <w:pPr>
                  <w:tabs>
                    <w:tab w:val="right" w:pos="8838"/>
                  </w:tabs>
                  <w:ind w:right="-781"/>
                  <w:jc w:val="both"/>
                  <w:rPr>
                    <w:rFonts w:ascii="Palatino Linotype" w:eastAsia="Palatino Linotype" w:hAnsi="Palatino Linotype" w:cs="Palatino Linotype"/>
                    <w:szCs w:val="18"/>
                  </w:rPr>
                </w:pPr>
                <w:r w:rsidRPr="00D53BC6">
                  <w:rPr>
                    <w:rFonts w:ascii="Palatino Linotype" w:eastAsia="Palatino Linotype" w:hAnsi="Palatino Linotype" w:cs="Palatino Linotype"/>
                    <w:szCs w:val="18"/>
                  </w:rPr>
                  <w:t>05103/INFOEM/IP/RR/2025</w:t>
                </w:r>
              </w:p>
            </w:tc>
          </w:tr>
          <w:tr w:rsidR="001E3050" w:rsidTr="00D53BC6">
            <w:trPr>
              <w:trHeight w:val="295"/>
            </w:trPr>
            <w:tc>
              <w:tcPr>
                <w:tcW w:w="3673" w:type="dxa"/>
                <w:shd w:val="clear" w:color="auto" w:fill="auto"/>
              </w:tcPr>
              <w:p w:rsidR="001E3050" w:rsidRPr="00D53BC6" w:rsidRDefault="001E3050">
                <w:pPr>
                  <w:tabs>
                    <w:tab w:val="right" w:pos="8838"/>
                  </w:tabs>
                  <w:ind w:left="850" w:right="-105"/>
                  <w:jc w:val="both"/>
                  <w:rPr>
                    <w:rFonts w:ascii="Palatino Linotype" w:eastAsia="Palatino Linotype" w:hAnsi="Palatino Linotype" w:cs="Palatino Linotype"/>
                    <w:b/>
                    <w:bCs/>
                    <w:szCs w:val="18"/>
                  </w:rPr>
                </w:pPr>
                <w:r w:rsidRPr="00D53BC6">
                  <w:rPr>
                    <w:rFonts w:ascii="Palatino Linotype" w:eastAsia="Palatino Linotype" w:hAnsi="Palatino Linotype" w:cs="Palatino Linotype"/>
                    <w:b/>
                    <w:bCs/>
                    <w:szCs w:val="18"/>
                  </w:rPr>
                  <w:t>Sujeto Obligado:</w:t>
                </w:r>
              </w:p>
            </w:tc>
            <w:tc>
              <w:tcPr>
                <w:tcW w:w="3969" w:type="dxa"/>
                <w:shd w:val="clear" w:color="auto" w:fill="auto"/>
              </w:tcPr>
              <w:p w:rsidR="001E3050" w:rsidRPr="00D53BC6" w:rsidRDefault="001E3050">
                <w:pPr>
                  <w:tabs>
                    <w:tab w:val="left" w:pos="2834"/>
                    <w:tab w:val="right" w:pos="8838"/>
                  </w:tabs>
                  <w:ind w:right="-1552"/>
                  <w:jc w:val="both"/>
                  <w:rPr>
                    <w:rFonts w:ascii="Palatino Linotype" w:eastAsia="Palatino Linotype" w:hAnsi="Palatino Linotype" w:cs="Palatino Linotype"/>
                    <w:szCs w:val="18"/>
                  </w:rPr>
                </w:pPr>
                <w:r w:rsidRPr="00D53BC6">
                  <w:rPr>
                    <w:rFonts w:ascii="Palatino Linotype" w:eastAsia="Palatino Linotype" w:hAnsi="Palatino Linotype" w:cs="Palatino Linotype"/>
                    <w:szCs w:val="18"/>
                  </w:rPr>
                  <w:t>Ayuntamiento de Zinacantepec</w:t>
                </w:r>
              </w:p>
            </w:tc>
          </w:tr>
          <w:tr w:rsidR="001E3050" w:rsidTr="00D53BC6">
            <w:trPr>
              <w:trHeight w:val="295"/>
            </w:trPr>
            <w:tc>
              <w:tcPr>
                <w:tcW w:w="3673" w:type="dxa"/>
                <w:shd w:val="clear" w:color="auto" w:fill="auto"/>
              </w:tcPr>
              <w:p w:rsidR="001E3050" w:rsidRPr="00D53BC6" w:rsidRDefault="001E3050">
                <w:pPr>
                  <w:tabs>
                    <w:tab w:val="right" w:pos="8838"/>
                  </w:tabs>
                  <w:ind w:left="850" w:right="-105"/>
                  <w:jc w:val="both"/>
                  <w:rPr>
                    <w:rFonts w:ascii="Palatino Linotype" w:eastAsia="Palatino Linotype" w:hAnsi="Palatino Linotype" w:cs="Palatino Linotype"/>
                    <w:b/>
                    <w:bCs/>
                    <w:szCs w:val="18"/>
                  </w:rPr>
                </w:pPr>
                <w:r w:rsidRPr="00D53BC6">
                  <w:rPr>
                    <w:rFonts w:ascii="Palatino Linotype" w:eastAsia="Palatino Linotype" w:hAnsi="Palatino Linotype" w:cs="Palatino Linotype"/>
                    <w:b/>
                    <w:bCs/>
                    <w:szCs w:val="18"/>
                  </w:rPr>
                  <w:t>Comisionada ponente:</w:t>
                </w:r>
              </w:p>
            </w:tc>
            <w:tc>
              <w:tcPr>
                <w:tcW w:w="3969" w:type="dxa"/>
                <w:shd w:val="clear" w:color="auto" w:fill="auto"/>
              </w:tcPr>
              <w:p w:rsidR="001E3050" w:rsidRPr="00D53BC6" w:rsidRDefault="001E3050">
                <w:pPr>
                  <w:tabs>
                    <w:tab w:val="right" w:pos="8838"/>
                  </w:tabs>
                  <w:ind w:right="-781"/>
                  <w:jc w:val="both"/>
                  <w:rPr>
                    <w:rFonts w:ascii="Palatino Linotype" w:eastAsia="Palatino Linotype" w:hAnsi="Palatino Linotype" w:cs="Palatino Linotype"/>
                    <w:szCs w:val="18"/>
                  </w:rPr>
                </w:pPr>
                <w:r w:rsidRPr="00D53BC6">
                  <w:rPr>
                    <w:rFonts w:ascii="Palatino Linotype" w:eastAsia="Palatino Linotype" w:hAnsi="Palatino Linotype" w:cs="Palatino Linotype"/>
                    <w:szCs w:val="18"/>
                  </w:rPr>
                  <w:t>María del Rosario Mejía Ayala</w:t>
                </w:r>
              </w:p>
              <w:p w:rsidR="001E3050" w:rsidRPr="00D53BC6" w:rsidRDefault="001E3050">
                <w:pPr>
                  <w:tabs>
                    <w:tab w:val="right" w:pos="8838"/>
                  </w:tabs>
                  <w:ind w:left="141" w:right="-781"/>
                  <w:jc w:val="both"/>
                  <w:rPr>
                    <w:rFonts w:ascii="Palatino Linotype" w:eastAsia="Palatino Linotype" w:hAnsi="Palatino Linotype" w:cs="Palatino Linotype"/>
                    <w:szCs w:val="18"/>
                  </w:rPr>
                </w:pPr>
              </w:p>
            </w:tc>
          </w:tr>
        </w:tbl>
        <w:p w:rsidR="001E3050" w:rsidRDefault="001E3050">
          <w:pPr>
            <w:tabs>
              <w:tab w:val="right" w:pos="8838"/>
            </w:tabs>
            <w:ind w:left="-28"/>
            <w:jc w:val="both"/>
            <w:rPr>
              <w:rFonts w:ascii="Arial" w:eastAsia="Arial" w:hAnsi="Arial" w:cs="Arial"/>
              <w:b/>
              <w:bCs/>
              <w:sz w:val="18"/>
              <w:szCs w:val="18"/>
            </w:rPr>
          </w:pPr>
        </w:p>
      </w:tc>
    </w:tr>
  </w:tbl>
  <w:p w:rsidR="001E3050" w:rsidRDefault="00B5416E">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10065" w:type="dxa"/>
      <w:tblInd w:w="0" w:type="dxa"/>
      <w:tblLayout w:type="fixed"/>
      <w:tblLook w:val="0400" w:firstRow="0" w:lastRow="0" w:firstColumn="0" w:lastColumn="0" w:noHBand="0" w:noVBand="1"/>
    </w:tblPr>
    <w:tblGrid>
      <w:gridCol w:w="2265"/>
      <w:gridCol w:w="7800"/>
    </w:tblGrid>
    <w:tr w:rsidR="001E3050">
      <w:trPr>
        <w:trHeight w:val="1435"/>
      </w:trPr>
      <w:tc>
        <w:tcPr>
          <w:tcW w:w="2265" w:type="dxa"/>
          <w:shd w:val="clear" w:color="auto" w:fill="auto"/>
        </w:tcPr>
        <w:p w:rsidR="001E3050" w:rsidRDefault="001E3050">
          <w:pPr>
            <w:tabs>
              <w:tab w:val="right" w:pos="4273"/>
            </w:tabs>
            <w:rPr>
              <w:rFonts w:ascii="Garamond" w:eastAsia="Garamond" w:hAnsi="Garamond" w:cs="Garamond"/>
              <w:sz w:val="22"/>
              <w:szCs w:val="22"/>
            </w:rPr>
          </w:pPr>
        </w:p>
      </w:tc>
      <w:tc>
        <w:tcPr>
          <w:tcW w:w="7800" w:type="dxa"/>
          <w:shd w:val="clear" w:color="auto" w:fill="auto"/>
        </w:tcPr>
        <w:tbl>
          <w:tblPr>
            <w:tblStyle w:val="af1"/>
            <w:tblW w:w="7643" w:type="dxa"/>
            <w:tblInd w:w="1164" w:type="dxa"/>
            <w:tblLayout w:type="fixed"/>
            <w:tblLook w:val="0400" w:firstRow="0" w:lastRow="0" w:firstColumn="0" w:lastColumn="0" w:noHBand="0" w:noVBand="1"/>
          </w:tblPr>
          <w:tblGrid>
            <w:gridCol w:w="2723"/>
            <w:gridCol w:w="4920"/>
          </w:tblGrid>
          <w:tr w:rsidR="001E3050" w:rsidTr="00D53BC6">
            <w:trPr>
              <w:trHeight w:val="144"/>
            </w:trPr>
            <w:tc>
              <w:tcPr>
                <w:tcW w:w="2723" w:type="dxa"/>
                <w:shd w:val="clear" w:color="auto" w:fill="auto"/>
              </w:tcPr>
              <w:p w:rsidR="001E3050" w:rsidRPr="00D53BC6" w:rsidRDefault="001E3050">
                <w:pPr>
                  <w:tabs>
                    <w:tab w:val="right" w:pos="8838"/>
                  </w:tabs>
                  <w:ind w:left="-264" w:right="-105" w:firstLine="195"/>
                  <w:rPr>
                    <w:rFonts w:ascii="Palatino Linotype" w:eastAsia="Palatino Linotype" w:hAnsi="Palatino Linotype" w:cs="Palatino Linotype"/>
                    <w:b/>
                    <w:bCs/>
                    <w:szCs w:val="18"/>
                  </w:rPr>
                </w:pPr>
                <w:r w:rsidRPr="00D53BC6">
                  <w:rPr>
                    <w:rFonts w:ascii="Palatino Linotype" w:eastAsia="Palatino Linotype" w:hAnsi="Palatino Linotype" w:cs="Palatino Linotype"/>
                    <w:b/>
                    <w:bCs/>
                    <w:szCs w:val="18"/>
                  </w:rPr>
                  <w:t>Recurso de Revisión:</w:t>
                </w:r>
              </w:p>
            </w:tc>
            <w:tc>
              <w:tcPr>
                <w:tcW w:w="4920" w:type="dxa"/>
                <w:shd w:val="clear" w:color="auto" w:fill="auto"/>
              </w:tcPr>
              <w:p w:rsidR="001E3050" w:rsidRPr="00D53BC6" w:rsidRDefault="001E3050">
                <w:pPr>
                  <w:tabs>
                    <w:tab w:val="right" w:pos="8838"/>
                  </w:tabs>
                  <w:ind w:right="-1552"/>
                  <w:rPr>
                    <w:rFonts w:ascii="Palatino Linotype" w:eastAsia="Palatino Linotype" w:hAnsi="Palatino Linotype" w:cs="Palatino Linotype"/>
                    <w:szCs w:val="18"/>
                  </w:rPr>
                </w:pPr>
                <w:r w:rsidRPr="00D53BC6">
                  <w:rPr>
                    <w:rFonts w:ascii="Palatino Linotype" w:eastAsia="Palatino Linotype" w:hAnsi="Palatino Linotype" w:cs="Palatino Linotype"/>
                    <w:szCs w:val="18"/>
                  </w:rPr>
                  <w:t>05103/INFOEM/IP/RR/2025</w:t>
                </w:r>
              </w:p>
            </w:tc>
          </w:tr>
          <w:tr w:rsidR="001E3050" w:rsidTr="00D53BC6">
            <w:trPr>
              <w:trHeight w:val="144"/>
            </w:trPr>
            <w:tc>
              <w:tcPr>
                <w:tcW w:w="2723" w:type="dxa"/>
                <w:shd w:val="clear" w:color="auto" w:fill="auto"/>
              </w:tcPr>
              <w:p w:rsidR="001E3050" w:rsidRPr="00D53BC6" w:rsidRDefault="001E3050">
                <w:pPr>
                  <w:tabs>
                    <w:tab w:val="right" w:pos="8838"/>
                  </w:tabs>
                  <w:ind w:left="-74" w:right="-105"/>
                  <w:rPr>
                    <w:rFonts w:ascii="Palatino Linotype" w:eastAsia="Palatino Linotype" w:hAnsi="Palatino Linotype" w:cs="Palatino Linotype"/>
                    <w:b/>
                    <w:bCs/>
                    <w:szCs w:val="18"/>
                  </w:rPr>
                </w:pPr>
                <w:r w:rsidRPr="00D53BC6">
                  <w:rPr>
                    <w:rFonts w:ascii="Palatino Linotype" w:eastAsia="Palatino Linotype" w:hAnsi="Palatino Linotype" w:cs="Palatino Linotype"/>
                    <w:b/>
                    <w:bCs/>
                    <w:szCs w:val="18"/>
                  </w:rPr>
                  <w:t>Recurrente:</w:t>
                </w:r>
              </w:p>
            </w:tc>
            <w:tc>
              <w:tcPr>
                <w:tcW w:w="4920" w:type="dxa"/>
                <w:shd w:val="clear" w:color="auto" w:fill="auto"/>
              </w:tcPr>
              <w:p w:rsidR="001E3050" w:rsidRPr="00D53BC6" w:rsidRDefault="001E3050">
                <w:pPr>
                  <w:tabs>
                    <w:tab w:val="left" w:pos="3122"/>
                    <w:tab w:val="right" w:pos="8838"/>
                  </w:tabs>
                  <w:ind w:right="-1552"/>
                  <w:rPr>
                    <w:rFonts w:ascii="Palatino Linotype" w:eastAsia="Palatino Linotype" w:hAnsi="Palatino Linotype" w:cs="Palatino Linotype"/>
                    <w:szCs w:val="18"/>
                  </w:rPr>
                </w:pPr>
              </w:p>
            </w:tc>
          </w:tr>
          <w:tr w:rsidR="001E3050" w:rsidTr="00D53BC6">
            <w:trPr>
              <w:trHeight w:val="80"/>
            </w:trPr>
            <w:tc>
              <w:tcPr>
                <w:tcW w:w="2723" w:type="dxa"/>
                <w:shd w:val="clear" w:color="auto" w:fill="auto"/>
              </w:tcPr>
              <w:p w:rsidR="001E3050" w:rsidRPr="00D53BC6" w:rsidRDefault="001E3050">
                <w:pPr>
                  <w:tabs>
                    <w:tab w:val="right" w:pos="8838"/>
                  </w:tabs>
                  <w:ind w:left="-74" w:right="-105"/>
                  <w:rPr>
                    <w:rFonts w:ascii="Palatino Linotype" w:eastAsia="Palatino Linotype" w:hAnsi="Palatino Linotype" w:cs="Palatino Linotype"/>
                    <w:b/>
                    <w:bCs/>
                    <w:szCs w:val="18"/>
                  </w:rPr>
                </w:pPr>
                <w:r w:rsidRPr="00D53BC6">
                  <w:rPr>
                    <w:rFonts w:ascii="Palatino Linotype" w:eastAsia="Palatino Linotype" w:hAnsi="Palatino Linotype" w:cs="Palatino Linotype"/>
                    <w:b/>
                    <w:bCs/>
                    <w:szCs w:val="18"/>
                  </w:rPr>
                  <w:t>Sujeto Obligado:</w:t>
                </w:r>
              </w:p>
            </w:tc>
            <w:tc>
              <w:tcPr>
                <w:tcW w:w="4920" w:type="dxa"/>
                <w:shd w:val="clear" w:color="auto" w:fill="auto"/>
              </w:tcPr>
              <w:p w:rsidR="001E3050" w:rsidRPr="00D53BC6" w:rsidRDefault="001E3050">
                <w:pPr>
                  <w:tabs>
                    <w:tab w:val="left" w:pos="2834"/>
                    <w:tab w:val="right" w:pos="8838"/>
                  </w:tabs>
                  <w:ind w:right="-1552"/>
                  <w:rPr>
                    <w:rFonts w:ascii="Palatino Linotype" w:eastAsia="Palatino Linotype" w:hAnsi="Palatino Linotype" w:cs="Palatino Linotype"/>
                    <w:szCs w:val="18"/>
                  </w:rPr>
                </w:pPr>
                <w:r w:rsidRPr="00D53BC6">
                  <w:rPr>
                    <w:rFonts w:ascii="Palatino Linotype" w:eastAsia="Palatino Linotype" w:hAnsi="Palatino Linotype" w:cs="Palatino Linotype"/>
                    <w:szCs w:val="18"/>
                  </w:rPr>
                  <w:t>Ayuntamiento de Zinacantepec</w:t>
                </w:r>
              </w:p>
            </w:tc>
          </w:tr>
          <w:tr w:rsidR="001E3050" w:rsidTr="00D53BC6">
            <w:trPr>
              <w:trHeight w:val="283"/>
            </w:trPr>
            <w:tc>
              <w:tcPr>
                <w:tcW w:w="2723" w:type="dxa"/>
                <w:shd w:val="clear" w:color="auto" w:fill="auto"/>
              </w:tcPr>
              <w:p w:rsidR="001E3050" w:rsidRPr="00D53BC6" w:rsidRDefault="00D53BC6" w:rsidP="00D53BC6">
                <w:pPr>
                  <w:tabs>
                    <w:tab w:val="right" w:pos="8838"/>
                  </w:tabs>
                  <w:ind w:left="-115" w:right="-105"/>
                  <w:rPr>
                    <w:rFonts w:ascii="Palatino Linotype" w:eastAsia="Palatino Linotype" w:hAnsi="Palatino Linotype" w:cs="Palatino Linotype"/>
                    <w:b/>
                    <w:bCs/>
                    <w:szCs w:val="18"/>
                  </w:rPr>
                </w:pPr>
                <w:r>
                  <w:rPr>
                    <w:rFonts w:ascii="Palatino Linotype" w:eastAsia="Palatino Linotype" w:hAnsi="Palatino Linotype" w:cs="Palatino Linotype"/>
                    <w:b/>
                    <w:bCs/>
                    <w:szCs w:val="18"/>
                  </w:rPr>
                  <w:t xml:space="preserve"> </w:t>
                </w:r>
                <w:r w:rsidR="001E3050" w:rsidRPr="00D53BC6">
                  <w:rPr>
                    <w:rFonts w:ascii="Palatino Linotype" w:eastAsia="Palatino Linotype" w:hAnsi="Palatino Linotype" w:cs="Palatino Linotype"/>
                    <w:b/>
                    <w:bCs/>
                    <w:szCs w:val="18"/>
                  </w:rPr>
                  <w:t>Comisionada ponente:</w:t>
                </w:r>
              </w:p>
            </w:tc>
            <w:tc>
              <w:tcPr>
                <w:tcW w:w="4920" w:type="dxa"/>
                <w:shd w:val="clear" w:color="auto" w:fill="auto"/>
              </w:tcPr>
              <w:p w:rsidR="001E3050" w:rsidRPr="00D53BC6" w:rsidRDefault="001E3050">
                <w:pPr>
                  <w:tabs>
                    <w:tab w:val="right" w:pos="8838"/>
                  </w:tabs>
                  <w:ind w:right="-1552"/>
                  <w:rPr>
                    <w:rFonts w:ascii="Palatino Linotype" w:eastAsia="Palatino Linotype" w:hAnsi="Palatino Linotype" w:cs="Palatino Linotype"/>
                    <w:szCs w:val="18"/>
                  </w:rPr>
                </w:pPr>
                <w:r w:rsidRPr="00D53BC6">
                  <w:rPr>
                    <w:rFonts w:ascii="Palatino Linotype" w:eastAsia="Palatino Linotype" w:hAnsi="Palatino Linotype" w:cs="Palatino Linotype"/>
                    <w:szCs w:val="18"/>
                  </w:rPr>
                  <w:t>María del Rosario Mejía Ayala</w:t>
                </w:r>
              </w:p>
              <w:p w:rsidR="001E3050" w:rsidRPr="00D53BC6" w:rsidRDefault="001E3050">
                <w:pPr>
                  <w:tabs>
                    <w:tab w:val="right" w:pos="8838"/>
                  </w:tabs>
                  <w:ind w:right="-1552"/>
                  <w:rPr>
                    <w:rFonts w:ascii="Palatino Linotype" w:eastAsia="Palatino Linotype" w:hAnsi="Palatino Linotype" w:cs="Palatino Linotype"/>
                    <w:szCs w:val="18"/>
                  </w:rPr>
                </w:pPr>
              </w:p>
            </w:tc>
          </w:tr>
        </w:tbl>
        <w:p w:rsidR="001E3050" w:rsidRDefault="001E3050">
          <w:pPr>
            <w:tabs>
              <w:tab w:val="right" w:pos="8838"/>
            </w:tabs>
            <w:ind w:left="-28"/>
            <w:jc w:val="both"/>
            <w:rPr>
              <w:rFonts w:ascii="Arial" w:eastAsia="Arial" w:hAnsi="Arial" w:cs="Arial"/>
              <w:b/>
              <w:bCs/>
              <w:sz w:val="22"/>
              <w:szCs w:val="22"/>
            </w:rPr>
          </w:pPr>
        </w:p>
      </w:tc>
    </w:tr>
  </w:tbl>
  <w:p w:rsidR="001E3050" w:rsidRDefault="00B5416E">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56AFB"/>
    <w:multiLevelType w:val="multilevel"/>
    <w:tmpl w:val="CD16708E"/>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2A2E7F"/>
    <w:multiLevelType w:val="hybridMultilevel"/>
    <w:tmpl w:val="00EE1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FC21D4"/>
    <w:multiLevelType w:val="hybridMultilevel"/>
    <w:tmpl w:val="C6C297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FD5D4C"/>
    <w:multiLevelType w:val="multilevel"/>
    <w:tmpl w:val="FF40CE0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7042056"/>
    <w:multiLevelType w:val="multilevel"/>
    <w:tmpl w:val="65BC6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A04B08"/>
    <w:multiLevelType w:val="multilevel"/>
    <w:tmpl w:val="5DB8D73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2271145"/>
    <w:multiLevelType w:val="multilevel"/>
    <w:tmpl w:val="90883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3"/>
  </w:num>
  <w:num w:numId="3">
    <w:abstractNumId w:val="9"/>
  </w:num>
  <w:num w:numId="4">
    <w:abstractNumId w:val="5"/>
  </w:num>
  <w:num w:numId="5">
    <w:abstractNumId w:val="4"/>
  </w:num>
  <w:num w:numId="6">
    <w:abstractNumId w:val="0"/>
  </w:num>
  <w:num w:numId="7">
    <w:abstractNumId w:val="7"/>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CFF"/>
    <w:rsid w:val="00154250"/>
    <w:rsid w:val="00161919"/>
    <w:rsid w:val="00166CFF"/>
    <w:rsid w:val="001E3050"/>
    <w:rsid w:val="00654953"/>
    <w:rsid w:val="008444E9"/>
    <w:rsid w:val="00916D4C"/>
    <w:rsid w:val="00A5623A"/>
    <w:rsid w:val="00B50E32"/>
    <w:rsid w:val="00B5416E"/>
    <w:rsid w:val="00C03945"/>
    <w:rsid w:val="00C57F05"/>
    <w:rsid w:val="00D53BC6"/>
    <w:rsid w:val="00D714A1"/>
    <w:rsid w:val="00E378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FBB50E-8E60-4E49-BFCD-62772FE0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05527.page" TargetMode="External"/><Relationship Id="rId13" Type="http://schemas.openxmlformats.org/officeDocument/2006/relationships/hyperlink" Target="https://saimex.org.mx/saimex/solicitud/downloadAttach/2414711.page"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aimex.org.mx/saimex/solicitud/downloadAttach/2406102.pag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405530.pag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https://saimex.org.mx/saimex/solicitud/downloadAttach/2405529.pag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saimex.org.mx/saimex/solicitud/downloadAttach/2405528.page" TargetMode="External"/><Relationship Id="rId14" Type="http://schemas.openxmlformats.org/officeDocument/2006/relationships/hyperlink" Target="https://saimex.org.mx/saimex/solicitud/downloadAttach/2415640.page"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dof.gob.mx/nota_detalle.php?codigo=5436072&amp;fecha=04/05/20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cXvjzHKIqzyRnHYJPxhI3NZhuA==">CgMxLjAyCWguM3pueXNoNzIJaC4zZHk2dmttMghoLmdqZGd4czIJaC4zMGowemxsMg5oLjVlbjhjYWt4N21pdzIOaC4yMDI2enVlZjMzOGEyDmguNHc2eG0wazZkOWZzMg5oLmV3Yzh6dTV3eTAzejgAciExc0s4ZV9fXzVZUmJvN0xTcVNuNW9aRVNMTTlvR0c3Nmw=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6185</Words>
  <Characters>34020</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10</cp:revision>
  <dcterms:created xsi:type="dcterms:W3CDTF">2026-01-19T21:03:00Z</dcterms:created>
  <dcterms:modified xsi:type="dcterms:W3CDTF">2026-02-03T18:52:00Z</dcterms:modified>
</cp:coreProperties>
</file>