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324" w:rsidRDefault="00C2737F">
      <w:pPr>
        <w:spacing w:before="240" w:after="240"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730A9B">
        <w:rPr>
          <w:rFonts w:ascii="Palatino Linotype" w:eastAsia="Palatino Linotype" w:hAnsi="Palatino Linotype" w:cs="Palatino Linotype"/>
          <w:b/>
          <w:bCs/>
        </w:rPr>
        <w:t>veintisiete</w:t>
      </w:r>
      <w:r w:rsidR="008A5ED9">
        <w:rPr>
          <w:rFonts w:ascii="Palatino Linotype" w:eastAsia="Palatino Linotype" w:hAnsi="Palatino Linotype" w:cs="Palatino Linotype"/>
          <w:b/>
          <w:bCs/>
        </w:rPr>
        <w:t xml:space="preserve"> (27)</w:t>
      </w:r>
      <w:r w:rsidR="00730A9B">
        <w:rPr>
          <w:rFonts w:ascii="Palatino Linotype" w:eastAsia="Palatino Linotype" w:hAnsi="Palatino Linotype" w:cs="Palatino Linotype"/>
          <w:b/>
          <w:bCs/>
        </w:rPr>
        <w:t xml:space="preserve"> </w:t>
      </w:r>
      <w:r>
        <w:rPr>
          <w:rFonts w:ascii="Palatino Linotype" w:eastAsia="Palatino Linotype" w:hAnsi="Palatino Linotype" w:cs="Palatino Linotype"/>
          <w:b/>
          <w:bCs/>
        </w:rPr>
        <w:t>de mayo de dos mil veintiséis.</w:t>
      </w:r>
    </w:p>
    <w:p w:rsidR="00985324" w:rsidRDefault="00C2737F">
      <w:pPr>
        <w:spacing w:line="360" w:lineRule="auto"/>
        <w:ind w:right="-1071"/>
        <w:jc w:val="both"/>
        <w:rPr>
          <w:rFonts w:ascii="Palatino Linotype" w:eastAsia="Palatino Linotype" w:hAnsi="Palatino Linotype" w:cs="Palatino Linotype"/>
        </w:rPr>
      </w:pPr>
      <w:bookmarkStart w:id="0" w:name="_heading=h.1t3h5sf" w:colFirst="0" w:colLast="0"/>
      <w:bookmarkEnd w:id="0"/>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formado con motivo del recurso de revisión </w:t>
      </w:r>
      <w:r>
        <w:rPr>
          <w:rFonts w:ascii="Palatino Linotype" w:eastAsia="Palatino Linotype" w:hAnsi="Palatino Linotype" w:cs="Palatino Linotype"/>
          <w:b/>
          <w:bCs/>
        </w:rPr>
        <w:t>03328/INFOEM/AD/RR/2026</w:t>
      </w:r>
      <w:r>
        <w:rPr>
          <w:rFonts w:ascii="Palatino Linotype" w:eastAsia="Palatino Linotype" w:hAnsi="Palatino Linotype" w:cs="Palatino Linotype"/>
        </w:rPr>
        <w:t xml:space="preserve">, promovido por </w:t>
      </w:r>
      <w:r w:rsidR="0029375A">
        <w:rPr>
          <w:rFonts w:ascii="Palatino Linotype" w:eastAsia="Palatino Linotype" w:hAnsi="Palatino Linotype" w:cs="Palatino Linotype"/>
          <w:b/>
          <w:bCs/>
        </w:rPr>
        <w:t>XXXX</w:t>
      </w:r>
      <w:r>
        <w:rPr>
          <w:rFonts w:ascii="Palatino Linotype" w:eastAsia="Palatino Linotype" w:hAnsi="Palatino Linotype" w:cs="Palatino Linotype"/>
          <w:b/>
          <w:bCs/>
        </w:rPr>
        <w:t xml:space="preserve">, </w:t>
      </w:r>
      <w:r>
        <w:rPr>
          <w:rFonts w:ascii="Palatino Linotype" w:eastAsia="Palatino Linotype" w:hAnsi="Palatino Linotype" w:cs="Palatino Linotype"/>
        </w:rPr>
        <w:t>en lo sucesivo la parte</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Instituto de Seguridad Social del Estado de México y Municipios,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xml:space="preserve"> se procede a dictar la presente resolución con base en los siguientes: </w:t>
      </w:r>
    </w:p>
    <w:p w:rsidR="00985324" w:rsidRDefault="00985324">
      <w:pPr>
        <w:spacing w:line="360" w:lineRule="auto"/>
        <w:ind w:right="-1071"/>
        <w:jc w:val="both"/>
        <w:rPr>
          <w:rFonts w:ascii="Palatino Linotype" w:eastAsia="Palatino Linotype" w:hAnsi="Palatino Linotype" w:cs="Palatino Linotype"/>
        </w:rPr>
      </w:pPr>
      <w:bookmarkStart w:id="1" w:name="_heading=h.2fqr1ycv5hxg" w:colFirst="0" w:colLast="0"/>
      <w:bookmarkEnd w:id="1"/>
    </w:p>
    <w:p w:rsidR="00985324" w:rsidRDefault="00C2737F">
      <w:pPr>
        <w:spacing w:before="240" w:after="240" w:line="360" w:lineRule="auto"/>
        <w:ind w:right="-1071"/>
        <w:jc w:val="center"/>
        <w:rPr>
          <w:rFonts w:ascii="Palatino Linotype" w:eastAsia="Palatino Linotype" w:hAnsi="Palatino Linotype" w:cs="Palatino Linotype"/>
          <w:b/>
          <w:bCs/>
        </w:rPr>
      </w:pPr>
      <w:r>
        <w:rPr>
          <w:rFonts w:ascii="Palatino Linotype" w:eastAsia="Palatino Linotype" w:hAnsi="Palatino Linotype" w:cs="Palatino Linotype"/>
          <w:b/>
          <w:bCs/>
        </w:rPr>
        <w:t>A N T E C E D E N T E S</w:t>
      </w: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b/>
          <w:bCs/>
          <w:color w:val="000000"/>
        </w:rPr>
        <w:t xml:space="preserve">Solicitud de Acceso a Datos. </w:t>
      </w:r>
      <w:r>
        <w:rPr>
          <w:rFonts w:ascii="Palatino Linotype" w:eastAsia="Palatino Linotype" w:hAnsi="Palatino Linotype" w:cs="Palatino Linotype"/>
          <w:color w:val="000000"/>
        </w:rPr>
        <w:t xml:space="preserve">En fecha </w:t>
      </w:r>
      <w:r>
        <w:rPr>
          <w:rFonts w:ascii="Palatino Linotype" w:eastAsia="Palatino Linotype" w:hAnsi="Palatino Linotype" w:cs="Palatino Linotype"/>
          <w:b/>
          <w:bCs/>
        </w:rPr>
        <w:t>cinco de febrero de dos mil veintiséis</w:t>
      </w:r>
      <w:r>
        <w:rPr>
          <w:rFonts w:ascii="Palatino Linotype" w:eastAsia="Palatino Linotype" w:hAnsi="Palatino Linotype" w:cs="Palatino Linotype"/>
        </w:rPr>
        <w:t xml:space="preserve">, se tuvo por presentada ante el Instituto de Transparencia, Acceso a la información Pública y Protección de Datos Personales del Estado de México y Municipios, a través del Sistema de Acceso, Rectificación, Cancelación y Oposición de Datos Personales del Estado de México (SARCOEM), la solicitud de Acceso a Datos Personales número </w:t>
      </w:r>
      <w:r>
        <w:rPr>
          <w:rFonts w:ascii="Palatino Linotype" w:eastAsia="Palatino Linotype" w:hAnsi="Palatino Linotype" w:cs="Palatino Linotype"/>
          <w:b/>
          <w:bCs/>
        </w:rPr>
        <w:t>00166/ISSEMYM/AD/2026</w:t>
      </w:r>
      <w:r>
        <w:rPr>
          <w:rFonts w:ascii="Palatino Linotype" w:eastAsia="Palatino Linotype" w:hAnsi="Palatino Linotype" w:cs="Palatino Linotype"/>
        </w:rPr>
        <w:t xml:space="preserve">, dirigida al </w:t>
      </w:r>
      <w:r>
        <w:rPr>
          <w:rFonts w:ascii="Palatino Linotype" w:eastAsia="Palatino Linotype" w:hAnsi="Palatino Linotype" w:cs="Palatino Linotype"/>
          <w:b/>
          <w:bCs/>
        </w:rPr>
        <w:t>Instituto de Seguridad Social del Estado de México y Municipios</w:t>
      </w:r>
      <w:r>
        <w:rPr>
          <w:rFonts w:ascii="Palatino Linotype" w:eastAsia="Palatino Linotype" w:hAnsi="Palatino Linotype" w:cs="Palatino Linotype"/>
        </w:rPr>
        <w:t xml:space="preserve">, por </w:t>
      </w:r>
      <w:r w:rsidR="0029375A">
        <w:rPr>
          <w:rFonts w:ascii="Palatino Linotype" w:eastAsia="Palatino Linotype" w:hAnsi="Palatino Linotype" w:cs="Palatino Linotype"/>
          <w:b/>
          <w:bCs/>
        </w:rPr>
        <w:t>XXXX</w:t>
      </w:r>
      <w:r>
        <w:rPr>
          <w:rFonts w:ascii="Palatino Linotype" w:eastAsia="Palatino Linotype" w:hAnsi="Palatino Linotype" w:cs="Palatino Linotype"/>
          <w:b/>
          <w:bCs/>
        </w:rPr>
        <w:t xml:space="preserve">, </w:t>
      </w:r>
      <w:r>
        <w:rPr>
          <w:rFonts w:ascii="Palatino Linotype" w:eastAsia="Palatino Linotype" w:hAnsi="Palatino Linotype" w:cs="Palatino Linotype"/>
        </w:rPr>
        <w:t>quien solicitó tener acceso a los siguientes datos personales:</w:t>
      </w:r>
    </w:p>
    <w:p w:rsidR="00985324" w:rsidRDefault="00985324">
      <w:pPr>
        <w:ind w:right="-1071"/>
        <w:jc w:val="both"/>
        <w:rPr>
          <w:rFonts w:ascii="Palatino Linotype" w:eastAsia="Palatino Linotype" w:hAnsi="Palatino Linotype" w:cs="Palatino Linotype"/>
          <w:b/>
          <w:bCs/>
          <w:i/>
          <w:iCs/>
        </w:rPr>
      </w:pPr>
    </w:p>
    <w:p w:rsidR="00985324" w:rsidRDefault="00C2737F">
      <w:pPr>
        <w:ind w:left="566"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w:t>
      </w:r>
      <w:r>
        <w:rPr>
          <w:rFonts w:ascii="Palatino Linotype" w:eastAsia="Palatino Linotype" w:hAnsi="Palatino Linotype" w:cs="Palatino Linotype"/>
          <w:b/>
          <w:bCs/>
          <w:i/>
          <w:iCs/>
        </w:rPr>
        <w:t>SOLICITO EL AVISO D EMOVIMIENTO</w:t>
      </w:r>
      <w:r w:rsidR="0029375A">
        <w:rPr>
          <w:rFonts w:ascii="Palatino Linotype" w:eastAsia="Palatino Linotype" w:hAnsi="Palatino Linotype" w:cs="Palatino Linotype"/>
          <w:b/>
          <w:bCs/>
          <w:i/>
          <w:iCs/>
        </w:rPr>
        <w:t xml:space="preserve"> DE BAJA DE MI FALLECIDO ESPOSO XXXX</w:t>
      </w:r>
      <w:r>
        <w:rPr>
          <w:rFonts w:ascii="Palatino Linotype" w:eastAsia="Palatino Linotype" w:hAnsi="Palatino Linotype" w:cs="Palatino Linotype"/>
          <w:b/>
          <w:bCs/>
          <w:i/>
          <w:iCs/>
        </w:rPr>
        <w:t xml:space="preserve">, CLAVE ISSEMYM </w:t>
      </w:r>
      <w:r w:rsidR="0029375A">
        <w:rPr>
          <w:rFonts w:ascii="Palatino Linotype" w:eastAsia="Palatino Linotype" w:hAnsi="Palatino Linotype" w:cs="Palatino Linotype"/>
          <w:b/>
          <w:bCs/>
          <w:i/>
          <w:iCs/>
        </w:rPr>
        <w:t>XXXX</w:t>
      </w:r>
      <w:r>
        <w:rPr>
          <w:rFonts w:ascii="Palatino Linotype" w:eastAsia="Palatino Linotype" w:hAnsi="Palatino Linotype" w:cs="Palatino Linotype"/>
          <w:b/>
          <w:bCs/>
          <w:i/>
          <w:iCs/>
        </w:rPr>
        <w:t>, POLICIA ESTATAL, 30 DE SEPTIEMBRE DE 2025</w:t>
      </w:r>
      <w:r>
        <w:rPr>
          <w:rFonts w:ascii="Palatino Linotype" w:eastAsia="Palatino Linotype" w:hAnsi="Palatino Linotype" w:cs="Palatino Linotype"/>
          <w:b/>
          <w:bCs/>
          <w:i/>
          <w:iCs/>
          <w:color w:val="000000"/>
        </w:rPr>
        <w:t>” (Sic)</w:t>
      </w:r>
    </w:p>
    <w:p w:rsidR="00985324" w:rsidRDefault="00985324">
      <w:pPr>
        <w:ind w:right="-1071"/>
        <w:jc w:val="both"/>
        <w:rPr>
          <w:rFonts w:ascii="Palatino Linotype" w:eastAsia="Palatino Linotype" w:hAnsi="Palatino Linotype" w:cs="Palatino Linotype"/>
        </w:rPr>
      </w:pPr>
    </w:p>
    <w:p w:rsidR="00985324" w:rsidRDefault="00C2737F">
      <w:pP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Señalando como </w:t>
      </w:r>
      <w:r>
        <w:rPr>
          <w:rFonts w:ascii="Palatino Linotype" w:eastAsia="Palatino Linotype" w:hAnsi="Palatino Linotype" w:cs="Palatino Linotype"/>
          <w:b/>
          <w:bCs/>
          <w:color w:val="000000"/>
        </w:rPr>
        <w:t>modalidad</w:t>
      </w:r>
      <w:r>
        <w:rPr>
          <w:rFonts w:ascii="Palatino Linotype" w:eastAsia="Palatino Linotype" w:hAnsi="Palatino Linotype" w:cs="Palatino Linotype"/>
          <w:color w:val="000000"/>
        </w:rPr>
        <w:t xml:space="preserve"> de acceso a través de </w:t>
      </w:r>
      <w:r>
        <w:rPr>
          <w:rFonts w:ascii="Palatino Linotype" w:eastAsia="Palatino Linotype" w:hAnsi="Palatino Linotype" w:cs="Palatino Linotype"/>
          <w:b/>
          <w:bCs/>
          <w:color w:val="000000"/>
        </w:rPr>
        <w:t xml:space="preserve">copias certificadas. </w:t>
      </w:r>
    </w:p>
    <w:p w:rsidR="00985324" w:rsidRDefault="00985324">
      <w:pPr>
        <w:ind w:right="-1071"/>
        <w:jc w:val="both"/>
        <w:rPr>
          <w:rFonts w:ascii="Palatino Linotype" w:eastAsia="Palatino Linotype" w:hAnsi="Palatino Linotype" w:cs="Palatino Linotype"/>
        </w:rPr>
      </w:pPr>
    </w:p>
    <w:p w:rsidR="00985324" w:rsidRDefault="00C2737F">
      <w:pPr>
        <w:ind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Se adjuntó el archivo electrónico denominado </w:t>
      </w:r>
      <w:r w:rsidR="0029375A">
        <w:rPr>
          <w:rFonts w:ascii="Palatino Linotype" w:eastAsia="Palatino Linotype" w:hAnsi="Palatino Linotype" w:cs="Palatino Linotype"/>
          <w:b/>
          <w:bCs/>
        </w:rPr>
        <w:t>XXXX</w:t>
      </w:r>
      <w:hyperlink r:id="rId8">
        <w:r>
          <w:rPr>
            <w:rFonts w:ascii="Palatino Linotype" w:eastAsia="Palatino Linotype" w:hAnsi="Palatino Linotype" w:cs="Palatino Linotype"/>
            <w:b/>
            <w:bCs/>
          </w:rPr>
          <w:t>.pdf</w:t>
        </w:r>
      </w:hyperlink>
      <w:r>
        <w:rPr>
          <w:rFonts w:ascii="Palatino Linotype" w:eastAsia="Palatino Linotype" w:hAnsi="Palatino Linotype" w:cs="Palatino Linotype"/>
          <w:b/>
          <w:bCs/>
        </w:rPr>
        <w:t xml:space="preserve">, </w:t>
      </w:r>
      <w:r>
        <w:rPr>
          <w:rFonts w:ascii="Palatino Linotype" w:eastAsia="Palatino Linotype" w:hAnsi="Palatino Linotype" w:cs="Palatino Linotype"/>
        </w:rPr>
        <w:t>consistente en la copia digitalizada de los siguientes documentos:</w:t>
      </w:r>
    </w:p>
    <w:p w:rsidR="00985324" w:rsidRDefault="00C2737F">
      <w:pPr>
        <w:ind w:right="-1071"/>
        <w:jc w:val="both"/>
        <w:rPr>
          <w:rFonts w:ascii="Palatino Linotype" w:eastAsia="Palatino Linotype" w:hAnsi="Palatino Linotype" w:cs="Palatino Linotype"/>
        </w:rPr>
      </w:pPr>
      <w:r>
        <w:rPr>
          <w:rFonts w:ascii="Palatino Linotype" w:eastAsia="Palatino Linotype" w:hAnsi="Palatino Linotype" w:cs="Palatino Linotype"/>
          <w:b/>
          <w:bCs/>
        </w:rPr>
        <w:t xml:space="preserve"> </w:t>
      </w:r>
    </w:p>
    <w:p w:rsidR="00985324" w:rsidRDefault="00C2737F">
      <w:pPr>
        <w:pBdr>
          <w:top w:val="nil"/>
          <w:left w:val="nil"/>
          <w:bottom w:val="nil"/>
          <w:right w:val="nil"/>
          <w:between w:val="nil"/>
        </w:pBdr>
        <w:ind w:left="566" w:right="-107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-Acta de defunción de </w:t>
      </w:r>
      <w:r w:rsidR="0029375A">
        <w:rPr>
          <w:rFonts w:ascii="Palatino Linotype" w:eastAsia="Palatino Linotype" w:hAnsi="Palatino Linotype" w:cs="Palatino Linotype"/>
          <w:b/>
          <w:bCs/>
        </w:rPr>
        <w:t>XXXX</w:t>
      </w:r>
      <w:r>
        <w:rPr>
          <w:rFonts w:ascii="Palatino Linotype" w:eastAsia="Palatino Linotype" w:hAnsi="Palatino Linotype" w:cs="Palatino Linotype"/>
          <w:b/>
          <w:bCs/>
        </w:rPr>
        <w:t xml:space="preserve">.  </w:t>
      </w:r>
    </w:p>
    <w:p w:rsidR="00985324" w:rsidRDefault="00C2737F">
      <w:pPr>
        <w:pBdr>
          <w:top w:val="nil"/>
          <w:left w:val="nil"/>
          <w:bottom w:val="nil"/>
          <w:right w:val="nil"/>
          <w:between w:val="nil"/>
        </w:pBdr>
        <w:ind w:left="566" w:right="-107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-Credencial para votar de </w:t>
      </w:r>
      <w:r w:rsidR="0029375A">
        <w:rPr>
          <w:rFonts w:ascii="Palatino Linotype" w:eastAsia="Palatino Linotype" w:hAnsi="Palatino Linotype" w:cs="Palatino Linotype"/>
          <w:b/>
          <w:bCs/>
        </w:rPr>
        <w:t>XXXX</w:t>
      </w:r>
      <w:r>
        <w:rPr>
          <w:rFonts w:ascii="Palatino Linotype" w:eastAsia="Palatino Linotype" w:hAnsi="Palatino Linotype" w:cs="Palatino Linotype"/>
          <w:b/>
          <w:bCs/>
        </w:rPr>
        <w:t xml:space="preserve">.  </w:t>
      </w:r>
    </w:p>
    <w:p w:rsidR="00985324" w:rsidRDefault="00C2737F">
      <w:pPr>
        <w:pBdr>
          <w:top w:val="nil"/>
          <w:left w:val="nil"/>
          <w:bottom w:val="nil"/>
          <w:right w:val="nil"/>
          <w:between w:val="nil"/>
        </w:pBdr>
        <w:ind w:left="566" w:right="-107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-Credencial para votar de </w:t>
      </w:r>
      <w:r w:rsidR="0029375A">
        <w:rPr>
          <w:rFonts w:ascii="Palatino Linotype" w:eastAsia="Palatino Linotype" w:hAnsi="Palatino Linotype" w:cs="Palatino Linotype"/>
          <w:b/>
          <w:bCs/>
        </w:rPr>
        <w:t>XXXX</w:t>
      </w:r>
    </w:p>
    <w:p w:rsidR="00985324" w:rsidRDefault="00C2737F">
      <w:pPr>
        <w:pBdr>
          <w:top w:val="nil"/>
          <w:left w:val="nil"/>
          <w:bottom w:val="nil"/>
          <w:right w:val="nil"/>
          <w:between w:val="nil"/>
        </w:pBdr>
        <w:ind w:left="566" w:right="-1071"/>
        <w:jc w:val="both"/>
        <w:rPr>
          <w:rFonts w:ascii="Palatino Linotype" w:eastAsia="Palatino Linotype" w:hAnsi="Palatino Linotype" w:cs="Palatino Linotype"/>
          <w:b/>
          <w:bCs/>
        </w:rPr>
      </w:pPr>
      <w:r>
        <w:rPr>
          <w:rFonts w:ascii="Palatino Linotype" w:eastAsia="Palatino Linotype" w:hAnsi="Palatino Linotype" w:cs="Palatino Linotype"/>
          <w:b/>
          <w:bCs/>
        </w:rPr>
        <w:t>-Copias certificadas de la sentencia definitiva del Juzgado Tercero Familiar del Distrito Judicial de Toluca, expediente 1077/2025 relativo al Procedimiento Judicial no Contencioso de acreditación de concubinato.</w:t>
      </w:r>
    </w:p>
    <w:p w:rsidR="00985324" w:rsidRDefault="00985324">
      <w:pPr>
        <w:pBdr>
          <w:top w:val="nil"/>
          <w:left w:val="nil"/>
          <w:bottom w:val="nil"/>
          <w:right w:val="nil"/>
          <w:between w:val="nil"/>
        </w:pBdr>
        <w:spacing w:line="360" w:lineRule="auto"/>
        <w:ind w:right="-1071"/>
        <w:jc w:val="both"/>
        <w:rPr>
          <w:rFonts w:ascii="Palatino Linotype" w:eastAsia="Palatino Linotype" w:hAnsi="Palatino Linotype" w:cs="Palatino Linotype"/>
          <w:b/>
          <w:bCs/>
          <w:i/>
          <w:iCs/>
          <w:color w:val="000000"/>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fecha </w:t>
      </w:r>
      <w:r>
        <w:rPr>
          <w:rFonts w:ascii="Palatino Linotype" w:eastAsia="Palatino Linotype" w:hAnsi="Palatino Linotype" w:cs="Palatino Linotype"/>
          <w:b/>
          <w:bCs/>
        </w:rPr>
        <w:t>doce de febrero de dos mil veintiséis</w:t>
      </w:r>
      <w:r>
        <w:rPr>
          <w:rFonts w:ascii="Palatino Linotype" w:eastAsia="Palatino Linotype" w:hAnsi="Palatino Linotype" w:cs="Palatino Linotype"/>
          <w:color w:val="000000"/>
        </w:rPr>
        <w:t xml:space="preserve">, el Sujeto Obligado realizó el </w:t>
      </w:r>
      <w:r>
        <w:rPr>
          <w:rFonts w:ascii="Palatino Linotype" w:eastAsia="Palatino Linotype" w:hAnsi="Palatino Linotype" w:cs="Palatino Linotype"/>
          <w:b/>
          <w:bCs/>
          <w:color w:val="000000"/>
        </w:rPr>
        <w:t>requerimiento de aclaración, complementación o corrección de datos de la solicitud</w:t>
      </w:r>
      <w:r>
        <w:rPr>
          <w:rFonts w:ascii="Palatino Linotype" w:eastAsia="Palatino Linotype" w:hAnsi="Palatino Linotype" w:cs="Palatino Linotype"/>
          <w:color w:val="000000"/>
        </w:rPr>
        <w:t>, en los siguientes términos:</w:t>
      </w:r>
    </w:p>
    <w:p w:rsidR="00985324" w:rsidRDefault="00C2737F">
      <w:pPr>
        <w:ind w:left="56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“…se requiere al particular presente a través del Sistema de Acceso, Rectificación Cancelación y Oposición de Datos Personales del Estado de México denominado SARCOEM, el documento a través del cual </w:t>
      </w:r>
      <w:r>
        <w:rPr>
          <w:rFonts w:ascii="Palatino Linotype" w:eastAsia="Palatino Linotype" w:hAnsi="Palatino Linotype" w:cs="Palatino Linotype"/>
          <w:b/>
          <w:bCs/>
          <w:i/>
          <w:iCs/>
          <w:color w:val="000000"/>
        </w:rPr>
        <w:t>acredite la representación de</w:t>
      </w:r>
      <w:r>
        <w:rPr>
          <w:rFonts w:ascii="Palatino Linotype" w:eastAsia="Palatino Linotype" w:hAnsi="Palatino Linotype" w:cs="Palatino Linotype"/>
          <w:b/>
          <w:bCs/>
          <w:i/>
          <w:iCs/>
        </w:rPr>
        <w:t>l</w:t>
      </w:r>
      <w:r>
        <w:rPr>
          <w:rFonts w:ascii="Palatino Linotype" w:eastAsia="Palatino Linotype" w:hAnsi="Palatino Linotype" w:cs="Palatino Linotype"/>
          <w:b/>
          <w:bCs/>
          <w:i/>
          <w:iCs/>
          <w:color w:val="000000"/>
        </w:rPr>
        <w:t xml:space="preserve"> </w:t>
      </w:r>
      <w:r w:rsidR="0029375A">
        <w:rPr>
          <w:rFonts w:ascii="Palatino Linotype" w:eastAsia="Palatino Linotype" w:hAnsi="Palatino Linotype" w:cs="Palatino Linotype"/>
          <w:b/>
          <w:bCs/>
          <w:i/>
          <w:iCs/>
          <w:color w:val="000000"/>
        </w:rPr>
        <w:t>XXXX</w:t>
      </w:r>
      <w:r>
        <w:rPr>
          <w:rFonts w:ascii="Palatino Linotype" w:eastAsia="Palatino Linotype" w:hAnsi="Palatino Linotype" w:cs="Palatino Linotype"/>
          <w:i/>
          <w:iCs/>
          <w:color w:val="000000"/>
        </w:rPr>
        <w:t xml:space="preserve">, mediante un poder notarial especial, o carta poder firmada ante dos testigos especificando que la representación se le otorgo para el trámite de acceso a datos personales ante el Instituto de Seguridad Social del Estado de México y Municipios; antes del fallecimiento, destacando que en caso de tratarse de datos personales concernientes a personas fallecidas o de quienes hayan sido declaradas judicialmente presunción de muerte, </w:t>
      </w:r>
      <w:r>
        <w:rPr>
          <w:rFonts w:ascii="Palatino Linotype" w:eastAsia="Palatino Linotype" w:hAnsi="Palatino Linotype" w:cs="Palatino Linotype"/>
          <w:b/>
          <w:bCs/>
          <w:i/>
          <w:iCs/>
          <w:color w:val="000000"/>
        </w:rPr>
        <w:t>la persona que acredite tener legalmente la representación</w:t>
      </w:r>
      <w:r>
        <w:rPr>
          <w:rFonts w:ascii="Palatino Linotype" w:eastAsia="Palatino Linotype" w:hAnsi="Palatino Linotype" w:cs="Palatino Linotype"/>
          <w:i/>
          <w:iCs/>
          <w:color w:val="000000"/>
        </w:rPr>
        <w:t xml:space="preserve"> de conformidad con las leyes aplicables, </w:t>
      </w:r>
      <w:r>
        <w:rPr>
          <w:rFonts w:ascii="Palatino Linotype" w:eastAsia="Palatino Linotype" w:hAnsi="Palatino Linotype" w:cs="Palatino Linotype"/>
          <w:b/>
          <w:bCs/>
          <w:i/>
          <w:iCs/>
          <w:color w:val="000000"/>
        </w:rPr>
        <w:t>podrá ejercer los derechos ARCO; siempre que el titular de los derechos hubiere expresado fehacientemente su voluntad</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en tal sentido</w:t>
      </w:r>
      <w:r>
        <w:rPr>
          <w:rFonts w:ascii="Palatino Linotype" w:eastAsia="Palatino Linotype" w:hAnsi="Palatino Linotype" w:cs="Palatino Linotype"/>
          <w:i/>
          <w:iCs/>
          <w:color w:val="000000"/>
        </w:rPr>
        <w:t>, que exista un mandato judicial para dicho efecto, o que el titular haya autorizado dentro de una cláusula del testamento a las personas que podrán ejercer sus derechos ARCO momento del fallecimiento, con la finalidad de iniciar la búsqueda en los archivos del Instituto de Seguridad Social del Estado de México y Municipios.</w:t>
      </w:r>
    </w:p>
    <w:p w:rsidR="00985324" w:rsidRDefault="00C2737F">
      <w:pPr>
        <w:ind w:left="56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985324" w:rsidRDefault="00C2737F">
      <w:pPr>
        <w:ind w:left="566"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lastRenderedPageBreak/>
        <w:t>…</w:t>
      </w:r>
      <w:r>
        <w:rPr>
          <w:b/>
          <w:bCs/>
        </w:rPr>
        <w:t xml:space="preserve"> </w:t>
      </w:r>
      <w:r>
        <w:rPr>
          <w:rFonts w:ascii="Palatino Linotype" w:eastAsia="Palatino Linotype" w:hAnsi="Palatino Linotype" w:cs="Palatino Linotype"/>
          <w:b/>
          <w:bCs/>
          <w:i/>
          <w:iCs/>
          <w:color w:val="000000"/>
        </w:rPr>
        <w:t>cuenta con un término de diez días hábiles, contados a partir del día hábil siguiente al que surta sus efectos la notificación respectiva, para desahogar la prevención.</w:t>
      </w:r>
    </w:p>
    <w:p w:rsidR="00985324" w:rsidRDefault="00C2737F">
      <w:pPr>
        <w:ind w:left="56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985324" w:rsidRDefault="00C2737F">
      <w:pPr>
        <w:ind w:left="566"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w:t>
      </w:r>
      <w:r>
        <w:rPr>
          <w:b/>
          <w:bCs/>
        </w:rPr>
        <w:t xml:space="preserve"> </w:t>
      </w:r>
      <w:r>
        <w:rPr>
          <w:rFonts w:ascii="Palatino Linotype" w:eastAsia="Palatino Linotype" w:hAnsi="Palatino Linotype" w:cs="Palatino Linotype"/>
          <w:b/>
          <w:bCs/>
          <w:i/>
          <w:iCs/>
          <w:color w:val="000000"/>
        </w:rPr>
        <w:t>para el caso de no desahogar la prevención, se tendrá por no presentada la solicitud, quedando a salvo los derechos del titular o su representante para presentar nuevamente su solicitud.</w:t>
      </w:r>
    </w:p>
    <w:p w:rsidR="00985324" w:rsidRDefault="00C2737F">
      <w:pPr>
        <w:ind w:left="56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985324" w:rsidRDefault="00985324">
      <w:pPr>
        <w:pBdr>
          <w:top w:val="nil"/>
          <w:left w:val="nil"/>
          <w:bottom w:val="nil"/>
          <w:right w:val="nil"/>
          <w:between w:val="nil"/>
        </w:pBdr>
        <w:ind w:right="-1071"/>
        <w:jc w:val="both"/>
        <w:rPr>
          <w:rFonts w:ascii="Palatino Linotype" w:eastAsia="Palatino Linotype" w:hAnsi="Palatino Linotype" w:cs="Palatino Linotype"/>
          <w:i/>
          <w:iCs/>
          <w:color w:val="000000"/>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rPr>
        <w:t>nueve de marzo de dos mil veintiséis</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notificó al particular el documento a través del cual hace del conocimiento al solicitante que </w:t>
      </w:r>
      <w:r>
        <w:rPr>
          <w:rFonts w:ascii="Palatino Linotype" w:eastAsia="Palatino Linotype" w:hAnsi="Palatino Linotype" w:cs="Palatino Linotype"/>
          <w:b/>
          <w:bCs/>
          <w:color w:val="000000"/>
        </w:rPr>
        <w:t>se tiene por no presentada la solicitud de aclaración</w:t>
      </w:r>
      <w:r>
        <w:rPr>
          <w:rFonts w:ascii="Palatino Linotype" w:eastAsia="Palatino Linotype" w:hAnsi="Palatino Linotype" w:cs="Palatino Linotype"/>
          <w:color w:val="000000"/>
        </w:rPr>
        <w:t>, en consecuencia archivando la solicitud como concluida.</w:t>
      </w:r>
    </w:p>
    <w:p w:rsidR="00985324" w:rsidRDefault="00985324">
      <w:pPr>
        <w:pBdr>
          <w:top w:val="nil"/>
          <w:left w:val="nil"/>
          <w:bottom w:val="nil"/>
          <w:right w:val="nil"/>
          <w:between w:val="nil"/>
        </w:pBdr>
        <w:spacing w:line="360" w:lineRule="auto"/>
        <w:ind w:right="-1071"/>
        <w:jc w:val="both"/>
        <w:rPr>
          <w:rFonts w:ascii="Palatino Linotype" w:eastAsia="Palatino Linotype" w:hAnsi="Palatino Linotype" w:cs="Palatino Linotype"/>
          <w:i/>
          <w:iCs/>
          <w:color w:val="000000"/>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rPr>
        <w:t>dieciocho de marzo de dos mil veintiséis,</w:t>
      </w:r>
      <w:r>
        <w:rPr>
          <w:rFonts w:ascii="Palatino Linotype" w:eastAsia="Palatino Linotype" w:hAnsi="Palatino Linotype" w:cs="Palatino Linotype"/>
          <w:color w:val="000000"/>
        </w:rPr>
        <w:t xml:space="preserve"> el particular</w:t>
      </w:r>
      <w:r>
        <w:rPr>
          <w:rFonts w:ascii="Palatino Linotype" w:eastAsia="Palatino Linotype" w:hAnsi="Palatino Linotype" w:cs="Palatino Linotype"/>
        </w:rPr>
        <w:t xml:space="preserve"> interpuso el </w:t>
      </w:r>
      <w:r>
        <w:rPr>
          <w:rFonts w:ascii="Palatino Linotype" w:eastAsia="Palatino Linotype" w:hAnsi="Palatino Linotype" w:cs="Palatino Linotype"/>
          <w:b/>
          <w:bCs/>
        </w:rPr>
        <w:t xml:space="preserve">recurso de revisión </w:t>
      </w:r>
      <w:r>
        <w:rPr>
          <w:rFonts w:ascii="Palatino Linotype" w:eastAsia="Palatino Linotype" w:hAnsi="Palatino Linotype" w:cs="Palatino Linotype"/>
        </w:rPr>
        <w:t>respectivo, refiriendo sus razones o motivos de inconformidad que se describen a continuación en su sentido toral:</w:t>
      </w:r>
    </w:p>
    <w:p w:rsidR="00985324" w:rsidRDefault="00985324">
      <w:pPr>
        <w:ind w:right="-1071"/>
        <w:jc w:val="both"/>
        <w:rPr>
          <w:rFonts w:ascii="Palatino Linotype" w:eastAsia="Palatino Linotype" w:hAnsi="Palatino Linotype" w:cs="Palatino Linotype"/>
        </w:rPr>
      </w:pPr>
    </w:p>
    <w:p w:rsidR="00985324" w:rsidRDefault="00C2737F">
      <w:pPr>
        <w:numPr>
          <w:ilvl w:val="0"/>
          <w:numId w:val="1"/>
        </w:numPr>
        <w:ind w:right="-1071"/>
        <w:jc w:val="both"/>
        <w:rPr>
          <w:rFonts w:ascii="Palatino Linotype" w:eastAsia="Palatino Linotype" w:hAnsi="Palatino Linotype" w:cs="Palatino Linotype"/>
          <w:b/>
          <w:bCs/>
        </w:rPr>
      </w:pPr>
      <w:r>
        <w:rPr>
          <w:rFonts w:ascii="Palatino Linotype" w:eastAsia="Palatino Linotype" w:hAnsi="Palatino Linotype" w:cs="Palatino Linotype"/>
          <w:b/>
          <w:bCs/>
        </w:rPr>
        <w:t>Acto impugnado:</w:t>
      </w:r>
    </w:p>
    <w:p w:rsidR="00985324" w:rsidRDefault="00C2737F">
      <w:pPr>
        <w:ind w:left="566" w:right="-1071"/>
        <w:jc w:val="both"/>
        <w:rPr>
          <w:rFonts w:ascii="Palatino Linotype" w:eastAsia="Palatino Linotype" w:hAnsi="Palatino Linotype" w:cs="Palatino Linotype"/>
          <w:i/>
          <w:iCs/>
        </w:rPr>
      </w:pPr>
      <w:r>
        <w:rPr>
          <w:rFonts w:ascii="Palatino Linotype" w:eastAsia="Palatino Linotype" w:hAnsi="Palatino Linotype" w:cs="Palatino Linotype"/>
          <w:i/>
          <w:iCs/>
        </w:rPr>
        <w:t>“NO ME ENTREGAN LA INFORMACION SOLICITADA” (Sic)</w:t>
      </w:r>
    </w:p>
    <w:p w:rsidR="00985324" w:rsidRDefault="00985324">
      <w:pPr>
        <w:ind w:left="566" w:right="-1071"/>
        <w:jc w:val="both"/>
        <w:rPr>
          <w:rFonts w:ascii="Palatino Linotype" w:eastAsia="Palatino Linotype" w:hAnsi="Palatino Linotype" w:cs="Palatino Linotype"/>
        </w:rPr>
      </w:pPr>
    </w:p>
    <w:p w:rsidR="00985324" w:rsidRDefault="00C2737F">
      <w:pPr>
        <w:numPr>
          <w:ilvl w:val="0"/>
          <w:numId w:val="2"/>
        </w:numPr>
        <w:ind w:right="-1071"/>
        <w:jc w:val="both"/>
        <w:rPr>
          <w:rFonts w:ascii="Palatino Linotype" w:eastAsia="Palatino Linotype" w:hAnsi="Palatino Linotype" w:cs="Palatino Linotype"/>
          <w:b/>
          <w:bCs/>
        </w:rPr>
      </w:pPr>
      <w:r>
        <w:rPr>
          <w:rFonts w:ascii="Palatino Linotype" w:eastAsia="Palatino Linotype" w:hAnsi="Palatino Linotype" w:cs="Palatino Linotype"/>
          <w:b/>
          <w:bCs/>
        </w:rPr>
        <w:t>Razones o motivos de la inconformidad:</w:t>
      </w:r>
    </w:p>
    <w:p w:rsidR="00985324" w:rsidRDefault="00C2737F">
      <w:pPr>
        <w:ind w:left="566" w:right="-107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i/>
          <w:iCs/>
        </w:rPr>
        <w:t xml:space="preserve">grese una solicitud en el SARCOEM, el día cinco de febrero del año dos mil veintiséis, para solicitar “COPIA CERTIFICADA DEL AVISO DE MOVIMIENTO DE BAJA DEL FALLECIDO </w:t>
      </w:r>
      <w:r w:rsidR="0029375A">
        <w:rPr>
          <w:rFonts w:ascii="Palatino Linotype" w:eastAsia="Palatino Linotype" w:hAnsi="Palatino Linotype" w:cs="Palatino Linotype"/>
          <w:i/>
          <w:iCs/>
        </w:rPr>
        <w:t>XXXX</w:t>
      </w:r>
      <w:r>
        <w:rPr>
          <w:rFonts w:ascii="Palatino Linotype" w:eastAsia="Palatino Linotype" w:hAnsi="Palatino Linotype" w:cs="Palatino Linotype"/>
          <w:i/>
          <w:iCs/>
        </w:rPr>
        <w:t>, PARA INICIAR TRÁMITE DE PENSIÓ</w:t>
      </w:r>
      <w:r w:rsidR="0029375A">
        <w:rPr>
          <w:rFonts w:ascii="Palatino Linotype" w:eastAsia="Palatino Linotype" w:hAnsi="Palatino Linotype" w:cs="Palatino Linotype"/>
          <w:i/>
          <w:iCs/>
        </w:rPr>
        <w:t>N, CLAVE ISSEMYM DEL FALLECIDO XXX</w:t>
      </w:r>
      <w:r>
        <w:rPr>
          <w:rFonts w:ascii="Palatino Linotype" w:eastAsia="Palatino Linotype" w:hAnsi="Palatino Linotype" w:cs="Palatino Linotype"/>
          <w:i/>
          <w:iCs/>
        </w:rPr>
        <w:t xml:space="preserve">.”, por lo que adjunte la siguiente información que es: acta de defunción, identificación oficial del fallecido y solicitante y sentencia de concubinato. Posteriormente la Unidad de Transparencia me requirió complementara mi solicitud de acceso a datos, debido a que no anexe el documento mediante el cual mi esposo haya expresado su voluntad para que yo pudiera acceder a sus datos personales, es importante mencionar que no cuento con dicho documento, no obstante, de conformidad con el artículo 106, de la Ley de Acceso a Datos Personales del Estado de México se menciona que: “Tratándose de datos personales concernientes a personas fallecidas o de quienes haya sido declarada judicialmente su presunción de muerte, la persona que acredite tener un interés jurídico de conformidad con las leyes aplicables, podrá ejercer los derechos que le confiere </w:t>
      </w:r>
      <w:r>
        <w:rPr>
          <w:rFonts w:ascii="Palatino Linotype" w:eastAsia="Palatino Linotype" w:hAnsi="Palatino Linotype" w:cs="Palatino Linotype"/>
          <w:i/>
          <w:iCs/>
        </w:rPr>
        <w:lastRenderedPageBreak/>
        <w:t xml:space="preserve">el presente capítulo, siempre que el titular de los derechos hubiere expresado fehacientemente su voluntad en tal sentido, o que exista un mandato judicial para dicho efecto.”, así mismo, de acuerdo con el artículo 122, de la Ley antes citada, el cual menciona que “La interposición de un recurso de revisión de datos personales concernientes a personas fallecidas, podrá realizarla la persona que acredite tener un interés jurídico o legítimo”, por lo tanto, acredito tener un interés legítimo y jurídico, tal como lo demuestro con los siguientes documentos: acta de defunción, identificación oficial del fallecido y solicitante y sentencia de concubinato; los cuales adjunte en mi solicitud. Por lo anterior, solicito al ISSEMYM, que se me entregue COPIA CERTIFICADA DEL AVISO DE MOVIMIENTO DE BAJA DEL FALLECIDO </w:t>
      </w:r>
      <w:r w:rsidR="0029375A">
        <w:rPr>
          <w:rFonts w:ascii="Palatino Linotype" w:eastAsia="Palatino Linotype" w:hAnsi="Palatino Linotype" w:cs="Palatino Linotype"/>
          <w:i/>
          <w:iCs/>
        </w:rPr>
        <w:t>XXXX</w:t>
      </w:r>
      <w:r>
        <w:rPr>
          <w:rFonts w:ascii="Palatino Linotype" w:eastAsia="Palatino Linotype" w:hAnsi="Palatino Linotype" w:cs="Palatino Linotype"/>
          <w:i/>
          <w:iCs/>
        </w:rPr>
        <w:t xml:space="preserve"> LO ANTERIOR CON FINES DE INICIAR EL TRÁMITE DE PENSIÓN.</w:t>
      </w:r>
      <w:r>
        <w:rPr>
          <w:rFonts w:ascii="Palatino Linotype" w:eastAsia="Palatino Linotype" w:hAnsi="Palatino Linotype" w:cs="Palatino Linotype"/>
          <w:i/>
          <w:iCs/>
          <w:color w:val="000000"/>
        </w:rPr>
        <w:t>” (Sic)</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Admisión. C</w:t>
      </w:r>
      <w:r>
        <w:rPr>
          <w:rFonts w:ascii="Palatino Linotype" w:eastAsia="Palatino Linotype" w:hAnsi="Palatino Linotype" w:cs="Palatino Linotype"/>
          <w:color w:val="000000"/>
        </w:rPr>
        <w:t xml:space="preserve">on fundamento en los artículos 11, 127 y 131, de la </w:t>
      </w:r>
      <w:r>
        <w:rPr>
          <w:rFonts w:ascii="Palatino Linotype" w:eastAsia="Palatino Linotype" w:hAnsi="Palatino Linotype" w:cs="Palatino Linotype"/>
          <w:b/>
          <w:bCs/>
          <w:color w:val="000000"/>
        </w:rPr>
        <w:t>Ley de Protección de Datos Personales en Posesión de Sujetos Obligados del Estado de México y Municipios</w:t>
      </w:r>
      <w:r>
        <w:rPr>
          <w:rFonts w:ascii="Palatino Linotype" w:eastAsia="Palatino Linotype" w:hAnsi="Palatino Linotype" w:cs="Palatino Linotype"/>
          <w:color w:val="000000"/>
        </w:rPr>
        <w:t xml:space="preserve"> y 185, fracciones I, II y IV, de la Ley de Transparencia y Acceso a la Información Pública del Estado de México y Municipios de aplicación supletoria,  en fecha </w:t>
      </w:r>
      <w:r>
        <w:rPr>
          <w:rFonts w:ascii="Palatino Linotype" w:eastAsia="Palatino Linotype" w:hAnsi="Palatino Linotype" w:cs="Palatino Linotype"/>
          <w:b/>
          <w:bCs/>
        </w:rPr>
        <w:t>siete de abril de dos mil veintiséis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se admite</w:t>
      </w:r>
      <w:r>
        <w:rPr>
          <w:rFonts w:ascii="Palatino Linotype" w:eastAsia="Palatino Linotype" w:hAnsi="Palatino Linotype" w:cs="Palatino Linotype"/>
          <w:color w:val="000000"/>
        </w:rPr>
        <w:t xml:space="preserve"> a trámite el recurso de revisión </w:t>
      </w:r>
      <w:r>
        <w:rPr>
          <w:rFonts w:ascii="Palatino Linotype" w:eastAsia="Palatino Linotype" w:hAnsi="Palatino Linotype" w:cs="Palatino Linotype"/>
          <w:b/>
          <w:bCs/>
        </w:rPr>
        <w:t>03328</w:t>
      </w:r>
      <w:r>
        <w:rPr>
          <w:rFonts w:ascii="Palatino Linotype" w:eastAsia="Palatino Linotype" w:hAnsi="Palatino Linotype" w:cs="Palatino Linotype"/>
          <w:b/>
          <w:bCs/>
          <w:color w:val="000000"/>
        </w:rPr>
        <w:t>/INFOEM/AD/RR/202</w:t>
      </w:r>
      <w:r>
        <w:rPr>
          <w:rFonts w:ascii="Palatino Linotype" w:eastAsia="Palatino Linotype" w:hAnsi="Palatino Linotype" w:cs="Palatino Linotype"/>
          <w:b/>
          <w:bCs/>
        </w:rPr>
        <w:t>6</w:t>
      </w:r>
      <w:r>
        <w:rPr>
          <w:rFonts w:ascii="Palatino Linotype" w:eastAsia="Palatino Linotype" w:hAnsi="Palatino Linotype" w:cs="Palatino Linotype"/>
          <w:color w:val="000000"/>
        </w:rPr>
        <w:t>; para lo cual, intégrese el expediente respectivo y quédese a disposición de las partes el mismo para su consulta.</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Etapa de Conciliación. </w:t>
      </w:r>
      <w:r>
        <w:rPr>
          <w:rFonts w:ascii="Palatino Linotype" w:eastAsia="Palatino Linotype" w:hAnsi="Palatino Linotype" w:cs="Palatino Linotype"/>
          <w:color w:val="000000"/>
        </w:rPr>
        <w:t xml:space="preserve">En la misma fecha, </w:t>
      </w:r>
      <w:r>
        <w:rPr>
          <w:rFonts w:ascii="Palatino Linotype" w:eastAsia="Palatino Linotype" w:hAnsi="Palatino Linotype" w:cs="Palatino Linotype"/>
        </w:rPr>
        <w:t xml:space="preserve">con fundamento en lo dispuesto en el artículo 132, fracción I, de la Ley de Protección de Datos Personales en Posesión de Sujetos Obligados del Estado de México y Municipios </w:t>
      </w:r>
      <w:r>
        <w:rPr>
          <w:rFonts w:ascii="Palatino Linotype" w:eastAsia="Palatino Linotype" w:hAnsi="Palatino Linotype" w:cs="Palatino Linotype"/>
          <w:b/>
          <w:bCs/>
        </w:rPr>
        <w:t>se requiere a las partes para</w:t>
      </w:r>
      <w:r>
        <w:rPr>
          <w:rFonts w:ascii="Palatino Linotype" w:eastAsia="Palatino Linotype" w:hAnsi="Palatino Linotype" w:cs="Palatino Linotype"/>
        </w:rPr>
        <w:t xml:space="preserve"> </w:t>
      </w:r>
      <w:r>
        <w:rPr>
          <w:rFonts w:ascii="Palatino Linotype" w:eastAsia="Palatino Linotype" w:hAnsi="Palatino Linotype" w:cs="Palatino Linotype"/>
          <w:b/>
          <w:bCs/>
        </w:rPr>
        <w:t>manifestar</w:t>
      </w:r>
      <w:r>
        <w:rPr>
          <w:rFonts w:ascii="Palatino Linotype" w:eastAsia="Palatino Linotype" w:hAnsi="Palatino Linotype" w:cs="Palatino Linotype"/>
        </w:rPr>
        <w:t xml:space="preserve"> si es </w:t>
      </w:r>
      <w:r>
        <w:rPr>
          <w:rFonts w:ascii="Palatino Linotype" w:eastAsia="Palatino Linotype" w:hAnsi="Palatino Linotype" w:cs="Palatino Linotype"/>
          <w:b/>
          <w:bCs/>
        </w:rPr>
        <w:t>su voluntad conciliar en el presente asunto</w:t>
      </w:r>
      <w:r>
        <w:rPr>
          <w:rFonts w:ascii="Palatino Linotype" w:eastAsia="Palatino Linotype" w:hAnsi="Palatino Linotype" w:cs="Palatino Linotype"/>
        </w:rPr>
        <w:t>. Asimismo, con fundamento en el artículo 134 de la Ley de Protección de Datos Personales en Posesión de Sujetos Obligados del Estado de México y Municipios, dentro del plazo señalado, las partes se encuentran en oportunidad de aportar argumentos y de presentar las constancias que consideren idóneas a fin de fundar y motivar sus pretensiones</w:t>
      </w:r>
      <w:r>
        <w:rPr>
          <w:rFonts w:ascii="Palatino Linotype" w:eastAsia="Palatino Linotype" w:hAnsi="Palatino Linotype" w:cs="Palatino Linotype"/>
          <w:color w:val="000000"/>
        </w:rPr>
        <w:t>.</w:t>
      </w:r>
    </w:p>
    <w:p w:rsidR="00985324" w:rsidRDefault="009853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De lo anterior, tal y como se muestra en el expediente electrónico, las partes aceptaron conciliar, situación por la cual se señalan las 1</w:t>
      </w:r>
      <w:r>
        <w:rPr>
          <w:rFonts w:ascii="Palatino Linotype" w:eastAsia="Palatino Linotype" w:hAnsi="Palatino Linotype" w:cs="Palatino Linotype"/>
        </w:rPr>
        <w:t>2</w:t>
      </w:r>
      <w:r>
        <w:rPr>
          <w:rFonts w:ascii="Palatino Linotype" w:eastAsia="Palatino Linotype" w:hAnsi="Palatino Linotype" w:cs="Palatino Linotype"/>
          <w:color w:val="000000"/>
        </w:rPr>
        <w:t xml:space="preserve">:00 horas del </w:t>
      </w:r>
      <w:r>
        <w:rPr>
          <w:rFonts w:ascii="Palatino Linotype" w:eastAsia="Palatino Linotype" w:hAnsi="Palatino Linotype" w:cs="Palatino Linotype"/>
          <w:b/>
          <w:bCs/>
          <w:color w:val="000000"/>
        </w:rPr>
        <w:t xml:space="preserve">viernes </w:t>
      </w:r>
      <w:r>
        <w:rPr>
          <w:rFonts w:ascii="Palatino Linotype" w:eastAsia="Palatino Linotype" w:hAnsi="Palatino Linotype" w:cs="Palatino Linotype"/>
          <w:b/>
          <w:bCs/>
        </w:rPr>
        <w:t>quince de mayo de dos mil veintiséis</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para que se lleve a cabo la </w:t>
      </w:r>
      <w:r>
        <w:rPr>
          <w:rFonts w:ascii="Palatino Linotype" w:eastAsia="Palatino Linotype" w:hAnsi="Palatino Linotype" w:cs="Palatino Linotype"/>
          <w:b/>
          <w:bCs/>
          <w:color w:val="000000"/>
        </w:rPr>
        <w:t>AUDIENCIA DE CONCILIACIÓN</w:t>
      </w:r>
      <w:r>
        <w:rPr>
          <w:rFonts w:ascii="Palatino Linotype" w:eastAsia="Palatino Linotype" w:hAnsi="Palatino Linotype" w:cs="Palatino Linotype"/>
          <w:color w:val="000000"/>
        </w:rPr>
        <w:t xml:space="preserve"> correspondiente al recurso de revisión interpuesto</w:t>
      </w:r>
      <w:r>
        <w:rPr>
          <w:rFonts w:ascii="Palatino Linotype" w:eastAsia="Palatino Linotype" w:hAnsi="Palatino Linotype" w:cs="Palatino Linotype"/>
          <w:b/>
          <w:bCs/>
        </w:rPr>
        <w:t>.</w:t>
      </w:r>
    </w:p>
    <w:p w:rsidR="00985324" w:rsidRDefault="009853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Manifestaciones.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rPr>
        <w:t>quince de mayo de dos mil veintiséis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w:t>
      </w:r>
      <w:r w:rsidR="008A5ED9">
        <w:rPr>
          <w:rFonts w:ascii="Palatino Linotype" w:eastAsia="Palatino Linotype" w:hAnsi="Palatino Linotype" w:cs="Palatino Linotype"/>
        </w:rPr>
        <w:t>apertura</w:t>
      </w:r>
      <w:r>
        <w:rPr>
          <w:rFonts w:ascii="Palatino Linotype" w:eastAsia="Palatino Linotype" w:hAnsi="Palatino Linotype" w:cs="Palatino Linotype"/>
          <w:color w:val="000000"/>
        </w:rPr>
        <w:t xml:space="preserve"> la etapa de manifestaciones, la parte Recurrente no realizó manifestaciones, alegatos ni presentó pruebas que a su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xml:space="preserve">. Por su parte, el Sujeto Obligado rindió el Informe Justificado, </w:t>
      </w:r>
      <w:r>
        <w:rPr>
          <w:rFonts w:ascii="Palatino Linotype" w:eastAsia="Palatino Linotype" w:hAnsi="Palatino Linotype" w:cs="Palatino Linotype"/>
        </w:rPr>
        <w:t xml:space="preserve">mediante </w:t>
      </w:r>
      <w:r>
        <w:rPr>
          <w:rFonts w:ascii="Palatino Linotype" w:eastAsia="Palatino Linotype" w:hAnsi="Palatino Linotype" w:cs="Palatino Linotype"/>
          <w:color w:val="000000"/>
        </w:rPr>
        <w:t xml:space="preserve">el archivo electrónico que se describen a continuación: </w:t>
      </w:r>
    </w:p>
    <w:p w:rsidR="00985324" w:rsidRDefault="00C2737F">
      <w:pPr>
        <w:pBdr>
          <w:top w:val="nil"/>
          <w:left w:val="nil"/>
          <w:bottom w:val="nil"/>
          <w:right w:val="nil"/>
          <w:between w:val="nil"/>
        </w:pBdr>
        <w:ind w:left="566" w:right="-107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rPr>
        <w:t>ACUSE DE RECIBIDO 3328.INFOEM.AD</w:t>
      </w:r>
      <w:r>
        <w:rPr>
          <w:rFonts w:ascii="Palatino Linotype" w:eastAsia="Palatino Linotype" w:hAnsi="Palatino Linotype" w:cs="Palatino Linotype"/>
          <w:b/>
          <w:bCs/>
          <w:i/>
          <w:iCs/>
          <w:color w:val="000000"/>
        </w:rPr>
        <w:t xml:space="preserve">.pdf </w:t>
      </w:r>
    </w:p>
    <w:p w:rsidR="00985324" w:rsidRDefault="00C2737F">
      <w:pPr>
        <w:pBdr>
          <w:top w:val="nil"/>
          <w:left w:val="nil"/>
          <w:bottom w:val="nil"/>
          <w:right w:val="nil"/>
          <w:between w:val="nil"/>
        </w:pBdr>
        <w:ind w:left="566" w:right="-1071"/>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Documento de fecha </w:t>
      </w:r>
      <w:r>
        <w:rPr>
          <w:rFonts w:ascii="Palatino Linotype" w:eastAsia="Palatino Linotype" w:hAnsi="Palatino Linotype" w:cs="Palatino Linotype"/>
        </w:rPr>
        <w:t>15 de mayo de 2025</w:t>
      </w:r>
      <w:r>
        <w:rPr>
          <w:rFonts w:ascii="Palatino Linotype" w:eastAsia="Palatino Linotype" w:hAnsi="Palatino Linotype" w:cs="Palatino Linotype"/>
          <w:color w:val="000000"/>
        </w:rPr>
        <w:t xml:space="preserve">, firmado por la Jefa del Departamento de Acceso a la Información Institucional en el que refiere derivado de la audiencia de conciliación desarrollada </w:t>
      </w:r>
      <w:r>
        <w:rPr>
          <w:rFonts w:ascii="Palatino Linotype" w:eastAsia="Palatino Linotype" w:hAnsi="Palatino Linotype" w:cs="Palatino Linotype"/>
        </w:rPr>
        <w:t>en misma fecha</w:t>
      </w:r>
      <w:r>
        <w:rPr>
          <w:rFonts w:ascii="Palatino Linotype" w:eastAsia="Palatino Linotype" w:hAnsi="Palatino Linotype" w:cs="Palatino Linotype"/>
          <w:color w:val="000000"/>
        </w:rPr>
        <w:t>, en la que las partes llegaron a un acuerdo, por lo que una vez corroborada la personalidad e interés jurídico y legítimo de la parte recurrente, se le da acceso a los datos personales solicitados, acusando de recibido a entera satisfacción.</w:t>
      </w:r>
    </w:p>
    <w:p w:rsidR="00985324" w:rsidRDefault="00985324">
      <w:pPr>
        <w:pBdr>
          <w:top w:val="nil"/>
          <w:left w:val="nil"/>
          <w:bottom w:val="nil"/>
          <w:right w:val="nil"/>
          <w:between w:val="nil"/>
        </w:pBdr>
        <w:ind w:right="-1071"/>
        <w:jc w:val="both"/>
        <w:rPr>
          <w:rFonts w:ascii="Palatino Linotype" w:eastAsia="Palatino Linotype" w:hAnsi="Palatino Linotype" w:cs="Palatino Linotype"/>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fecha</w:t>
      </w:r>
      <w:r>
        <w:rPr>
          <w:rFonts w:ascii="Palatino Linotype" w:eastAsia="Palatino Linotype" w:hAnsi="Palatino Linotype" w:cs="Palatino Linotype"/>
        </w:rPr>
        <w:t xml:space="preserve"> </w:t>
      </w:r>
      <w:r>
        <w:rPr>
          <w:rFonts w:ascii="Palatino Linotype" w:eastAsia="Palatino Linotype" w:hAnsi="Palatino Linotype" w:cs="Palatino Linotype"/>
          <w:b/>
          <w:bCs/>
        </w:rPr>
        <w:t>veintiséis de mayo de dos mil veintiséis</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se decretó el cierre de instrucción del recurso de revisión referido al rubro. </w:t>
      </w:r>
    </w:p>
    <w:p w:rsidR="00985324" w:rsidRDefault="009853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razón de que fue debidamente sustanciado el expediente electrónico y no existe diligencia pendiente de desahogo, se emite la Resolución que conforme a Derecho proceda:---</w:t>
      </w:r>
    </w:p>
    <w:p w:rsidR="00985324" w:rsidRDefault="00985324">
      <w:pPr>
        <w:pBdr>
          <w:top w:val="nil"/>
          <w:left w:val="nil"/>
          <w:bottom w:val="nil"/>
          <w:right w:val="nil"/>
          <w:between w:val="nil"/>
        </w:pBdr>
        <w:ind w:left="720" w:right="-1071"/>
        <w:rPr>
          <w:rFonts w:ascii="Palatino Linotype" w:eastAsia="Palatino Linotype" w:hAnsi="Palatino Linotype" w:cs="Palatino Linotype"/>
          <w:color w:val="000000"/>
        </w:rPr>
      </w:pPr>
    </w:p>
    <w:p w:rsidR="00985324" w:rsidRDefault="00985324">
      <w:pPr>
        <w:pBdr>
          <w:top w:val="nil"/>
          <w:left w:val="nil"/>
          <w:bottom w:val="nil"/>
          <w:right w:val="nil"/>
          <w:between w:val="nil"/>
        </w:pBdr>
        <w:ind w:left="720" w:right="-1071"/>
        <w:rPr>
          <w:rFonts w:ascii="Palatino Linotype" w:eastAsia="Palatino Linotype" w:hAnsi="Palatino Linotype" w:cs="Palatino Linotype"/>
          <w:color w:val="000000"/>
        </w:rPr>
      </w:pPr>
    </w:p>
    <w:p w:rsidR="00985324" w:rsidRDefault="00C2737F">
      <w:pPr>
        <w:pStyle w:val="Ttulo2"/>
        <w:ind w:right="-1071"/>
        <w:jc w:val="center"/>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C O N S I D E R A N D O</w:t>
      </w:r>
    </w:p>
    <w:p w:rsidR="00985324" w:rsidRDefault="00985324">
      <w:pPr>
        <w:pStyle w:val="Ttulo2"/>
        <w:ind w:right="-1071"/>
        <w:rPr>
          <w:rFonts w:ascii="Palatino Linotype" w:eastAsia="Palatino Linotype" w:hAnsi="Palatino Linotype" w:cs="Palatino Linotype"/>
          <w:b/>
          <w:bCs/>
          <w:color w:val="000000"/>
          <w:sz w:val="24"/>
          <w:szCs w:val="24"/>
        </w:rPr>
      </w:pPr>
    </w:p>
    <w:p w:rsidR="00985324" w:rsidRDefault="00C2737F">
      <w:pPr>
        <w:pStyle w:val="Ttulo2"/>
        <w:spacing w:before="0" w:line="360" w:lineRule="auto"/>
        <w:ind w:right="-1071"/>
        <w:rPr>
          <w:sz w:val="24"/>
          <w:szCs w:val="24"/>
        </w:rPr>
      </w:pPr>
      <w:r>
        <w:rPr>
          <w:rFonts w:ascii="Palatino Linotype" w:eastAsia="Palatino Linotype" w:hAnsi="Palatino Linotype" w:cs="Palatino Linotype"/>
          <w:b/>
          <w:bCs/>
          <w:color w:val="000000"/>
          <w:sz w:val="24"/>
          <w:szCs w:val="24"/>
        </w:rPr>
        <w:t>PRIMERO. De la competencia.</w:t>
      </w: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Instituto de Transparencia, Acceso a la Información Pública y Protección de Datos Personales del Estado de México y Municipios, es competente para conocer y resolver el </w:t>
      </w:r>
      <w:r>
        <w:rPr>
          <w:rFonts w:ascii="Palatino Linotype" w:eastAsia="Palatino Linotype" w:hAnsi="Palatino Linotype" w:cs="Palatino Linotype"/>
          <w:color w:val="000000"/>
        </w:rPr>
        <w:lastRenderedPageBreak/>
        <w:t>presente recurso de revisión interpuesto por la parte recurrente, conforme a lo dispuesto en los artículos 6, apartado A de la Constitución Política de los Estados Unidos Mexicanos; 5, párrafos trigésimo noveno, cuadragésimo y cuadragésimo primero, fracciones IV y V de la Constitución Política del Estado Libre y Soberano de México; 1, 2, fracciones II y IV; 13, 29, 36, fracciones I y II; 176, 178, 179, 181 párrafo tercero, 185, 188 y 189 de la Ley Transparencia y Acceso a la Información Pública del Estado de México y Municipios; así como los artículos 1, 4, fracción XXII, 81, 82, fracción III, 119 y 137 de la Ley de Protección de Datos Personales en Posesión de Sujetos Obligados del Estado de México y Municipios; 9, fracciones I y XXIII y 11 del Reglamento Interior del Instituto de Transparencia, Acceso a la Información Pública y Protección de Datos Personales del Estado de México y Municipios.</w:t>
      </w:r>
    </w:p>
    <w:p w:rsidR="00985324" w:rsidRDefault="009853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985324" w:rsidRDefault="00C2737F">
      <w:pPr>
        <w:keepNext/>
        <w:keepLines/>
        <w:spacing w:line="360" w:lineRule="auto"/>
        <w:ind w:right="-1071"/>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Recurso de Revisión fue interpuesto dentro del plazo de quince días hábiles, hábiles contados a partir del día siguiente a la fecha de notificación de la respuesta impugnada, tal y como lo prevé el artículo 128 de la Ley de Protección de Datos Personales en Posesión de Sujetos Obligados del Estado de México y Municipios, que establece: </w:t>
      </w: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128.</w:t>
      </w:r>
      <w:r>
        <w:rPr>
          <w:rFonts w:ascii="Palatino Linotype" w:eastAsia="Palatino Linotype" w:hAnsi="Palatino Linotype" w:cs="Palatino Linotype"/>
          <w:i/>
          <w:iCs/>
        </w:rPr>
        <w:t xml:space="preserve"> El titular, por sí mismo o a través de su representante, podrán interponer un recurso de revisión ante el Instituto o la Unidad de Transparencia del responsable que haya conocido de la solicitud para el ejercicio de los derechos ARCO, dentro de un plazo que no podrá exceder de quince días contados a partir del siguiente a la fecha de la notificación de la respuesta. </w:t>
      </w:r>
    </w:p>
    <w:p w:rsidR="00985324" w:rsidRDefault="00985324">
      <w:pPr>
        <w:ind w:left="567" w:right="-1071"/>
        <w:jc w:val="both"/>
        <w:rPr>
          <w:rFonts w:ascii="Palatino Linotype" w:eastAsia="Palatino Linotype" w:hAnsi="Palatino Linotype" w:cs="Palatino Linotype"/>
          <w:i/>
          <w:iCs/>
        </w:rPr>
      </w:pP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Transcurrido el plazo previsto para dar respuesta a una solicitud para el ejercicio de los derechos ARCO sin que se haya emitido ésta, el titular o en su caso, su representante podrán interponer el recurso de revisión dentro de los quince días siguientes al que haya vencido el plazo para dar respuesta.” </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esa tesitura, atendiendo 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notificó la solicitud de aclaración el </w:t>
      </w:r>
      <w:r>
        <w:rPr>
          <w:rFonts w:ascii="Palatino Linotype" w:eastAsia="Palatino Linotype" w:hAnsi="Palatino Linotype" w:cs="Palatino Linotype"/>
          <w:b/>
          <w:bCs/>
        </w:rPr>
        <w:t>diecisiete de julio</w:t>
      </w:r>
      <w:r>
        <w:rPr>
          <w:rFonts w:ascii="Palatino Linotype" w:eastAsia="Palatino Linotype" w:hAnsi="Palatino Linotype" w:cs="Palatino Linotype"/>
          <w:b/>
          <w:bCs/>
          <w:color w:val="000000"/>
        </w:rPr>
        <w:t xml:space="preserve"> de dos mil veinticinco</w:t>
      </w:r>
      <w:r>
        <w:rPr>
          <w:rFonts w:ascii="Palatino Linotype" w:eastAsia="Palatino Linotype" w:hAnsi="Palatino Linotype" w:cs="Palatino Linotype"/>
          <w:color w:val="000000"/>
        </w:rPr>
        <w:t xml:space="preserve">, posteriormente </w:t>
      </w:r>
      <w:r>
        <w:rPr>
          <w:rFonts w:ascii="Palatino Linotype" w:eastAsia="Palatino Linotype" w:hAnsi="Palatino Linotype" w:cs="Palatino Linotype"/>
        </w:rPr>
        <w:t>notificó</w:t>
      </w:r>
      <w:r>
        <w:rPr>
          <w:rFonts w:ascii="Palatino Linotype" w:eastAsia="Palatino Linotype" w:hAnsi="Palatino Linotype" w:cs="Palatino Linotype"/>
          <w:color w:val="000000"/>
        </w:rPr>
        <w:t xml:space="preserve"> la falta de aclaración a la </w:t>
      </w:r>
      <w:r>
        <w:rPr>
          <w:rFonts w:ascii="Palatino Linotype" w:eastAsia="Palatino Linotype" w:hAnsi="Palatino Linotype" w:cs="Palatino Linotype"/>
          <w:color w:val="000000"/>
        </w:rPr>
        <w:lastRenderedPageBreak/>
        <w:t xml:space="preserve">solicitud de información el </w:t>
      </w:r>
      <w:r>
        <w:rPr>
          <w:rFonts w:ascii="Palatino Linotype" w:eastAsia="Palatino Linotype" w:hAnsi="Palatino Linotype" w:cs="Palatino Linotype"/>
          <w:b/>
          <w:bCs/>
        </w:rPr>
        <w:t>nueve de marzo de dos mil veintiséis</w:t>
      </w:r>
      <w:r>
        <w:rPr>
          <w:rFonts w:ascii="Palatino Linotype" w:eastAsia="Palatino Linotype" w:hAnsi="Palatino Linotype" w:cs="Palatino Linotype"/>
          <w:color w:val="000000"/>
        </w:rPr>
        <w:t>, por lo que  el plazo de quince días hábiles que contempla el artículo 128, de la Ley de Protección de Datos Personales en Posesión de Sujetos Obligados del Estado de México y Municipios, transcurrió del</w:t>
      </w:r>
      <w:r>
        <w:rPr>
          <w:rFonts w:ascii="Palatino Linotype" w:eastAsia="Palatino Linotype" w:hAnsi="Palatino Linotype" w:cs="Palatino Linotype"/>
          <w:b/>
          <w:bCs/>
        </w:rPr>
        <w:t xml:space="preserve"> diez de marzo</w:t>
      </w:r>
      <w:r>
        <w:rPr>
          <w:rFonts w:ascii="Palatino Linotype" w:eastAsia="Palatino Linotype" w:hAnsi="Palatino Linotype" w:cs="Palatino Linotype"/>
          <w:b/>
          <w:bCs/>
          <w:color w:val="000000"/>
        </w:rPr>
        <w:t xml:space="preserve"> al </w:t>
      </w:r>
      <w:r>
        <w:rPr>
          <w:rFonts w:ascii="Palatino Linotype" w:eastAsia="Palatino Linotype" w:hAnsi="Palatino Linotype" w:cs="Palatino Linotype"/>
          <w:b/>
          <w:bCs/>
        </w:rPr>
        <w:t>siete de abril de dos mil veintiséis</w:t>
      </w:r>
      <w:r>
        <w:rPr>
          <w:rFonts w:ascii="Palatino Linotype" w:eastAsia="Palatino Linotype" w:hAnsi="Palatino Linotype" w:cs="Palatino Linotype"/>
          <w:color w:val="000000"/>
        </w:rPr>
        <w:t xml:space="preserve">; en términos de los artículos 4, fracción XV, de la Ley de Protección de Datos Personales en Posesión de Sujetos Obligados del Estado de México y Municipios y 3, fracción X de la Ley de Transparencia y Acceso a la Información Pública del Estado de México y Municipios, de aplicación supletoria. </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Con base a esta cronología, si el Recurso de Revisión que nos ocupa se interpuso el </w:t>
      </w:r>
      <w:r>
        <w:rPr>
          <w:rFonts w:ascii="Palatino Linotype" w:eastAsia="Palatino Linotype" w:hAnsi="Palatino Linotype" w:cs="Palatino Linotype"/>
          <w:b/>
          <w:bCs/>
        </w:rPr>
        <w:t>dieciocho de marzo de dos mil veintiséis</w:t>
      </w:r>
      <w:r>
        <w:rPr>
          <w:rFonts w:ascii="Palatino Linotype" w:eastAsia="Palatino Linotype" w:hAnsi="Palatino Linotype" w:cs="Palatino Linotype"/>
          <w:color w:val="000000"/>
        </w:rPr>
        <w:t xml:space="preserve">, se encuentra dentro de los márgenes temporales previstos en el artículo 128, de la Ley de Protección de Datos Personales en Posesión de Sujetos Obligados del Estado de México y Municipios y, por tanto, su interposición se considera oportuna. </w:t>
      </w:r>
    </w:p>
    <w:p w:rsidR="00985324" w:rsidRDefault="009853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985324" w:rsidRDefault="00C2737F">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TERCERO</w:t>
      </w:r>
      <w:r>
        <w:rPr>
          <w:rFonts w:ascii="Palatino Linotype" w:eastAsia="Palatino Linotype" w:hAnsi="Palatino Linotype" w:cs="Palatino Linotype"/>
        </w:rPr>
        <w:t xml:space="preserve">. </w:t>
      </w:r>
      <w:r>
        <w:rPr>
          <w:rFonts w:ascii="Palatino Linotype" w:eastAsia="Palatino Linotype" w:hAnsi="Palatino Linotype" w:cs="Palatino Linotype"/>
          <w:b/>
          <w:bCs/>
        </w:rPr>
        <w:t>Causales de improcedencia y sobreseimiento.</w:t>
      </w:r>
      <w:r>
        <w:rPr>
          <w:rFonts w:ascii="Palatino Linotype" w:eastAsia="Palatino Linotype" w:hAnsi="Palatino Linotype" w:cs="Palatino Linotype"/>
        </w:rPr>
        <w:t xml:space="preserve"> </w:t>
      </w: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Previo al análisis de fondo de la controversia presentada en el asunto que nos ocupa, este Instituto se encuentra obligado a efectuar el estudio oficioso de las causales de improcedencia y sobreseimiento, por tratarse de una cuestión de orden público y de estudio preferente (acorde con el Criterio orientador en la Tesis de Jurisprudencia número 940, pág. 1538, segunda parte del Apéndice del Semanario Judicial de la Federación 1917-1988.). </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numPr>
          <w:ilvl w:val="0"/>
          <w:numId w:val="5"/>
        </w:numPr>
        <w:spacing w:line="360" w:lineRule="auto"/>
        <w:ind w:right="-1071"/>
        <w:jc w:val="both"/>
        <w:rPr>
          <w:rFonts w:ascii="Palatino Linotype" w:eastAsia="Palatino Linotype" w:hAnsi="Palatino Linotype" w:cs="Palatino Linotype"/>
          <w:b/>
          <w:bCs/>
        </w:rPr>
      </w:pPr>
      <w:r>
        <w:rPr>
          <w:rFonts w:ascii="Palatino Linotype" w:eastAsia="Palatino Linotype" w:hAnsi="Palatino Linotype" w:cs="Palatino Linotype"/>
          <w:b/>
          <w:bCs/>
        </w:rPr>
        <w:t>Causales de improcedencia.</w:t>
      </w: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presente caso, no se actualiza ninguna de las causales de improcedencia establecidas por el artículo 138, de la Ley de Protección de Datos Personales en Posesión de Sujetos Obligados del Estado de México y Municipios, toda vez que el recurso de revisión fue </w:t>
      </w:r>
      <w:r>
        <w:rPr>
          <w:rFonts w:ascii="Palatino Linotype" w:eastAsia="Palatino Linotype" w:hAnsi="Palatino Linotype" w:cs="Palatino Linotype"/>
          <w:color w:val="000000"/>
        </w:rPr>
        <w:lastRenderedPageBreak/>
        <w:t xml:space="preserve">interpuesto en tiempo; el solicitante acreditó su identidad para efectos de la interposición del Recurso de Revisión; este Instituto no tiene conocimiento de haber resuelto sobre la materia del medio de impugnación que nos ocupa; se actualizan la causales de procedencia previstas por el artículo 129, fracciones XI y XII de la Ley en cita; no se tiene conocimiento que ante Tribunales competentes se esté tramitando algún recurso o medio de defensa en contra del acto recurrido ante este Instituto; el Particular no modificó ni amplió su solicitud  de acceso a datos personales y; finalmente el Particular acreditó el interés jurídico para efectos de interponer el medio de impugnación que nos ocupa. </w:t>
      </w:r>
    </w:p>
    <w:p w:rsidR="00985324" w:rsidRDefault="00985324">
      <w:pPr>
        <w:spacing w:line="360" w:lineRule="auto"/>
        <w:ind w:right="-1071"/>
        <w:jc w:val="both"/>
        <w:rPr>
          <w:rFonts w:ascii="Palatino Linotype" w:eastAsia="Palatino Linotype" w:hAnsi="Palatino Linotype" w:cs="Palatino Linotype"/>
          <w:color w:val="000000"/>
        </w:rPr>
      </w:pPr>
    </w:p>
    <w:p w:rsidR="00985324" w:rsidRDefault="00C2737F">
      <w:pPr>
        <w:numPr>
          <w:ilvl w:val="0"/>
          <w:numId w:val="5"/>
        </w:numPr>
        <w:spacing w:line="276"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Causales de sobreseimiento</w:t>
      </w:r>
      <w:r>
        <w:rPr>
          <w:rFonts w:ascii="Palatino Linotype" w:eastAsia="Palatino Linotype" w:hAnsi="Palatino Linotype" w:cs="Palatino Linotype"/>
        </w:rPr>
        <w:t>.</w:t>
      </w: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otra parte, el artículo 139, de la Ley de Protección de Datos Personales en Posesión de Sujetos Obligados del Estado de México y Municipios, señala que el Recurso de Revisión será sobreseído cuando una vez admitido, se actualice algún de los supuestos siguientes: </w:t>
      </w:r>
    </w:p>
    <w:p w:rsidR="00985324" w:rsidRDefault="00C2737F">
      <w:pPr>
        <w:ind w:left="567"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I. El recurrente se desista expresamente. </w:t>
      </w:r>
    </w:p>
    <w:p w:rsidR="00985324" w:rsidRDefault="00C2737F">
      <w:pPr>
        <w:ind w:left="567"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II. El recurrente fallezca. </w:t>
      </w:r>
    </w:p>
    <w:p w:rsidR="00985324" w:rsidRDefault="00C2737F">
      <w:pPr>
        <w:ind w:left="567"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III. Admitido el recurso de revisión, se actualice alguna causal de improcedencia en los términos de la presente Ley. </w:t>
      </w:r>
    </w:p>
    <w:p w:rsidR="00985324" w:rsidRDefault="00C2737F">
      <w:pPr>
        <w:ind w:left="567" w:right="-1071"/>
        <w:jc w:val="both"/>
        <w:rPr>
          <w:rFonts w:ascii="Palatino Linotype" w:eastAsia="Palatino Linotype" w:hAnsi="Palatino Linotype" w:cs="Palatino Linotype"/>
        </w:rPr>
      </w:pPr>
      <w:r>
        <w:rPr>
          <w:rFonts w:ascii="Palatino Linotype" w:eastAsia="Palatino Linotype" w:hAnsi="Palatino Linotype" w:cs="Palatino Linotype"/>
        </w:rPr>
        <w:t xml:space="preserve">IV. El responsable modifique o revoque su respuesta de tal manera que el recurso de revisión quede sin materia. </w:t>
      </w:r>
    </w:p>
    <w:p w:rsidR="00985324" w:rsidRDefault="00C2737F">
      <w:pPr>
        <w:ind w:left="567" w:right="-107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V. Quede sin materia el recurso de revisión. </w:t>
      </w:r>
    </w:p>
    <w:p w:rsidR="008A5ED9" w:rsidRDefault="008A5ED9">
      <w:pPr>
        <w:ind w:left="567" w:right="-1071"/>
        <w:jc w:val="both"/>
        <w:rPr>
          <w:rFonts w:ascii="Palatino Linotype" w:eastAsia="Palatino Linotype" w:hAnsi="Palatino Linotype" w:cs="Palatino Linotype"/>
          <w:b/>
          <w:bCs/>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de señalar que toda vez que admitido el Recurso de Revisión, se actualiza una causal de sobreseimiento en términos de la Ley, es procedente analizar la causal V del artículo en cita. </w:t>
      </w:r>
    </w:p>
    <w:p w:rsidR="00985324" w:rsidRDefault="00985324">
      <w:pPr>
        <w:spacing w:line="360" w:lineRule="auto"/>
        <w:ind w:right="-1071"/>
        <w:jc w:val="both"/>
        <w:rPr>
          <w:rFonts w:ascii="Palatino Linotype" w:eastAsia="Palatino Linotype" w:hAnsi="Palatino Linotype" w:cs="Palatino Linotype"/>
          <w:b/>
          <w:bCs/>
          <w:color w:val="000000"/>
        </w:rPr>
      </w:pPr>
    </w:p>
    <w:p w:rsidR="00985324" w:rsidRDefault="00C2737F">
      <w:pPr>
        <w:spacing w:line="360" w:lineRule="auto"/>
        <w:ind w:right="-1071"/>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CUARTO. Análisis de las causales de sobreseimiento.</w:t>
      </w: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con la finalidad de verificar si ha quedado sin materia el presente Recurso de Revisión, se realizará la relatoría de las actuaciones efectuadas por las partes durante el </w:t>
      </w:r>
      <w:r>
        <w:rPr>
          <w:rFonts w:ascii="Palatino Linotype" w:eastAsia="Palatino Linotype" w:hAnsi="Palatino Linotype" w:cs="Palatino Linotype"/>
          <w:color w:val="000000"/>
        </w:rPr>
        <w:lastRenderedPageBreak/>
        <w:t>procedimiento de acceso a la información pública con el propósito de dar claridad en el tratamiento del tema en estudio.</w:t>
      </w:r>
    </w:p>
    <w:p w:rsidR="00985324" w:rsidRDefault="009853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985324" w:rsidRDefault="00C2737F">
      <w:pPr>
        <w:numPr>
          <w:ilvl w:val="0"/>
          <w:numId w:val="4"/>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No obstante, y </w:t>
      </w:r>
      <w:r>
        <w:rPr>
          <w:rFonts w:ascii="Palatino Linotype" w:eastAsia="Palatino Linotype" w:hAnsi="Palatino Linotype" w:cs="Palatino Linotype"/>
          <w:b/>
          <w:bCs/>
        </w:rPr>
        <w:t>toda vez que se pretende acceder a datos personales de personas fallecidas</w:t>
      </w:r>
      <w:r>
        <w:rPr>
          <w:rFonts w:ascii="Palatino Linotype" w:eastAsia="Palatino Linotype" w:hAnsi="Palatino Linotype" w:cs="Palatino Linotype"/>
        </w:rPr>
        <w:t xml:space="preserve">, es relevante traer a contexto que los derechos ARCO es el derecho humano con que cuenta una persona para la protección de sus datos personales, en posesión de Sujetos Obligados y el tratamiento de los mismos deber de sujetarse a los principios de licitud, finalidad, lealtad, consentimiento, calidad, proporcionalidad, información y responsabilidad. </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numPr>
          <w:ilvl w:val="0"/>
          <w:numId w:val="4"/>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Asimismo la Ley de Protección de Datos Personales en Posesión de Sujetos Obligados del Estado de México y Municipios, regula el derecho de acceso a datos personales de personas fallecidas, en ese sentido el artículo 106 de la Ley de Protección de Datos Personales, aplicable a la entidad, establece en sus párrafos cuarto, quinto y sexto, los supuestos en los cuales un tercero, tiene legitimación para acceder a datos personales de personas fallecidas, en el momento procesal del ingreso de una solicitud de acceso a datos personales: </w:t>
      </w: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106</w:t>
      </w:r>
      <w:r>
        <w:rPr>
          <w:rFonts w:ascii="Palatino Linotype" w:eastAsia="Palatino Linotype" w:hAnsi="Palatino Linotype" w:cs="Palatino Linotype"/>
          <w:i/>
          <w:iCs/>
        </w:rPr>
        <w:t xml:space="preserve">. ... </w:t>
      </w: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w:t>
      </w: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Tratándose de datos personales concernientes a personas fallecidas</w:t>
      </w:r>
      <w:r>
        <w:rPr>
          <w:rFonts w:ascii="Palatino Linotype" w:eastAsia="Palatino Linotype" w:hAnsi="Palatino Linotype" w:cs="Palatino Linotype"/>
          <w:i/>
          <w:iCs/>
        </w:rPr>
        <w:t xml:space="preserve"> o de quienes haya sido declarada judicialmente su presunción de muerte, </w:t>
      </w:r>
      <w:r>
        <w:rPr>
          <w:rFonts w:ascii="Palatino Linotype" w:eastAsia="Palatino Linotype" w:hAnsi="Palatino Linotype" w:cs="Palatino Linotype"/>
          <w:b/>
          <w:bCs/>
          <w:i/>
          <w:iCs/>
        </w:rPr>
        <w:t>la persona que acredite tener un interés jurídico</w:t>
      </w:r>
      <w:r>
        <w:rPr>
          <w:rFonts w:ascii="Palatino Linotype" w:eastAsia="Palatino Linotype" w:hAnsi="Palatino Linotype" w:cs="Palatino Linotype"/>
          <w:i/>
          <w:iCs/>
        </w:rPr>
        <w:t xml:space="preserve"> de conformidad con las leyes aplicables, podrá ejercer los derechos que le confiere el presente capítulo, siempre que el titular de los derechos hubiere expresado fehacientemente su voluntad en tal sentido, o que exista un mandato judicial para dicho efecto. </w:t>
      </w:r>
    </w:p>
    <w:p w:rsidR="00985324" w:rsidRDefault="00985324">
      <w:pPr>
        <w:ind w:left="567" w:right="-1071"/>
        <w:jc w:val="both"/>
        <w:rPr>
          <w:rFonts w:ascii="Palatino Linotype" w:eastAsia="Palatino Linotype" w:hAnsi="Palatino Linotype" w:cs="Palatino Linotype"/>
          <w:i/>
          <w:iCs/>
        </w:rPr>
      </w:pP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 titular podrá autorizar dentro de una cláusula del testamento a las personas que podrán ejercer sus derechos ARCO al momento del fallecimiento. </w:t>
      </w:r>
    </w:p>
    <w:p w:rsidR="00985324" w:rsidRDefault="00985324">
      <w:pPr>
        <w:ind w:left="567" w:right="-1071"/>
        <w:jc w:val="both"/>
        <w:rPr>
          <w:rFonts w:ascii="Palatino Linotype" w:eastAsia="Palatino Linotype" w:hAnsi="Palatino Linotype" w:cs="Palatino Linotype"/>
          <w:i/>
          <w:iCs/>
        </w:rPr>
      </w:pP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El ejercicio de los derechos ARCO por persona distinta a su titular o a su representante, será posible, excepcionalmente, en aquellos supuestos previstos por disposición legal, o en su caso, por mandato judicial.”</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numPr>
          <w:ilvl w:val="0"/>
          <w:numId w:val="4"/>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Se identifica que, para acceder a datos personales de una persona fallecida, el Particular podrá acceder a los datos personales, en primera instancia, si la persona interesada acredite un interés jurídico. </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numPr>
          <w:ilvl w:val="0"/>
          <w:numId w:val="4"/>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Fortalece lo anterior la Tesis Aislada enunciada por el propio Poder Judicial, con número de registro 2005381, derivada del Amparo en revisión 151/2013 (cuaderno auxiliar 580/2013). Reyna Griselda Rejón Ruelas. 11 de julio de 2013. Del CUARTO TRIBUNAL COLEGIADO DE CIRCUITO DEL CENTRO AUXILIAR DE LA TERCERA REGIÓN, CON RESIDENCIA EN GUADALAJARA, JALISCO.</w:t>
      </w:r>
    </w:p>
    <w:p w:rsidR="00985324" w:rsidRDefault="00C2737F">
      <w:pPr>
        <w:ind w:left="567" w:right="-107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INTERÉS JURÍDICO E INTERÉS LEGÍTIMO EN EL AMPARO. CARACTERÍSTICAS DEL MÉTODO CONCRETO QUE DEBE UTILIZAR EL JUEZ PARA SU DETERMINACIÓN.</w:t>
      </w:r>
    </w:p>
    <w:p w:rsidR="00985324" w:rsidRDefault="00985324">
      <w:pPr>
        <w:ind w:left="567" w:right="-1071"/>
        <w:jc w:val="both"/>
        <w:rPr>
          <w:rFonts w:ascii="Palatino Linotype" w:eastAsia="Palatino Linotype" w:hAnsi="Palatino Linotype" w:cs="Palatino Linotype"/>
          <w:i/>
          <w:iCs/>
        </w:rPr>
      </w:pP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Del texto del artículo 107, fracción I, de la Constitución Política de los Estados Unidos Mexicanos, a partir de su reforma publicada en el Diario Oficial de la Federación el 4 de octubre de 2011, se advierte que la intención del Constituyente es continuar en el juicio de amparo con la tutela del </w:t>
      </w:r>
      <w:r>
        <w:rPr>
          <w:rFonts w:ascii="Palatino Linotype" w:eastAsia="Palatino Linotype" w:hAnsi="Palatino Linotype" w:cs="Palatino Linotype"/>
          <w:b/>
          <w:bCs/>
          <w:i/>
          <w:iCs/>
        </w:rPr>
        <w:t>interés jurídico</w:t>
      </w:r>
      <w:r>
        <w:rPr>
          <w:rFonts w:ascii="Palatino Linotype" w:eastAsia="Palatino Linotype" w:hAnsi="Palatino Linotype" w:cs="Palatino Linotype"/>
          <w:i/>
          <w:iCs/>
        </w:rPr>
        <w:t xml:space="preserve"> y agregar al ámbito de protección el </w:t>
      </w:r>
      <w:r>
        <w:rPr>
          <w:rFonts w:ascii="Palatino Linotype" w:eastAsia="Palatino Linotype" w:hAnsi="Palatino Linotype" w:cs="Palatino Linotype"/>
          <w:b/>
          <w:bCs/>
          <w:i/>
          <w:iCs/>
        </w:rPr>
        <w:t>interés legítimo</w:t>
      </w:r>
      <w:r>
        <w:rPr>
          <w:rFonts w:ascii="Palatino Linotype" w:eastAsia="Palatino Linotype" w:hAnsi="Palatino Linotype" w:cs="Palatino Linotype"/>
          <w:i/>
          <w:iCs/>
        </w:rPr>
        <w:t xml:space="preserve">, los cuales tienen diversos alcances, </w:t>
      </w:r>
      <w:r>
        <w:rPr>
          <w:rFonts w:ascii="Palatino Linotype" w:eastAsia="Palatino Linotype" w:hAnsi="Palatino Linotype" w:cs="Palatino Linotype"/>
          <w:b/>
          <w:bCs/>
          <w:i/>
          <w:iCs/>
          <w:u w:val="single"/>
        </w:rPr>
        <w:t>pues el primero requiere, para su acreditación, el perjuicio de un derecho subjetivo del cual es titular el agraviado; en cambio, el segundo comprende únicamente la existencia de un interés cualificado respecto de la legalidad de los actos impugnados</w:t>
      </w:r>
      <w:r>
        <w:rPr>
          <w:rFonts w:ascii="Palatino Linotype" w:eastAsia="Palatino Linotype" w:hAnsi="Palatino Linotype" w:cs="Palatino Linotype"/>
          <w:i/>
          <w:iCs/>
        </w:rPr>
        <w:t xml:space="preserve">, y proviene de la afectación a la esfera jurídica del individuo, ya sea directa o derivada de su situación particular respecto a la norma que establezca el interés difuso en beneficio de una colectividad, identificada e identificable, lo cual supone que el quejoso pertenece a ella; en ese contexto, dichas figuras están referidas u orientadas a cuestiones de legitimación en la causa, pues en ambas se pretende la protección de derechos bajo modalidades distintas, pues reconocer la tutela de dichos intereses a nivel constitucional, sólo tiene por efecto posibilitar, en el interés jurídico, la protección de los derechos subjetivos individuales directos y, en el legítimo, aquellos de grupo o individuales indirectos. A partir de las anteriores premisas el Juez, en función del caso concreto, determinará si se está o no en presencia de un supuesto donde deba analizar el interés jurídico o el legítimo, es decir, el método concreto consiste en atender a la condición legal del sujeto frente al acto calificado de transgresor de sus derechos para precisar cuál es su pretensión, lo que se logra mediante la revisión de la demanda en su integridad, las pruebas, la naturaleza jurídica del acto reclamado e, incluso, de la autoridad responsable, dado que estos factores, conjuntamente, influyen </w:t>
      </w:r>
      <w:r>
        <w:rPr>
          <w:rFonts w:ascii="Palatino Linotype" w:eastAsia="Palatino Linotype" w:hAnsi="Palatino Linotype" w:cs="Palatino Linotype"/>
          <w:i/>
          <w:iCs/>
        </w:rPr>
        <w:lastRenderedPageBreak/>
        <w:t xml:space="preserve">para determinar cuál interés busca protegerse; por ejemplo, si se reclama de una autoridad la orden, ejecución, desposeimiento y embargo de un vehículo de motor en el procedimiento administrativo en materia aduanera, cuya propiedad el quejoso adujo probar con documentos específicos, como la factura con su traducción por ser de procedencia extranjera, este planteamiento permite advertir que se reclama la afectación a un interés jurídico, dada la protección pretendida al derecho de propiedad sobre el automotor. Por tanto, a partir de la diferencia de los intereses descritos, no se está en posibilidad de examinar la afectación de los dos en torno a un acto reclamado, en tanto uno excluye al otro, dado sus particulares orientación y finalidad, sin ser dable perfilar el estudio en sede </w:t>
      </w:r>
      <w:r>
        <w:rPr>
          <w:rFonts w:ascii="Palatino Linotype" w:eastAsia="Palatino Linotype" w:hAnsi="Palatino Linotype" w:cs="Palatino Linotype"/>
        </w:rPr>
        <w:t>constitucional</w:t>
      </w:r>
      <w:r>
        <w:rPr>
          <w:rFonts w:ascii="Palatino Linotype" w:eastAsia="Palatino Linotype" w:hAnsi="Palatino Linotype" w:cs="Palatino Linotype"/>
          <w:i/>
          <w:iCs/>
        </w:rPr>
        <w:t xml:space="preserve"> por la vía del interés legítimo sólo porque así lo refiere el quejoso, pues ello equivaldría a desnaturalizar la función del órgano jurisdiccional en su calidad de rector del juicio.</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numPr>
          <w:ilvl w:val="0"/>
          <w:numId w:val="4"/>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Por otro lado, el dispositivo legal que norma la interposición del Recurso de Revisión tratándose de datos personales correspondientes a personas fallecidas, se encuentra establecido en el artículo 122 de la Ley de Protección de Datos Personales en Posesión de Sujetos Obligados del Estado de México y Municipios, que precisa:</w:t>
      </w: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Interposición respecto a datos de personas fallecidas </w:t>
      </w: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122</w:t>
      </w:r>
      <w:r>
        <w:rPr>
          <w:rFonts w:ascii="Palatino Linotype" w:eastAsia="Palatino Linotype" w:hAnsi="Palatino Linotype" w:cs="Palatino Linotype"/>
          <w:i/>
          <w:iCs/>
        </w:rPr>
        <w:t>. La interposición de un recurso de revisión de datos personales concernientes a personas fallecidas, podrá realizarla la persona que acredite tener un interés jurídico o legítimo.</w:t>
      </w:r>
    </w:p>
    <w:p w:rsidR="00985324" w:rsidRDefault="00985324">
      <w:pPr>
        <w:ind w:right="-1071"/>
        <w:jc w:val="both"/>
        <w:rPr>
          <w:rFonts w:ascii="Palatino Linotype" w:eastAsia="Palatino Linotype" w:hAnsi="Palatino Linotype" w:cs="Palatino Linotype"/>
        </w:rPr>
      </w:pPr>
    </w:p>
    <w:p w:rsidR="008A5ED9" w:rsidRDefault="008A5ED9">
      <w:pPr>
        <w:ind w:right="-1071"/>
        <w:jc w:val="both"/>
        <w:rPr>
          <w:rFonts w:ascii="Palatino Linotype" w:eastAsia="Palatino Linotype" w:hAnsi="Palatino Linotype" w:cs="Palatino Linotype"/>
        </w:rPr>
      </w:pPr>
    </w:p>
    <w:p w:rsidR="00985324" w:rsidRDefault="00C2737F">
      <w:pPr>
        <w:numPr>
          <w:ilvl w:val="0"/>
          <w:numId w:val="4"/>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Del precepto legal transcrito, se desprende que la interposición del Recurso de Revisión de datos personales concernientes a personas fallecidas, puede realizarla la persona que acredite tener un interés jurídico o legítimo.</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numPr>
          <w:ilvl w:val="0"/>
          <w:numId w:val="4"/>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a efecto de dar claridad respecto de los términos de interés jurídico e interés legítimo, es necesario señalar la definición legal prevista el artículo 231 del Código de Procedimientos Administrativos del Estado de México, de aplicación supletoria a la Ley de Protección de Datos Personales en Posesión de Sujetos Obligados del Estado de México y Municipios, en atención al artículo 11 que, para mayor ilustración, se transcribe a continuación: </w:t>
      </w: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Artículo 231</w:t>
      </w:r>
      <w:r>
        <w:rPr>
          <w:rFonts w:ascii="Palatino Linotype" w:eastAsia="Palatino Linotype" w:hAnsi="Palatino Linotype" w:cs="Palatino Linotype"/>
          <w:i/>
          <w:iCs/>
        </w:rPr>
        <w:t>.- Sólo podrán intervenir en juicio los particulares que tengan un interés jurídico o legítimo que funde su pretensión. Tienen interés jurídico los titulares de un derecho subjetivo público e interés legítimo quienes invoquen situaciones de hecho protegidas por el orden jurídico, tanto de un sujeto determinado como de los integrantes de un grupo de individuos, diferenciados del conjunto general de la sociedad.</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numPr>
          <w:ilvl w:val="0"/>
          <w:numId w:val="4"/>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al desentrañar el artículo de referencia tenemos que los elementos que integran el interés jurídico y legítimo: </w:t>
      </w:r>
    </w:p>
    <w:p w:rsidR="00985324" w:rsidRDefault="00985324">
      <w:pPr>
        <w:spacing w:line="360" w:lineRule="auto"/>
        <w:ind w:right="-1071"/>
        <w:jc w:val="both"/>
        <w:rPr>
          <w:rFonts w:ascii="Palatino Linotype" w:eastAsia="Palatino Linotype" w:hAnsi="Palatino Linotype" w:cs="Palatino Linotype"/>
          <w:b/>
          <w:bCs/>
        </w:rPr>
      </w:pPr>
    </w:p>
    <w:p w:rsidR="00985324" w:rsidRDefault="00C2737F">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En cuanto al interés jurídico</w:t>
      </w:r>
      <w:r>
        <w:rPr>
          <w:rFonts w:ascii="Palatino Linotype" w:eastAsia="Palatino Linotype" w:hAnsi="Palatino Linotype" w:cs="Palatino Linotype"/>
        </w:rPr>
        <w:t xml:space="preserve"> </w:t>
      </w:r>
    </w:p>
    <w:p w:rsidR="00985324" w:rsidRDefault="00C2737F">
      <w:pPr>
        <w:numPr>
          <w:ilvl w:val="0"/>
          <w:numId w:val="3"/>
        </w:num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Titular de un derecho subjetivo público</w:t>
      </w:r>
      <w:r>
        <w:rPr>
          <w:rFonts w:ascii="Palatino Linotype" w:eastAsia="Palatino Linotype" w:hAnsi="Palatino Linotype" w:cs="Palatino Linotype"/>
          <w:color w:val="000000"/>
        </w:rPr>
        <w:t xml:space="preserve">. </w:t>
      </w:r>
    </w:p>
    <w:p w:rsidR="00985324" w:rsidRDefault="00C2737F">
      <w:pPr>
        <w:numPr>
          <w:ilvl w:val="0"/>
          <w:numId w:val="4"/>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Este tipo de interés lo constituye la existencia o actualización de un derecho subjetivo jurídicamente tutelado que puede afectarse, por comisión u omisión mediante un acto de autoridad, teniendo sólo el titular de algún derecho legítimamente protegible la facultad de acudir ante las autoridades que a derecho corresponda cuando se transgrede, por la actuación de cierta autoridad. </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numPr>
          <w:ilvl w:val="0"/>
          <w:numId w:val="4"/>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Asimismo, debe interpretarse que una persona física tiene interés jurídico cuando, en su carácter de titular de sus derechos subjetivos, se ve afectada de manera personal o directa en sus derechos, para lo cual debe acreditar lo siguiente:</w:t>
      </w:r>
    </w:p>
    <w:p w:rsidR="00985324" w:rsidRDefault="00C2737F">
      <w:pPr>
        <w:spacing w:line="360" w:lineRule="auto"/>
        <w:ind w:right="-107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a) La existencia del derecho subjetivo vulnerado; y </w:t>
      </w:r>
    </w:p>
    <w:p w:rsidR="00985324" w:rsidRDefault="00C2737F">
      <w:pPr>
        <w:spacing w:line="360" w:lineRule="auto"/>
        <w:ind w:right="-107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b) El acto de autoridad que afecta ese derecho. </w:t>
      </w:r>
    </w:p>
    <w:p w:rsidR="008A5ED9" w:rsidRDefault="008A5ED9">
      <w:pPr>
        <w:ind w:left="570" w:right="-1071"/>
        <w:jc w:val="both"/>
        <w:rPr>
          <w:rFonts w:ascii="Palatino Linotype" w:eastAsia="Palatino Linotype" w:hAnsi="Palatino Linotype" w:cs="Palatino Linotype"/>
          <w:b/>
          <w:bCs/>
        </w:rPr>
      </w:pPr>
    </w:p>
    <w:p w:rsidR="00985324" w:rsidRDefault="00C2737F">
      <w:pPr>
        <w:ind w:left="570" w:right="-1071"/>
        <w:jc w:val="both"/>
        <w:rPr>
          <w:rFonts w:ascii="Palatino Linotype" w:eastAsia="Palatino Linotype" w:hAnsi="Palatino Linotype" w:cs="Palatino Linotype"/>
        </w:rPr>
      </w:pPr>
      <w:r>
        <w:rPr>
          <w:rFonts w:ascii="Palatino Linotype" w:eastAsia="Palatino Linotype" w:hAnsi="Palatino Linotype" w:cs="Palatino Linotype"/>
          <w:b/>
          <w:bCs/>
        </w:rPr>
        <w:t>Respecto al interés legítimo</w:t>
      </w:r>
    </w:p>
    <w:p w:rsidR="00985324" w:rsidRDefault="00C2737F">
      <w:pPr>
        <w:pBdr>
          <w:top w:val="nil"/>
          <w:left w:val="nil"/>
          <w:bottom w:val="nil"/>
          <w:right w:val="nil"/>
          <w:between w:val="nil"/>
        </w:pBdr>
        <w:ind w:left="570" w:right="-1071"/>
        <w:jc w:val="both"/>
        <w:rPr>
          <w:rFonts w:ascii="Palatino Linotype" w:eastAsia="Palatino Linotype" w:hAnsi="Palatino Linotype" w:cs="Palatino Linotype"/>
          <w:b/>
          <w:bCs/>
        </w:rPr>
      </w:pPr>
      <w:r>
        <w:rPr>
          <w:rFonts w:ascii="Palatino Linotype" w:eastAsia="Palatino Linotype" w:hAnsi="Palatino Linotype" w:cs="Palatino Linotype"/>
          <w:b/>
          <w:bCs/>
        </w:rPr>
        <w:t>-</w:t>
      </w:r>
      <w:r>
        <w:rPr>
          <w:rFonts w:ascii="Palatino Linotype" w:eastAsia="Palatino Linotype" w:hAnsi="Palatino Linotype" w:cs="Palatino Linotype"/>
          <w:b/>
          <w:bCs/>
          <w:color w:val="000000"/>
        </w:rPr>
        <w:t>Cualquier persona que invoque situaciones de hecho protegidas por el orden jurídico, y</w:t>
      </w:r>
    </w:p>
    <w:p w:rsidR="00985324" w:rsidRDefault="00C2737F">
      <w:pPr>
        <w:pBdr>
          <w:top w:val="nil"/>
          <w:left w:val="nil"/>
          <w:bottom w:val="nil"/>
          <w:right w:val="nil"/>
          <w:between w:val="nil"/>
        </w:pBdr>
        <w:ind w:left="570" w:right="-107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rPr>
        <w:t>-</w:t>
      </w:r>
      <w:r>
        <w:rPr>
          <w:rFonts w:ascii="Palatino Linotype" w:eastAsia="Palatino Linotype" w:hAnsi="Palatino Linotype" w:cs="Palatino Linotype"/>
          <w:b/>
          <w:bCs/>
          <w:color w:val="000000"/>
        </w:rPr>
        <w:t xml:space="preserve">Se </w:t>
      </w:r>
      <w:r>
        <w:rPr>
          <w:rFonts w:ascii="Palatino Linotype" w:eastAsia="Palatino Linotype" w:hAnsi="Palatino Linotype" w:cs="Palatino Linotype"/>
          <w:b/>
          <w:bCs/>
        </w:rPr>
        <w:t>diferencian</w:t>
      </w:r>
      <w:r>
        <w:rPr>
          <w:rFonts w:ascii="Palatino Linotype" w:eastAsia="Palatino Linotype" w:hAnsi="Palatino Linotype" w:cs="Palatino Linotype"/>
          <w:b/>
          <w:bCs/>
          <w:color w:val="000000"/>
        </w:rPr>
        <w:t xml:space="preserve"> del conjunto general de la sociedad. </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numPr>
          <w:ilvl w:val="0"/>
          <w:numId w:val="4"/>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Por éste, debe entenderse aquel interés personal, individual o colectivo, cualificado, actual, real y jurídicamente relevante, que puede traducirse en un beneficio jurídico en favor del peticionario derivado de una afectación a su esfera jurídica en sentido amplio, que puede ser de índole económica, profesional, de salud, o de cualquier otra. </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numPr>
          <w:ilvl w:val="0"/>
          <w:numId w:val="4"/>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sentido, una persona física goza de interés legítimo cuando no teniendo un derecho subjetivo (es decir, sin contar con un interés jurídico), por su situación objetiva y particular, y por razones de hecho o de derecho se ve afectada en su esfera jurídica. Así, para determinar que una persona cuenta con un interés legítimo debe acreditar lo siguiente: </w:t>
      </w:r>
    </w:p>
    <w:p w:rsidR="00985324" w:rsidRDefault="00C2737F">
      <w:pPr>
        <w:ind w:left="566" w:right="-107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a) La existencia de una norma constitucional en la que se establezca o tutele algún interés difuso en beneficio de una colectividad determinada; </w:t>
      </w:r>
    </w:p>
    <w:p w:rsidR="00985324" w:rsidRDefault="00C2737F">
      <w:pPr>
        <w:ind w:left="566" w:right="-1071"/>
        <w:jc w:val="both"/>
        <w:rPr>
          <w:rFonts w:ascii="Palatino Linotype" w:eastAsia="Palatino Linotype" w:hAnsi="Palatino Linotype" w:cs="Palatino Linotype"/>
          <w:b/>
          <w:bCs/>
        </w:rPr>
      </w:pPr>
      <w:r>
        <w:rPr>
          <w:rFonts w:ascii="Palatino Linotype" w:eastAsia="Palatino Linotype" w:hAnsi="Palatino Linotype" w:cs="Palatino Linotype"/>
          <w:b/>
          <w:bCs/>
        </w:rPr>
        <w:t>b) Que el acto reclamado transgrede ese interés difuso, ya sea de manera individual o colectiva; y</w:t>
      </w:r>
    </w:p>
    <w:p w:rsidR="00985324" w:rsidRDefault="00C2737F">
      <w:pPr>
        <w:ind w:left="566" w:right="-1071"/>
        <w:jc w:val="both"/>
        <w:rPr>
          <w:rFonts w:ascii="Palatino Linotype" w:eastAsia="Palatino Linotype" w:hAnsi="Palatino Linotype" w:cs="Palatino Linotype"/>
          <w:b/>
          <w:bCs/>
        </w:rPr>
      </w:pPr>
      <w:r>
        <w:rPr>
          <w:rFonts w:ascii="Palatino Linotype" w:eastAsia="Palatino Linotype" w:hAnsi="Palatino Linotype" w:cs="Palatino Linotype"/>
          <w:b/>
          <w:bCs/>
        </w:rPr>
        <w:t>c) La pertenencia de la persona, a la colectividad a la cual le fue establecido o tutelado un interés difuso.</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numPr>
          <w:ilvl w:val="0"/>
          <w:numId w:val="4"/>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Concatenado a ello, resulta indispensable citar el contenido de los Lineamientos Generales de Protección de Datos Personales para el Sector Público, en el numeral 75, que es el siguiente: </w:t>
      </w: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75.</w:t>
      </w:r>
      <w:r>
        <w:rPr>
          <w:rFonts w:ascii="Palatino Linotype" w:eastAsia="Palatino Linotype" w:hAnsi="Palatino Linotype" w:cs="Palatino Linotype"/>
          <w:i/>
          <w:iCs/>
        </w:rPr>
        <w:t xml:space="preserve"> De conformidad con el artículo 49, último párrafo de la Ley General, tratándose de datos personales concernientes a personas fallecidas, la persona que acredite tener un interés jurídico podrá ejercer los derechos ARCO. En caso de que la persona fallecida no hubiere expresado fehacientemente su voluntad a que se refiere el párrafo anterior, bastará que la persona que pretende ejercer los derechos ARCO acredite su interés jurídico en los términos previstos en el presente Capítulo.</w:t>
      </w:r>
    </w:p>
    <w:p w:rsidR="00985324" w:rsidRDefault="00985324">
      <w:pPr>
        <w:ind w:left="567" w:right="-1071"/>
        <w:jc w:val="both"/>
        <w:rPr>
          <w:rFonts w:ascii="Palatino Linotype" w:eastAsia="Palatino Linotype" w:hAnsi="Palatino Linotype" w:cs="Palatino Linotype"/>
          <w:i/>
          <w:iCs/>
        </w:rPr>
      </w:pP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Para los efectos de la Ley General y los presentes Lineamientos generales, se entenderá por interés jurídico aquel que tiene una persona física que, con motivo del fallecimiento del titular, pretende ejercer los derechos ARCO de éste, para el reconocimiento de derechos sucesorios, atendiendo a la relación de parentesco por consanguinidad o afinidad que haya tenido con el titular, el cual se acreditará en términos de las disposiciones legales aplicables. </w:t>
      </w:r>
    </w:p>
    <w:p w:rsidR="00985324" w:rsidRDefault="00985324">
      <w:pPr>
        <w:ind w:left="567" w:right="-1071"/>
        <w:jc w:val="both"/>
        <w:rPr>
          <w:rFonts w:ascii="Palatino Linotype" w:eastAsia="Palatino Linotype" w:hAnsi="Palatino Linotype" w:cs="Palatino Linotype"/>
          <w:i/>
          <w:iCs/>
        </w:rPr>
      </w:pP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Puede alegar interés jurídico, de manera enunciativa más no limitativa, el albacea, herederos, legatarios, familiares en línea recta sin limitación de grado y en línea colateral hasta el cuarto grado, lo que se acreditará con copia simple del documento delegatorio, pasado ante la fe de notario público o suscrito ante dos testigos. </w:t>
      </w:r>
    </w:p>
    <w:p w:rsidR="00985324" w:rsidRDefault="00985324">
      <w:pPr>
        <w:ind w:left="567" w:right="-1071"/>
        <w:jc w:val="both"/>
        <w:rPr>
          <w:rFonts w:ascii="Palatino Linotype" w:eastAsia="Palatino Linotype" w:hAnsi="Palatino Linotype" w:cs="Palatino Linotype"/>
          <w:i/>
          <w:iCs/>
        </w:rPr>
      </w:pP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En el supuesto de que el titular sea un menor de edad, el interés jurídico se acreditará con la copia del acta de defunción del menor, el acta de nacimiento o identificación del menor, así como la identificación de quien ejercía la patria potestad y/o tutela. </w:t>
      </w:r>
    </w:p>
    <w:p w:rsidR="00985324" w:rsidRDefault="00985324">
      <w:pPr>
        <w:ind w:left="567" w:right="-1071"/>
        <w:jc w:val="both"/>
        <w:rPr>
          <w:rFonts w:ascii="Palatino Linotype" w:eastAsia="Palatino Linotype" w:hAnsi="Palatino Linotype" w:cs="Palatino Linotype"/>
          <w:i/>
          <w:iCs/>
        </w:rPr>
      </w:pP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En el supuesto de que el titular sea una persona en estado de interdicción o incapacidad declarada por ley o por autoridad judicial, el interés jurídico se acreditará con la copia de su acta de defunción, el documento de su identificación oficial y de quien ejercía la tutela, así como el instrumento legal de designación del tutor.</w:t>
      </w:r>
    </w:p>
    <w:p w:rsidR="00985324" w:rsidRDefault="00985324">
      <w:pPr>
        <w:ind w:right="-1071"/>
        <w:jc w:val="both"/>
        <w:rPr>
          <w:rFonts w:ascii="Palatino Linotype" w:eastAsia="Palatino Linotype" w:hAnsi="Palatino Linotype" w:cs="Palatino Linotype"/>
          <w:i/>
          <w:iCs/>
        </w:rPr>
      </w:pPr>
    </w:p>
    <w:p w:rsidR="00985324" w:rsidRDefault="00C2737F">
      <w:pPr>
        <w:numPr>
          <w:ilvl w:val="0"/>
          <w:numId w:val="4"/>
        </w:numP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b/>
          <w:bCs/>
        </w:rPr>
        <w:t>Interés legítimo</w:t>
      </w:r>
      <w:r>
        <w:rPr>
          <w:rFonts w:ascii="Palatino Linotype" w:eastAsia="Palatino Linotype" w:hAnsi="Palatino Linotype" w:cs="Palatino Linotype"/>
        </w:rPr>
        <w:t xml:space="preserve"> que fue </w:t>
      </w:r>
      <w:r>
        <w:rPr>
          <w:rFonts w:ascii="Palatino Linotype" w:eastAsia="Palatino Linotype" w:hAnsi="Palatino Linotype" w:cs="Palatino Linotype"/>
          <w:b/>
          <w:bCs/>
        </w:rPr>
        <w:t>acreditado</w:t>
      </w:r>
      <w:r>
        <w:rPr>
          <w:rFonts w:ascii="Palatino Linotype" w:eastAsia="Palatino Linotype" w:hAnsi="Palatino Linotype" w:cs="Palatino Linotype"/>
        </w:rPr>
        <w:t xml:space="preserve"> por la parte Recurrente al momento de interponer su solicitud, con los documentos que adjuntó a la misma, para acceder a la información de su madre fallecida a través de los Derechos ARCO.</w:t>
      </w:r>
    </w:p>
    <w:p w:rsidR="00985324" w:rsidRDefault="00985324">
      <w:pPr>
        <w:tabs>
          <w:tab w:val="left" w:pos="4962"/>
        </w:tabs>
        <w:spacing w:line="360" w:lineRule="auto"/>
        <w:ind w:right="-1071"/>
        <w:jc w:val="both"/>
        <w:rPr>
          <w:rFonts w:ascii="Palatino Linotype" w:eastAsia="Palatino Linotype" w:hAnsi="Palatino Linotype" w:cs="Palatino Linotype"/>
          <w:color w:val="000000"/>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ese sentido, es importante recordar que la información solicitada por la parte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fue la siguiente. </w:t>
      </w:r>
    </w:p>
    <w:p w:rsidR="00985324" w:rsidRDefault="00C2737F">
      <w:pPr>
        <w:pBdr>
          <w:top w:val="nil"/>
          <w:left w:val="nil"/>
          <w:bottom w:val="nil"/>
          <w:right w:val="nil"/>
          <w:between w:val="nil"/>
        </w:pBdr>
        <w:ind w:left="566" w:right="-107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“SOLICITO EL AVISO D EMOVIMIENTO DE BAJA DE MI FALLECIDO ESPOSO </w:t>
      </w:r>
      <w:r w:rsidR="0029375A">
        <w:rPr>
          <w:rFonts w:ascii="Palatino Linotype" w:eastAsia="Palatino Linotype" w:hAnsi="Palatino Linotype" w:cs="Palatino Linotype"/>
          <w:b/>
          <w:bCs/>
          <w:i/>
          <w:iCs/>
        </w:rPr>
        <w:t>XXXX</w:t>
      </w:r>
      <w:r>
        <w:rPr>
          <w:rFonts w:ascii="Palatino Linotype" w:eastAsia="Palatino Linotype" w:hAnsi="Palatino Linotype" w:cs="Palatino Linotype"/>
          <w:b/>
          <w:bCs/>
          <w:i/>
          <w:iCs/>
        </w:rPr>
        <w:t xml:space="preserve">, CLAVE ISSEMYM </w:t>
      </w:r>
      <w:r w:rsidR="0029375A">
        <w:rPr>
          <w:rFonts w:ascii="Palatino Linotype" w:eastAsia="Palatino Linotype" w:hAnsi="Palatino Linotype" w:cs="Palatino Linotype"/>
          <w:b/>
          <w:bCs/>
          <w:i/>
          <w:iCs/>
        </w:rPr>
        <w:t>XXXX</w:t>
      </w:r>
      <w:r>
        <w:rPr>
          <w:rFonts w:ascii="Palatino Linotype" w:eastAsia="Palatino Linotype" w:hAnsi="Palatino Linotype" w:cs="Palatino Linotype"/>
          <w:b/>
          <w:bCs/>
          <w:i/>
          <w:iCs/>
        </w:rPr>
        <w:t>, POLICIA ESTATAL, 30 DE SEPTIEMBRE DE 2025” (Sic)</w:t>
      </w:r>
    </w:p>
    <w:p w:rsidR="00985324" w:rsidRDefault="00985324">
      <w:pPr>
        <w:pBdr>
          <w:top w:val="nil"/>
          <w:left w:val="nil"/>
          <w:bottom w:val="nil"/>
          <w:right w:val="nil"/>
          <w:between w:val="nil"/>
        </w:pBdr>
        <w:ind w:right="-1071"/>
        <w:rPr>
          <w:rFonts w:ascii="Palatino Linotype" w:eastAsia="Palatino Linotype" w:hAnsi="Palatino Linotype" w:cs="Palatino Linotype"/>
          <w:color w:val="000000"/>
        </w:rPr>
      </w:pPr>
    </w:p>
    <w:p w:rsidR="008A5ED9" w:rsidRDefault="008A5ED9">
      <w:pPr>
        <w:pBdr>
          <w:top w:val="nil"/>
          <w:left w:val="nil"/>
          <w:bottom w:val="nil"/>
          <w:right w:val="nil"/>
          <w:between w:val="nil"/>
        </w:pBdr>
        <w:ind w:right="-1071"/>
        <w:rPr>
          <w:rFonts w:ascii="Palatino Linotype" w:eastAsia="Palatino Linotype" w:hAnsi="Palatino Linotype" w:cs="Palatino Linotype"/>
          <w:color w:val="000000"/>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De lo anterior, se debe de indicar que dicha información </w:t>
      </w:r>
      <w:r>
        <w:rPr>
          <w:rFonts w:ascii="Palatino Linotype" w:eastAsia="Palatino Linotype" w:hAnsi="Palatino Linotype" w:cs="Palatino Linotype"/>
          <w:b/>
          <w:bCs/>
          <w:color w:val="000000"/>
        </w:rPr>
        <w:t>se solicitó en copia certificada</w:t>
      </w:r>
      <w:r>
        <w:rPr>
          <w:rFonts w:ascii="Palatino Linotype" w:eastAsia="Palatino Linotype" w:hAnsi="Palatino Linotype" w:cs="Palatino Linotype"/>
          <w:color w:val="000000"/>
        </w:rPr>
        <w:t xml:space="preserve"> y que al momento de solicitar la información se </w:t>
      </w:r>
      <w:r>
        <w:rPr>
          <w:rFonts w:ascii="Palatino Linotype" w:eastAsia="Palatino Linotype" w:hAnsi="Palatino Linotype" w:cs="Palatino Linotype"/>
        </w:rPr>
        <w:t>adjuntan</w:t>
      </w:r>
      <w:r>
        <w:rPr>
          <w:rFonts w:ascii="Palatino Linotype" w:eastAsia="Palatino Linotype" w:hAnsi="Palatino Linotype" w:cs="Palatino Linotype"/>
          <w:color w:val="000000"/>
        </w:rPr>
        <w:t xml:space="preserve"> documentos que </w:t>
      </w:r>
      <w:r>
        <w:rPr>
          <w:rFonts w:ascii="Palatino Linotype" w:eastAsia="Palatino Linotype" w:hAnsi="Palatino Linotype" w:cs="Palatino Linotype"/>
        </w:rPr>
        <w:t>acrediten</w:t>
      </w:r>
      <w:r>
        <w:rPr>
          <w:rFonts w:ascii="Palatino Linotype" w:eastAsia="Palatino Linotype" w:hAnsi="Palatino Linotype" w:cs="Palatino Linotype"/>
          <w:color w:val="000000"/>
        </w:rPr>
        <w:t xml:space="preserve"> el vínculo filial entre </w:t>
      </w:r>
      <w:r>
        <w:rPr>
          <w:rFonts w:ascii="Palatino Linotype" w:eastAsia="Palatino Linotype" w:hAnsi="Palatino Linotype" w:cs="Palatino Linotype"/>
        </w:rPr>
        <w:t>la</w:t>
      </w:r>
      <w:r>
        <w:rPr>
          <w:rFonts w:ascii="Palatino Linotype" w:eastAsia="Palatino Linotype" w:hAnsi="Palatino Linotype" w:cs="Palatino Linotype"/>
          <w:color w:val="000000"/>
        </w:rPr>
        <w:t xml:space="preserve"> solicitante y la persona servidora pública finada, </w:t>
      </w:r>
      <w:r>
        <w:rPr>
          <w:rFonts w:ascii="Palatino Linotype" w:eastAsia="Palatino Linotype" w:hAnsi="Palatino Linotype" w:cs="Palatino Linotype"/>
        </w:rPr>
        <w:t>mismas que fueron descritas previamente.</w:t>
      </w:r>
    </w:p>
    <w:p w:rsidR="00985324" w:rsidRDefault="00985324">
      <w:pPr>
        <w:pBdr>
          <w:top w:val="nil"/>
          <w:left w:val="nil"/>
          <w:bottom w:val="nil"/>
          <w:right w:val="nil"/>
          <w:between w:val="nil"/>
        </w:pBdr>
        <w:spacing w:line="360" w:lineRule="auto"/>
        <w:ind w:right="-1071"/>
        <w:jc w:val="both"/>
        <w:rPr>
          <w:rFonts w:ascii="Palatino Linotype" w:eastAsia="Palatino Linotype" w:hAnsi="Palatino Linotype" w:cs="Palatino Linotype"/>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Derivado de la solicitud, el </w:t>
      </w:r>
      <w:r>
        <w:rPr>
          <w:rFonts w:ascii="Palatino Linotype" w:eastAsia="Palatino Linotype" w:hAnsi="Palatino Linotype" w:cs="Palatino Linotype"/>
          <w:b/>
          <w:bCs/>
          <w:smallCaps/>
          <w:color w:val="000000"/>
        </w:rPr>
        <w:t>SUJETO OBLIGADO</w:t>
      </w:r>
      <w:r>
        <w:rPr>
          <w:rFonts w:ascii="Palatino Linotype" w:eastAsia="Palatino Linotype" w:hAnsi="Palatino Linotype" w:cs="Palatino Linotype"/>
          <w:color w:val="000000"/>
        </w:rPr>
        <w:t xml:space="preserve"> realizó una solicitud de aclaración a fin de que la </w:t>
      </w:r>
      <w:r>
        <w:rPr>
          <w:rFonts w:ascii="Palatino Linotype" w:eastAsia="Palatino Linotype" w:hAnsi="Palatino Linotype" w:cs="Palatino Linotype"/>
          <w:b/>
          <w:bCs/>
          <w:color w:val="000000"/>
        </w:rPr>
        <w:t xml:space="preserve">SOLICITANTE </w:t>
      </w:r>
      <w:r>
        <w:rPr>
          <w:rFonts w:ascii="Palatino Linotype" w:eastAsia="Palatino Linotype" w:hAnsi="Palatino Linotype" w:cs="Palatino Linotype"/>
        </w:rPr>
        <w:t>entregará</w:t>
      </w:r>
      <w:r>
        <w:rPr>
          <w:rFonts w:ascii="Palatino Linotype" w:eastAsia="Palatino Linotype" w:hAnsi="Palatino Linotype" w:cs="Palatino Linotype"/>
          <w:color w:val="000000"/>
        </w:rPr>
        <w:t xml:space="preserve"> la documentación que </w:t>
      </w:r>
      <w:r>
        <w:rPr>
          <w:rFonts w:ascii="Palatino Linotype" w:eastAsia="Palatino Linotype" w:hAnsi="Palatino Linotype" w:cs="Palatino Linotype"/>
        </w:rPr>
        <w:t>acredite</w:t>
      </w:r>
      <w:r>
        <w:rPr>
          <w:rFonts w:ascii="Palatino Linotype" w:eastAsia="Palatino Linotype" w:hAnsi="Palatino Linotype" w:cs="Palatino Linotype"/>
          <w:color w:val="000000"/>
        </w:rPr>
        <w:t xml:space="preserve"> la representación legal para acceder a los datos personales de la persona finada.</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su parte, la </w:t>
      </w:r>
      <w:r>
        <w:rPr>
          <w:rFonts w:ascii="Palatino Linotype" w:eastAsia="Palatino Linotype" w:hAnsi="Palatino Linotype" w:cs="Palatino Linotype"/>
          <w:b/>
          <w:bCs/>
          <w:color w:val="000000"/>
        </w:rPr>
        <w:t xml:space="preserve">SOLICITANTE </w:t>
      </w:r>
      <w:r>
        <w:rPr>
          <w:rFonts w:ascii="Palatino Linotype" w:eastAsia="Palatino Linotype" w:hAnsi="Palatino Linotype" w:cs="Palatino Linotype"/>
          <w:color w:val="000000"/>
        </w:rPr>
        <w:t>omitió desahogar la solicitud de aclaración y por ello, el Sujeto Obligado determinó no tenerla por presentada, por no atender el requerimiento realizado.</w:t>
      </w:r>
    </w:p>
    <w:p w:rsidR="00985324" w:rsidRDefault="009853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la respuesta emitida por el Sujeto Obligado, </w:t>
      </w:r>
      <w:r>
        <w:rPr>
          <w:rFonts w:ascii="Palatino Linotype" w:eastAsia="Palatino Linotype" w:hAnsi="Palatino Linotype" w:cs="Palatino Linotype"/>
        </w:rPr>
        <w:t>la</w:t>
      </w:r>
      <w:r>
        <w:rPr>
          <w:rFonts w:ascii="Palatino Linotype" w:eastAsia="Palatino Linotype" w:hAnsi="Palatino Linotype" w:cs="Palatino Linotype"/>
          <w:color w:val="000000"/>
        </w:rPr>
        <w:t xml:space="preserve"> Particular interpuso el presente </w:t>
      </w:r>
      <w:r>
        <w:rPr>
          <w:rFonts w:ascii="Palatino Linotype" w:eastAsia="Palatino Linotype" w:hAnsi="Palatino Linotype" w:cs="Palatino Linotype"/>
          <w:b/>
          <w:bCs/>
          <w:color w:val="000000"/>
        </w:rPr>
        <w:t>Recurso de Revisión</w:t>
      </w:r>
      <w:r>
        <w:rPr>
          <w:rFonts w:ascii="Palatino Linotype" w:eastAsia="Palatino Linotype" w:hAnsi="Palatino Linotype" w:cs="Palatino Linotype"/>
          <w:color w:val="000000"/>
        </w:rPr>
        <w:t>, en el que manifestó su inconformidad con la respuesta bajo el argumento de no haber recibido los datos a los que se desea tener acceso</w:t>
      </w:r>
      <w:r>
        <w:rPr>
          <w:rFonts w:ascii="Palatino Linotype" w:eastAsia="Palatino Linotype" w:hAnsi="Palatino Linotype" w:cs="Palatino Linotype"/>
        </w:rPr>
        <w:t>.</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posterior a la admisión del presente Recurso de Revisión, ambas partes manifestaron expresamente su voluntad para conciliar el presente asunto, por lo que, se realizó un análisis a la solicitud de acceso a datos personales y a los documentos entregados para acceder a ella y se determinaron elementos suficientes para citar a las partes a audiencia de conciliación.</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 la </w:t>
      </w:r>
      <w:r>
        <w:rPr>
          <w:rFonts w:ascii="Palatino Linotype" w:eastAsia="Palatino Linotype" w:hAnsi="Palatino Linotype" w:cs="Palatino Linotype"/>
          <w:b/>
          <w:bCs/>
          <w:color w:val="000000"/>
        </w:rPr>
        <w:t>audiencia de conciliación</w:t>
      </w:r>
      <w:r>
        <w:rPr>
          <w:rFonts w:ascii="Palatino Linotype" w:eastAsia="Palatino Linotype" w:hAnsi="Palatino Linotype" w:cs="Palatino Linotype"/>
          <w:color w:val="000000"/>
        </w:rPr>
        <w:t xml:space="preserve"> asistieron ambas partes, quienes una vez reconocidas, manifestaron sus posturas y se hizo constar principalmente lo siguiente:</w:t>
      </w:r>
    </w:p>
    <w:p w:rsidR="00985324" w:rsidRDefault="00C2737F">
      <w:pPr>
        <w:ind w:left="570" w:right="-107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“…el </w:t>
      </w:r>
      <w:r>
        <w:rPr>
          <w:rFonts w:ascii="Palatino Linotype" w:eastAsia="Palatino Linotype" w:hAnsi="Palatino Linotype" w:cs="Palatino Linotype"/>
          <w:b/>
          <w:bCs/>
          <w:i/>
          <w:iCs/>
        </w:rPr>
        <w:t xml:space="preserve">SUJETO OBLIGADO </w:t>
      </w:r>
      <w:r>
        <w:rPr>
          <w:rFonts w:ascii="Palatino Linotype" w:eastAsia="Palatino Linotype" w:hAnsi="Palatino Linotype" w:cs="Palatino Linotype"/>
          <w:i/>
          <w:iCs/>
        </w:rPr>
        <w:t xml:space="preserve">refirió que si cuenta con el documento solicitado (Aviso de Movimiento de Baja de </w:t>
      </w:r>
      <w:r w:rsidR="0029375A">
        <w:rPr>
          <w:rFonts w:ascii="Palatino Linotype" w:eastAsia="Palatino Linotype" w:hAnsi="Palatino Linotype" w:cs="Palatino Linotype"/>
          <w:i/>
          <w:iCs/>
        </w:rPr>
        <w:t>XXXX</w:t>
      </w:r>
      <w:r>
        <w:rPr>
          <w:rFonts w:ascii="Palatino Linotype" w:eastAsia="Palatino Linotype" w:hAnsi="Palatino Linotype" w:cs="Palatino Linotype"/>
          <w:i/>
          <w:iCs/>
        </w:rPr>
        <w:t>), del cual, proporcionará copia certificada sin costo, con base en el Criterio 02/18 emitido por el Instituto Nacional de Transparencia, Acceso a la Información y Protección de Datos Personales “INAI” que señala a la literalidad lo siguiente:</w:t>
      </w:r>
    </w:p>
    <w:p w:rsidR="00985324" w:rsidRDefault="00985324">
      <w:pPr>
        <w:ind w:left="570" w:right="-1071"/>
        <w:jc w:val="both"/>
        <w:rPr>
          <w:rFonts w:ascii="Palatino Linotype" w:eastAsia="Palatino Linotype" w:hAnsi="Palatino Linotype" w:cs="Palatino Linotype"/>
          <w:i/>
          <w:iCs/>
        </w:rPr>
      </w:pPr>
    </w:p>
    <w:p w:rsidR="00985324" w:rsidRDefault="00C2737F">
      <w:pPr>
        <w:tabs>
          <w:tab w:val="left" w:pos="7938"/>
        </w:tabs>
        <w:ind w:left="570"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“Gratuidad de las primeras veinte hojas simples o certificadas</w:t>
      </w:r>
      <w:r>
        <w:rPr>
          <w:rFonts w:ascii="Palatino Linotype" w:eastAsia="Palatino Linotype" w:hAnsi="Palatino Linotype" w:cs="Palatino Linotype"/>
          <w:i/>
          <w:iCs/>
        </w:rPr>
        <w:t>. Cuando la entrega de los datos personales sea a través de copias simples o certificadas, las primeras veinte hojas serán sin costo.”(Sic)</w:t>
      </w:r>
    </w:p>
    <w:p w:rsidR="00985324" w:rsidRDefault="00985324">
      <w:pPr>
        <w:ind w:left="570" w:right="-1071"/>
        <w:jc w:val="both"/>
        <w:rPr>
          <w:rFonts w:ascii="Palatino Linotype" w:eastAsia="Palatino Linotype" w:hAnsi="Palatino Linotype" w:cs="Palatino Linotype"/>
          <w:i/>
          <w:iCs/>
        </w:rPr>
      </w:pPr>
    </w:p>
    <w:p w:rsidR="00985324" w:rsidRDefault="00C2737F">
      <w:pPr>
        <w:ind w:left="570" w:right="-1071"/>
        <w:jc w:val="both"/>
        <w:rPr>
          <w:rFonts w:ascii="Palatino Linotype" w:eastAsia="Palatino Linotype" w:hAnsi="Palatino Linotype" w:cs="Palatino Linotype"/>
        </w:rPr>
      </w:pPr>
      <w:r>
        <w:rPr>
          <w:rFonts w:ascii="Palatino Linotype" w:eastAsia="Palatino Linotype" w:hAnsi="Palatino Linotype" w:cs="Palatino Linotype"/>
          <w:i/>
          <w:iCs/>
        </w:rPr>
        <w:t>Para lo anterior, el solicitante deberá acudir al Módulo de Transparencia del Instituto de Seguridad Social del Estado de México y Municipios, en un horario de 09:00 a 15:00 horas de lunes a viernes a partir de la fecha de la presente audiencia, para lo que no será necesario generar previa cita, bastará presentarse con su identificación, la cual ya se tiene acreditada en el expediente del presente recurso.”</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derivado de la audiencia celebrada con motivo del presente Recurso de Revisión, </w:t>
      </w:r>
      <w:r>
        <w:rPr>
          <w:rFonts w:ascii="Palatino Linotype" w:eastAsia="Palatino Linotype" w:hAnsi="Palatino Linotype" w:cs="Palatino Linotype"/>
          <w:b/>
          <w:bCs/>
        </w:rPr>
        <w:t xml:space="preserve">la </w:t>
      </w:r>
      <w:r>
        <w:rPr>
          <w:rFonts w:ascii="Palatino Linotype" w:eastAsia="Palatino Linotype" w:hAnsi="Palatino Linotype" w:cs="Palatino Linotype"/>
          <w:b/>
          <w:bCs/>
          <w:color w:val="000000"/>
        </w:rPr>
        <w:t>Recurrente expresó estar de acuerdo con la misma</w:t>
      </w:r>
      <w:r>
        <w:rPr>
          <w:rFonts w:ascii="Palatino Linotype" w:eastAsia="Palatino Linotype" w:hAnsi="Palatino Linotype" w:cs="Palatino Linotype"/>
          <w:color w:val="000000"/>
        </w:rPr>
        <w:t xml:space="preserve">, por lo que, con posterioridad a la celebración de la audiencia, </w:t>
      </w:r>
      <w:r>
        <w:rPr>
          <w:rFonts w:ascii="Palatino Linotype" w:eastAsia="Palatino Linotype" w:hAnsi="Palatino Linotype" w:cs="Palatino Linotype"/>
          <w:b/>
          <w:bCs/>
          <w:color w:val="000000"/>
        </w:rPr>
        <w:t>firmó un documento en el que expresa haber recibido la información</w:t>
      </w:r>
      <w:r>
        <w:rPr>
          <w:rFonts w:ascii="Palatino Linotype" w:eastAsia="Palatino Linotype" w:hAnsi="Palatino Linotype" w:cs="Palatino Linotype"/>
          <w:color w:val="000000"/>
        </w:rPr>
        <w:t xml:space="preserve">, el cual fue remitido posteriormente por el Sujeto Obligado a través del Sistema de Acceso, Rectificación, Cancelación y Oposición de Datos Personales en el Estado de México (SARCOEM), tal y como se muestra en la siguiente captura de pantalla. </w:t>
      </w:r>
    </w:p>
    <w:p w:rsidR="00985324" w:rsidRDefault="000763B2">
      <w:pPr>
        <w:pBdr>
          <w:top w:val="nil"/>
          <w:left w:val="nil"/>
          <w:bottom w:val="nil"/>
          <w:right w:val="nil"/>
          <w:between w:val="nil"/>
        </w:pBdr>
        <w:spacing w:line="360" w:lineRule="auto"/>
        <w:ind w:left="1559" w:right="-1071"/>
        <w:jc w:val="center"/>
        <w:rPr>
          <w:rFonts w:ascii="Palatino Linotype" w:eastAsia="Palatino Linotype" w:hAnsi="Palatino Linotype" w:cs="Palatino Linotype"/>
        </w:rPr>
      </w:pPr>
      <w:r w:rsidRPr="000763B2">
        <w:rPr>
          <w:rFonts w:ascii="Palatino Linotype" w:eastAsia="Palatino Linotype" w:hAnsi="Palatino Linotype" w:cs="Palatino Linotype"/>
        </w:rPr>
        <w:drawing>
          <wp:inline distT="0" distB="0" distL="0" distR="0" wp14:anchorId="2C327BCF" wp14:editId="38A6FD08">
            <wp:extent cx="2610214" cy="346758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10214" cy="3467584"/>
                    </a:xfrm>
                    <a:prstGeom prst="rect">
                      <a:avLst/>
                    </a:prstGeom>
                  </pic:spPr>
                </pic:pic>
              </a:graphicData>
            </a:graphic>
          </wp:inline>
        </w:drawing>
      </w:r>
      <w:bookmarkStart w:id="2" w:name="_GoBack"/>
      <w:bookmarkEnd w:id="2"/>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Por lo antes expuesto, se advierte que el Sujeto Obligado dejó sin materia el presente Recurso de Revisión, en virtud de que, </w:t>
      </w:r>
      <w:r>
        <w:rPr>
          <w:rFonts w:ascii="Palatino Linotype" w:eastAsia="Palatino Linotype" w:hAnsi="Palatino Linotype" w:cs="Palatino Linotype"/>
          <w:b/>
          <w:bCs/>
          <w:color w:val="000000"/>
        </w:rPr>
        <w:t>durante la celebración de la audiencia de conciliación se acordó realizar la entrega del documento solicitado por la Recurrente en copias certificadas</w:t>
      </w:r>
      <w:r>
        <w:rPr>
          <w:rFonts w:ascii="Palatino Linotype" w:eastAsia="Palatino Linotype" w:hAnsi="Palatino Linotype" w:cs="Palatino Linotype"/>
          <w:color w:val="000000"/>
        </w:rPr>
        <w:t xml:space="preserve">, por lo que, es de recordar que la Ley de Protección de Datos Personales Local, establece que </w:t>
      </w:r>
      <w:r>
        <w:rPr>
          <w:rFonts w:ascii="Palatino Linotype" w:eastAsia="Palatino Linotype" w:hAnsi="Palatino Linotype" w:cs="Palatino Linotype"/>
          <w:b/>
          <w:bCs/>
          <w:color w:val="000000"/>
        </w:rPr>
        <w:t>si en la conciliación se llega a un acuerdo el Recurso de Revisión quedará sin materia</w:t>
      </w:r>
      <w:r>
        <w:rPr>
          <w:rFonts w:ascii="Palatino Linotype" w:eastAsia="Palatino Linotype" w:hAnsi="Palatino Linotype" w:cs="Palatino Linotype"/>
          <w:color w:val="000000"/>
        </w:rPr>
        <w:t>:</w:t>
      </w:r>
    </w:p>
    <w:p w:rsidR="00985324" w:rsidRDefault="00C2737F">
      <w:pPr>
        <w:ind w:left="567" w:right="-107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De la conciliación </w:t>
      </w: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131</w:t>
      </w:r>
      <w:r>
        <w:rPr>
          <w:rFonts w:ascii="Palatino Linotype" w:eastAsia="Palatino Linotype" w:hAnsi="Palatino Linotype" w:cs="Palatino Linotype"/>
          <w:i/>
          <w:iCs/>
        </w:rPr>
        <w:t xml:space="preserve">. Una vez admitido el recurso de revisión, el Instituto podrá buscar una </w:t>
      </w:r>
      <w:r>
        <w:rPr>
          <w:rFonts w:ascii="Palatino Linotype" w:eastAsia="Palatino Linotype" w:hAnsi="Palatino Linotype" w:cs="Palatino Linotype"/>
          <w:b/>
          <w:bCs/>
          <w:i/>
          <w:iCs/>
        </w:rPr>
        <w:t>conciliación</w:t>
      </w:r>
      <w:r>
        <w:rPr>
          <w:rFonts w:ascii="Palatino Linotype" w:eastAsia="Palatino Linotype" w:hAnsi="Palatino Linotype" w:cs="Palatino Linotype"/>
          <w:i/>
          <w:iCs/>
        </w:rPr>
        <w:t xml:space="preserve"> entre el titular y el responsable. </w:t>
      </w:r>
    </w:p>
    <w:p w:rsidR="00985324" w:rsidRDefault="00985324">
      <w:pPr>
        <w:ind w:left="567" w:right="-1071"/>
        <w:jc w:val="both"/>
        <w:rPr>
          <w:rFonts w:ascii="Palatino Linotype" w:eastAsia="Palatino Linotype" w:hAnsi="Palatino Linotype" w:cs="Palatino Linotype"/>
          <w:i/>
          <w:iCs/>
        </w:rPr>
      </w:pPr>
    </w:p>
    <w:p w:rsidR="00985324" w:rsidRDefault="00C2737F">
      <w:pPr>
        <w:ind w:left="567" w:right="-107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De llegar a un acuerdo</w:t>
      </w:r>
      <w:r>
        <w:rPr>
          <w:rFonts w:ascii="Palatino Linotype" w:eastAsia="Palatino Linotype" w:hAnsi="Palatino Linotype" w:cs="Palatino Linotype"/>
          <w:i/>
          <w:iCs/>
        </w:rPr>
        <w:t xml:space="preserve">, éste se hará constar por escrito y tendrá efectos vinculantes. </w:t>
      </w:r>
      <w:r>
        <w:rPr>
          <w:rFonts w:ascii="Palatino Linotype" w:eastAsia="Palatino Linotype" w:hAnsi="Palatino Linotype" w:cs="Palatino Linotype"/>
          <w:b/>
          <w:bCs/>
          <w:i/>
          <w:iCs/>
          <w:u w:val="single"/>
        </w:rPr>
        <w:t>El recurso de revisión quedará sin materia</w:t>
      </w:r>
      <w:r>
        <w:rPr>
          <w:rFonts w:ascii="Palatino Linotype" w:eastAsia="Palatino Linotype" w:hAnsi="Palatino Linotype" w:cs="Palatino Linotype"/>
          <w:b/>
          <w:bCs/>
          <w:i/>
          <w:iCs/>
        </w:rPr>
        <w:t xml:space="preserve"> y el Instituto deberá verificar el cumplimiento del acuerdo respectivo.</w:t>
      </w:r>
    </w:p>
    <w:p w:rsidR="00985324" w:rsidRDefault="00985324">
      <w:pPr>
        <w:ind w:left="567" w:right="-1071"/>
        <w:jc w:val="both"/>
        <w:rPr>
          <w:rFonts w:ascii="Palatino Linotype" w:eastAsia="Palatino Linotype" w:hAnsi="Palatino Linotype" w:cs="Palatino Linotype"/>
          <w:b/>
          <w:bCs/>
          <w:i/>
          <w:iCs/>
        </w:rPr>
      </w:pPr>
    </w:p>
    <w:p w:rsidR="00985324" w:rsidRDefault="00C2737F">
      <w:pPr>
        <w:ind w:left="567" w:right="-107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Procedimiento de conciliación </w:t>
      </w: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132. </w:t>
      </w:r>
      <w:r>
        <w:rPr>
          <w:rFonts w:ascii="Palatino Linotype" w:eastAsia="Palatino Linotype" w:hAnsi="Palatino Linotype" w:cs="Palatino Linotype"/>
          <w:i/>
          <w:iCs/>
        </w:rPr>
        <w:t>Admitido el recurso de revisión y sin perjuicio de lo dispuesto por la Ley General, el Instituto promoverá la conciliación entre las partes, de conformidad con el procedimiento siguiente:</w:t>
      </w: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V. De llegar a un acuerdo</w:t>
      </w:r>
      <w:r>
        <w:rPr>
          <w:rFonts w:ascii="Palatino Linotype" w:eastAsia="Palatino Linotype" w:hAnsi="Palatino Linotype" w:cs="Palatino Linotype"/>
          <w:i/>
          <w:iCs/>
        </w:rPr>
        <w:t xml:space="preserve">, éste se hará constar por escrito y tendrá efectos vinculantes. </w:t>
      </w:r>
    </w:p>
    <w:p w:rsidR="00985324" w:rsidRDefault="00985324">
      <w:pPr>
        <w:ind w:left="567" w:right="-1071"/>
        <w:jc w:val="both"/>
        <w:rPr>
          <w:rFonts w:ascii="Palatino Linotype" w:eastAsia="Palatino Linotype" w:hAnsi="Palatino Linotype" w:cs="Palatino Linotype"/>
          <w:i/>
          <w:iCs/>
        </w:rPr>
      </w:pPr>
    </w:p>
    <w:p w:rsidR="00985324" w:rsidRDefault="00C2737F">
      <w:pPr>
        <w:ind w:left="567" w:right="-1071"/>
        <w:jc w:val="both"/>
        <w:rPr>
          <w:rFonts w:ascii="Palatino Linotype" w:eastAsia="Palatino Linotype" w:hAnsi="Palatino Linotype" w:cs="Palatino Linotype"/>
          <w:b/>
          <w:bCs/>
          <w:i/>
          <w:iCs/>
        </w:rPr>
      </w:pPr>
      <w:r>
        <w:rPr>
          <w:rFonts w:ascii="Palatino Linotype" w:eastAsia="Palatino Linotype" w:hAnsi="Palatino Linotype" w:cs="Palatino Linotype"/>
          <w:b/>
          <w:bCs/>
          <w:i/>
          <w:iCs/>
          <w:u w:val="single"/>
        </w:rPr>
        <w:t>El recurso de revisión quedará sin materia</w:t>
      </w:r>
      <w:r>
        <w:rPr>
          <w:rFonts w:ascii="Palatino Linotype" w:eastAsia="Palatino Linotype" w:hAnsi="Palatino Linotype" w:cs="Palatino Linotype"/>
          <w:b/>
          <w:bCs/>
          <w:i/>
          <w:iCs/>
        </w:rPr>
        <w:t xml:space="preserve"> y el Instituto, deberán verificar el cumplimiento del acuerdo respectivo. </w:t>
      </w:r>
    </w:p>
    <w:p w:rsidR="00985324" w:rsidRDefault="00985324">
      <w:pPr>
        <w:ind w:left="567" w:right="-1071"/>
        <w:jc w:val="both"/>
        <w:rPr>
          <w:rFonts w:ascii="Palatino Linotype" w:eastAsia="Palatino Linotype" w:hAnsi="Palatino Linotype" w:cs="Palatino Linotype"/>
          <w:i/>
          <w:iCs/>
        </w:rPr>
      </w:pPr>
    </w:p>
    <w:p w:rsidR="00985324" w:rsidRDefault="00C2737F">
      <w:pPr>
        <w:ind w:left="567" w:right="-1071"/>
        <w:jc w:val="both"/>
        <w:rPr>
          <w:rFonts w:ascii="Palatino Linotype" w:eastAsia="Palatino Linotype" w:hAnsi="Palatino Linotype" w:cs="Palatino Linotype"/>
          <w:i/>
          <w:iCs/>
        </w:rPr>
      </w:pPr>
      <w:r>
        <w:rPr>
          <w:rFonts w:ascii="Palatino Linotype" w:eastAsia="Palatino Linotype" w:hAnsi="Palatino Linotype" w:cs="Palatino Linotype"/>
          <w:b/>
          <w:bCs/>
          <w:i/>
          <w:iCs/>
        </w:rPr>
        <w:t>VI. El cumplimiento del acuerdo dará por concluido la sustanciación del recurso de revisión</w:t>
      </w:r>
      <w:r>
        <w:rPr>
          <w:rFonts w:ascii="Palatino Linotype" w:eastAsia="Palatino Linotype" w:hAnsi="Palatino Linotype" w:cs="Palatino Linotype"/>
          <w:i/>
          <w:iCs/>
        </w:rPr>
        <w:t>, en caso contrario, el Instituto reanudará el procedimiento.</w:t>
      </w:r>
    </w:p>
    <w:p w:rsidR="00985324" w:rsidRDefault="009853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razón de ello y al haberse verificado el cumplimiento del acuerdo tal como se mostró en párrafos anteriores, el Sujeto Obligado, otorgó el acceso a los datos personales del servidor público y en consecuencia el </w:t>
      </w:r>
      <w:r>
        <w:rPr>
          <w:rFonts w:ascii="Palatino Linotype" w:eastAsia="Palatino Linotype" w:hAnsi="Palatino Linotype" w:cs="Palatino Linotype"/>
          <w:b/>
          <w:bCs/>
          <w:color w:val="000000"/>
        </w:rPr>
        <w:t>Recurso de Revisión ha quedado sin materia</w:t>
      </w:r>
      <w:r>
        <w:rPr>
          <w:rFonts w:ascii="Palatino Linotype" w:eastAsia="Palatino Linotype" w:hAnsi="Palatino Linotype" w:cs="Palatino Linotype"/>
          <w:color w:val="000000"/>
        </w:rPr>
        <w:t xml:space="preserve">; por tanto, resulta procedente </w:t>
      </w:r>
      <w:r>
        <w:rPr>
          <w:rFonts w:ascii="Palatino Linotype" w:eastAsia="Palatino Linotype" w:hAnsi="Palatino Linotype" w:cs="Palatino Linotype"/>
          <w:b/>
          <w:bCs/>
          <w:color w:val="000000"/>
        </w:rPr>
        <w:t>SOBRESEER</w:t>
      </w:r>
      <w:r>
        <w:rPr>
          <w:rFonts w:ascii="Palatino Linotype" w:eastAsia="Palatino Linotype" w:hAnsi="Palatino Linotype" w:cs="Palatino Linotype"/>
          <w:color w:val="000000"/>
        </w:rPr>
        <w:t xml:space="preserve"> el Recurso de Revisión que nos ocupa de conformidad con los </w:t>
      </w:r>
      <w:r>
        <w:rPr>
          <w:rFonts w:ascii="Palatino Linotype" w:eastAsia="Palatino Linotype" w:hAnsi="Palatino Linotype" w:cs="Palatino Linotype"/>
          <w:color w:val="000000"/>
        </w:rPr>
        <w:lastRenderedPageBreak/>
        <w:t>artículos 137, fracción I y 139, fracción V, de la Ley de Protección de Datos Personales en Posesión de Sujetos Obligados del Estado de México y Municipios.</w:t>
      </w:r>
    </w:p>
    <w:p w:rsidR="00985324" w:rsidRDefault="00985324">
      <w:pPr>
        <w:pBdr>
          <w:top w:val="nil"/>
          <w:left w:val="nil"/>
          <w:bottom w:val="nil"/>
          <w:right w:val="nil"/>
          <w:between w:val="nil"/>
        </w:pBdr>
        <w:spacing w:line="360" w:lineRule="auto"/>
        <w:ind w:right="-1071"/>
        <w:jc w:val="both"/>
        <w:rPr>
          <w:rFonts w:ascii="Palatino Linotype" w:eastAsia="Palatino Linotype" w:hAnsi="Palatino Linotype" w:cs="Palatino Linotype"/>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consiguiente, este Pleno determina el </w:t>
      </w:r>
      <w:r>
        <w:rPr>
          <w:rFonts w:ascii="Palatino Linotype" w:eastAsia="Palatino Linotype" w:hAnsi="Palatino Linotype" w:cs="Palatino Linotype"/>
          <w:b/>
          <w:bCs/>
          <w:color w:val="000000"/>
        </w:rPr>
        <w:t>SOBRESEIMIENTO</w:t>
      </w:r>
      <w:r>
        <w:rPr>
          <w:rFonts w:ascii="Palatino Linotype" w:eastAsia="Palatino Linotype" w:hAnsi="Palatino Linotype" w:cs="Palatino Linotype"/>
          <w:color w:val="000000"/>
        </w:rPr>
        <w:t xml:space="preserve"> del presente Recurso de Revisión, toda vez que ha quedado sin materia, en virtud de haber llegado un acuerdo durante el procedimiento de conciliación.</w:t>
      </w:r>
    </w:p>
    <w:p w:rsidR="00985324" w:rsidRDefault="00985324">
      <w:pPr>
        <w:pBdr>
          <w:top w:val="nil"/>
          <w:left w:val="nil"/>
          <w:bottom w:val="nil"/>
          <w:right w:val="nil"/>
          <w:between w:val="nil"/>
        </w:pBdr>
        <w:spacing w:line="360" w:lineRule="auto"/>
        <w:ind w:right="-1071"/>
        <w:jc w:val="both"/>
        <w:rPr>
          <w:rFonts w:ascii="Palatino Linotype" w:eastAsia="Palatino Linotype" w:hAnsi="Palatino Linotype" w:cs="Palatino Linotype"/>
          <w:u w:val="single"/>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lo anterior, se tiene por atendida la solicitud de acceso a datos personales y se da por terminado el Recurso de Revisión, pues el motivo de inconformidad ya fue subsanado con la entrega de la información. </w:t>
      </w:r>
    </w:p>
    <w:p w:rsidR="00985324" w:rsidRDefault="009853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labor del INFOEM, es apoyar a la población para acceder a la información pública y garantizar la protección de sus datos personales.</w:t>
      </w:r>
    </w:p>
    <w:p w:rsidR="00985324" w:rsidRDefault="00985324">
      <w:pPr>
        <w:pBdr>
          <w:top w:val="nil"/>
          <w:left w:val="nil"/>
          <w:bottom w:val="nil"/>
          <w:right w:val="nil"/>
          <w:between w:val="nil"/>
        </w:pBdr>
        <w:spacing w:line="360" w:lineRule="auto"/>
        <w:ind w:right="-1071"/>
        <w:jc w:val="both"/>
        <w:rPr>
          <w:rFonts w:ascii="Palatino Linotype" w:eastAsia="Palatino Linotype" w:hAnsi="Palatino Linotype" w:cs="Palatino Linotype"/>
          <w:color w:val="000000"/>
        </w:rPr>
      </w:pPr>
    </w:p>
    <w:p w:rsidR="00985324" w:rsidRDefault="00C2737F">
      <w:pPr>
        <w:numPr>
          <w:ilvl w:val="0"/>
          <w:numId w:val="4"/>
        </w:numPr>
        <w:pBdr>
          <w:top w:val="nil"/>
          <w:left w:val="nil"/>
          <w:bottom w:val="nil"/>
          <w:right w:val="nil"/>
          <w:between w:val="nil"/>
        </w:pBdr>
        <w:spacing w:line="360" w:lineRule="auto"/>
        <w:ind w:left="0" w:right="-107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expuesto y fundado, este Pleno:</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spacing w:line="360" w:lineRule="auto"/>
        <w:ind w:right="-1071"/>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rsidR="00985324" w:rsidRDefault="00985324">
      <w:pPr>
        <w:spacing w:line="360" w:lineRule="auto"/>
        <w:ind w:right="-1071"/>
        <w:jc w:val="center"/>
        <w:rPr>
          <w:rFonts w:ascii="Palatino Linotype" w:eastAsia="Palatino Linotype" w:hAnsi="Palatino Linotype" w:cs="Palatino Linotype"/>
          <w:b/>
          <w:bCs/>
        </w:rPr>
      </w:pPr>
    </w:p>
    <w:p w:rsidR="00985324" w:rsidRDefault="00C2737F">
      <w:pPr>
        <w:spacing w:line="360" w:lineRule="auto"/>
        <w:ind w:right="-1071"/>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 xml:space="preserve">Se </w:t>
      </w:r>
      <w:r>
        <w:rPr>
          <w:rFonts w:ascii="Palatino Linotype" w:eastAsia="Palatino Linotype" w:hAnsi="Palatino Linotype" w:cs="Palatino Linotype"/>
          <w:b/>
          <w:bCs/>
        </w:rPr>
        <w:t>SOBRESEE</w:t>
      </w:r>
      <w:r>
        <w:rPr>
          <w:rFonts w:ascii="Palatino Linotype" w:eastAsia="Palatino Linotype" w:hAnsi="Palatino Linotype" w:cs="Palatino Linotype"/>
        </w:rPr>
        <w:t xml:space="preserve"> el Recurso de Revisión </w:t>
      </w:r>
      <w:r>
        <w:rPr>
          <w:rFonts w:ascii="Palatino Linotype" w:eastAsia="Palatino Linotype" w:hAnsi="Palatino Linotype" w:cs="Palatino Linotype"/>
          <w:b/>
          <w:bCs/>
        </w:rPr>
        <w:t>03328/INFOEM/AD/RR/2026</w:t>
      </w:r>
      <w:r>
        <w:rPr>
          <w:rFonts w:ascii="Palatino Linotype" w:eastAsia="Palatino Linotype" w:hAnsi="Palatino Linotype" w:cs="Palatino Linotype"/>
        </w:rPr>
        <w:t xml:space="preserve">, por que el Sujeto Obligado entregó la información solicitada </w:t>
      </w:r>
      <w:r>
        <w:rPr>
          <w:rFonts w:ascii="Palatino Linotype" w:eastAsia="Palatino Linotype" w:hAnsi="Palatino Linotype" w:cs="Palatino Linotype"/>
          <w:color w:val="000000"/>
        </w:rPr>
        <w:t xml:space="preserve">en virtud de haber llegado un acuerdo durante el procedimiento de conciliación, </w:t>
      </w:r>
      <w:r>
        <w:rPr>
          <w:rFonts w:ascii="Palatino Linotype" w:eastAsia="Palatino Linotype" w:hAnsi="Palatino Linotype" w:cs="Palatino Linotype"/>
        </w:rPr>
        <w:t xml:space="preserve">dejando sin materia el presente Recurso de Revisión, los artículos 137, fracción I y 139, fracción V, en relación con el 131 y 132 fracción V, de la Ley de Protección de Datos Personales en Posesión de Sujetos Obligados del Estado de México y Municipios., de conformidad con el Considerando </w:t>
      </w:r>
      <w:r>
        <w:rPr>
          <w:rFonts w:ascii="Palatino Linotype" w:eastAsia="Palatino Linotype" w:hAnsi="Palatino Linotype" w:cs="Palatino Linotype"/>
          <w:b/>
          <w:bCs/>
        </w:rPr>
        <w:t>CUARTO</w:t>
      </w:r>
      <w:r>
        <w:rPr>
          <w:rFonts w:ascii="Palatino Linotype" w:eastAsia="Palatino Linotype" w:hAnsi="Palatino Linotype" w:cs="Palatino Linotype"/>
        </w:rPr>
        <w:t xml:space="preserve"> de la presente Resolución.</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shd w:val="clear" w:color="auto" w:fill="FFFFFF"/>
        <w:spacing w:line="360" w:lineRule="auto"/>
        <w:ind w:right="-1071"/>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b/>
          <w:bCs/>
        </w:rPr>
        <w:lastRenderedPageBreak/>
        <w:t>SEGUNDO.</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Notifíquese </w:t>
      </w:r>
      <w:r>
        <w:rPr>
          <w:rFonts w:ascii="Palatino Linotype" w:eastAsia="Palatino Linotype" w:hAnsi="Palatino Linotype" w:cs="Palatino Linotype"/>
        </w:rPr>
        <w:t>la presente resolución</w:t>
      </w:r>
      <w:r>
        <w:rPr>
          <w:rFonts w:ascii="Palatino Linotype" w:eastAsia="Palatino Linotype" w:hAnsi="Palatino Linotype" w:cs="Palatino Linotype"/>
          <w:b/>
          <w:bCs/>
        </w:rPr>
        <w:t xml:space="preserve"> </w:t>
      </w:r>
      <w:r>
        <w:rPr>
          <w:rFonts w:ascii="Palatino Linotype" w:eastAsia="Palatino Linotype" w:hAnsi="Palatino Linotype" w:cs="Palatino Linotype"/>
        </w:rPr>
        <w:t>al Titular de la Unidad de Transparencia del Sujeto Obligado, vía SARCOEM, para su conocimiento</w:t>
      </w:r>
      <w:r>
        <w:rPr>
          <w:rFonts w:ascii="Palatino Linotype" w:eastAsia="Palatino Linotype" w:hAnsi="Palatino Linotype" w:cs="Palatino Linotype"/>
          <w:color w:val="000000"/>
        </w:rPr>
        <w:t>.</w:t>
      </w:r>
    </w:p>
    <w:p w:rsidR="00985324" w:rsidRDefault="00985324">
      <w:pPr>
        <w:spacing w:line="360" w:lineRule="auto"/>
        <w:ind w:right="-1071"/>
        <w:jc w:val="both"/>
        <w:rPr>
          <w:rFonts w:ascii="Palatino Linotype" w:eastAsia="Palatino Linotype" w:hAnsi="Palatino Linotype" w:cs="Palatino Linotype"/>
        </w:rPr>
      </w:pPr>
    </w:p>
    <w:p w:rsidR="00985324" w:rsidRDefault="00C2737F">
      <w:pPr>
        <w:spacing w:line="360" w:lineRule="auto"/>
        <w:ind w:right="-1071"/>
        <w:jc w:val="both"/>
        <w:rPr>
          <w:rFonts w:ascii="Palatino Linotype" w:eastAsia="Palatino Linotype" w:hAnsi="Palatino Linotype" w:cs="Palatino Linotype"/>
        </w:rPr>
      </w:pPr>
      <w:r w:rsidRPr="00923FC2">
        <w:rPr>
          <w:rFonts w:ascii="Palatino Linotype" w:eastAsia="Palatino Linotype" w:hAnsi="Palatino Linotype" w:cs="Palatino Linotype"/>
          <w:b/>
          <w:bCs/>
        </w:rPr>
        <w:t>TERCERO.</w:t>
      </w:r>
      <w:r w:rsidRPr="00923FC2">
        <w:rPr>
          <w:rFonts w:ascii="Palatino Linotype" w:eastAsia="Palatino Linotype" w:hAnsi="Palatino Linotype" w:cs="Palatino Linotype"/>
        </w:rPr>
        <w:t xml:space="preserve"> </w:t>
      </w:r>
      <w:r w:rsidRPr="00923FC2">
        <w:rPr>
          <w:rFonts w:ascii="Palatino Linotype" w:eastAsia="Palatino Linotype" w:hAnsi="Palatino Linotype" w:cs="Palatino Linotype"/>
          <w:b/>
          <w:bCs/>
        </w:rPr>
        <w:t xml:space="preserve">Notifíquese </w:t>
      </w:r>
      <w:r w:rsidRPr="00923FC2">
        <w:rPr>
          <w:rFonts w:ascii="Palatino Linotype" w:eastAsia="Palatino Linotype" w:hAnsi="Palatino Linotype" w:cs="Palatino Linotype"/>
        </w:rPr>
        <w:t>la presente resolución</w:t>
      </w:r>
      <w:r w:rsidRPr="00923FC2">
        <w:rPr>
          <w:rFonts w:ascii="Palatino Linotype" w:eastAsia="Palatino Linotype" w:hAnsi="Palatino Linotype" w:cs="Palatino Linotype"/>
          <w:b/>
          <w:bCs/>
        </w:rPr>
        <w:t xml:space="preserve"> </w:t>
      </w:r>
      <w:r w:rsidRPr="00923FC2">
        <w:rPr>
          <w:rFonts w:ascii="Palatino Linotype" w:eastAsia="Palatino Linotype" w:hAnsi="Palatino Linotype" w:cs="Palatino Linotype"/>
        </w:rPr>
        <w:t>al Recurrente, a través de SARCOEM</w:t>
      </w:r>
      <w:r w:rsidR="00E55891" w:rsidRPr="00923FC2">
        <w:rPr>
          <w:rFonts w:ascii="Palatino Linotype" w:eastAsia="Palatino Linotype" w:hAnsi="Palatino Linotype" w:cs="Palatino Linotype"/>
        </w:rPr>
        <w:t xml:space="preserve"> y correo electrónico</w:t>
      </w:r>
      <w:r w:rsidRPr="00923FC2">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asimismo, se hace de su conocimiento que de conformidad con lo establecido en el artículo 142 de la Ley de Protección de Datos Personales en Posesión de Sujetos Obligados del Estado de México y Municipios podrá promover el Juicio de Amparo en los términos de las leyes aplicables.</w:t>
      </w:r>
    </w:p>
    <w:p w:rsidR="00730A9B" w:rsidRDefault="00730A9B">
      <w:pPr>
        <w:spacing w:line="360" w:lineRule="auto"/>
        <w:ind w:right="-1071"/>
        <w:jc w:val="both"/>
        <w:rPr>
          <w:rFonts w:ascii="Palatino Linotype" w:eastAsia="Palatino Linotype" w:hAnsi="Palatino Linotype" w:cs="Palatino Linotype"/>
        </w:rPr>
      </w:pPr>
    </w:p>
    <w:p w:rsidR="00985324" w:rsidRPr="00730A9B" w:rsidRDefault="00730A9B" w:rsidP="00730A9B">
      <w:pPr>
        <w:spacing w:before="240" w:after="240" w:line="360" w:lineRule="auto"/>
        <w:ind w:right="-943" w:firstLine="1"/>
        <w:jc w:val="both"/>
        <w:rPr>
          <w:rFonts w:ascii="Palatino Linotype" w:hAnsi="Palatino Linotype"/>
        </w:rPr>
        <w:sectPr w:rsidR="00985324" w:rsidRPr="00730A9B">
          <w:headerReference w:type="default" r:id="rId10"/>
          <w:footerReference w:type="default" r:id="rId11"/>
          <w:headerReference w:type="first" r:id="rId12"/>
          <w:footerReference w:type="first" r:id="rId13"/>
          <w:pgSz w:w="12240" w:h="15840"/>
          <w:pgMar w:top="1417" w:right="1701" w:bottom="1417" w:left="1701" w:header="709" w:footer="709" w:gutter="0"/>
          <w:pgNumType w:start="1"/>
          <w:cols w:space="720"/>
          <w:titlePg/>
        </w:sectPr>
      </w:pPr>
      <w:bookmarkStart w:id="3"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Pr>
          <w:rFonts w:ascii="Palatino Linotype" w:hAnsi="Palatino Linotype" w:cs="Palatino Linotype"/>
        </w:rPr>
        <w:t xml:space="preserve"> (AUSENCIA JUSTIFICADA)</w:t>
      </w:r>
      <w:r w:rsidRPr="003E2295">
        <w:rPr>
          <w:rFonts w:ascii="Palatino Linotype" w:hAnsi="Palatino Linotype" w:cs="Palatino Linotype"/>
        </w:rPr>
        <w:t xml:space="preserve">,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NOVENA </w:t>
      </w:r>
      <w:r w:rsidRPr="003E2295">
        <w:rPr>
          <w:rFonts w:ascii="Palatino Linotype" w:hAnsi="Palatino Linotype" w:cs="Palatino Linotype"/>
        </w:rPr>
        <w:t>SESIÓN O</w:t>
      </w:r>
      <w:r>
        <w:rPr>
          <w:rFonts w:ascii="Palatino Linotype" w:hAnsi="Palatino Linotype" w:cs="Palatino Linotype"/>
        </w:rPr>
        <w:t>RDINARIA, CELEBRADA EL VEINTISIETE (27</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bookmarkEnd w:id="3"/>
    </w:p>
    <w:p w:rsidR="00985324" w:rsidRDefault="00985324">
      <w:pPr>
        <w:spacing w:line="360" w:lineRule="auto"/>
        <w:ind w:right="-1071"/>
        <w:jc w:val="both"/>
        <w:rPr>
          <w:rFonts w:ascii="Palatino Linotype" w:eastAsia="Palatino Linotype" w:hAnsi="Palatino Linotype" w:cs="Palatino Linotype"/>
        </w:rPr>
      </w:pPr>
    </w:p>
    <w:p w:rsidR="00985324" w:rsidRDefault="00985324">
      <w:pPr>
        <w:spacing w:line="360" w:lineRule="auto"/>
        <w:ind w:right="-1071"/>
        <w:rPr>
          <w:rFonts w:ascii="Palatino Linotype" w:eastAsia="Palatino Linotype" w:hAnsi="Palatino Linotype" w:cs="Palatino Linotype"/>
        </w:rPr>
      </w:pPr>
      <w:bookmarkStart w:id="4" w:name="_heading=h.gjdgxs" w:colFirst="0" w:colLast="0"/>
      <w:bookmarkEnd w:id="4"/>
    </w:p>
    <w:p w:rsidR="00985324" w:rsidRDefault="00985324">
      <w:pPr>
        <w:spacing w:line="360" w:lineRule="auto"/>
        <w:ind w:right="-1071"/>
        <w:rPr>
          <w:rFonts w:ascii="Palatino Linotype" w:eastAsia="Palatino Linotype" w:hAnsi="Palatino Linotype" w:cs="Palatino Linotype"/>
        </w:rPr>
      </w:pPr>
    </w:p>
    <w:p w:rsidR="00985324" w:rsidRDefault="00985324">
      <w:pPr>
        <w:spacing w:line="360" w:lineRule="auto"/>
        <w:ind w:right="-1071"/>
        <w:rPr>
          <w:rFonts w:ascii="Palatino Linotype" w:eastAsia="Palatino Linotype" w:hAnsi="Palatino Linotype" w:cs="Palatino Linotype"/>
        </w:rPr>
      </w:pPr>
    </w:p>
    <w:p w:rsidR="00985324" w:rsidRDefault="00985324">
      <w:pPr>
        <w:spacing w:line="360" w:lineRule="auto"/>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ind w:right="-1071"/>
        <w:rPr>
          <w:rFonts w:ascii="Palatino Linotype" w:eastAsia="Palatino Linotype" w:hAnsi="Palatino Linotype" w:cs="Palatino Linotype"/>
        </w:rPr>
      </w:pPr>
    </w:p>
    <w:p w:rsidR="00985324" w:rsidRDefault="00985324">
      <w:pPr>
        <w:tabs>
          <w:tab w:val="left" w:pos="1842"/>
        </w:tabs>
        <w:ind w:right="-1071"/>
        <w:rPr>
          <w:rFonts w:ascii="Palatino Linotype" w:eastAsia="Palatino Linotype" w:hAnsi="Palatino Linotype" w:cs="Palatino Linotype"/>
        </w:rPr>
      </w:pPr>
    </w:p>
    <w:sectPr w:rsidR="00985324">
      <w:headerReference w:type="default" r:id="rId14"/>
      <w:footerReference w:type="default" r:id="rId15"/>
      <w:headerReference w:type="first" r:id="rId16"/>
      <w:footerReference w:type="first" r:id="rId17"/>
      <w:pgSz w:w="12240" w:h="15840"/>
      <w:pgMar w:top="1418" w:right="1418" w:bottom="1418"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211D" w:rsidRDefault="0002211D">
      <w:r>
        <w:separator/>
      </w:r>
    </w:p>
  </w:endnote>
  <w:endnote w:type="continuationSeparator" w:id="0">
    <w:p w:rsidR="0002211D" w:rsidRDefault="00022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6ADD8BF6-2FEA-4AB0-90A8-B1FB9423F63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BEA28A8-0FFC-4BA3-96FB-A1082585E146}"/>
  </w:font>
  <w:font w:name="Georgia">
    <w:panose1 w:val="02040502050405020303"/>
    <w:charset w:val="00"/>
    <w:family w:val="roman"/>
    <w:pitch w:val="variable"/>
    <w:sig w:usb0="00000287" w:usb1="00000000" w:usb2="00000000" w:usb3="00000000" w:csb0="0000009F" w:csb1="00000000"/>
    <w:embedItalic r:id="rId3" w:fontKey="{AE4F3DD8-A238-459D-872F-87D1D05AA3E1}"/>
  </w:font>
  <w:font w:name="Palatino Linotype">
    <w:panose1 w:val="02040502050505030304"/>
    <w:charset w:val="00"/>
    <w:family w:val="roman"/>
    <w:pitch w:val="variable"/>
    <w:sig w:usb0="E0000287" w:usb1="40000013" w:usb2="00000000" w:usb3="00000000" w:csb0="0000019F" w:csb1="00000000"/>
    <w:embedRegular r:id="rId4" w:fontKey="{1A802974-6A9C-42CC-A708-93ABC6CD2979}"/>
    <w:embedBold r:id="rId5" w:fontKey="{D389BAFF-B54C-41F2-ACCC-4CCA1CFFF1A2}"/>
    <w:embedItalic r:id="rId6" w:fontKey="{D142027B-8A0D-488D-991C-D5EF62DC6593}"/>
    <w:embedBoldItalic r:id="rId7" w:fontKey="{A3102F16-60D1-419D-9DD6-A35F41DAF14C}"/>
  </w:font>
  <w:font w:name="Cambria">
    <w:panose1 w:val="02040503050406030204"/>
    <w:charset w:val="00"/>
    <w:family w:val="roman"/>
    <w:pitch w:val="variable"/>
    <w:sig w:usb0="E00006FF" w:usb1="420024FF" w:usb2="02000000" w:usb3="00000000" w:csb0="0000019F" w:csb1="00000000"/>
    <w:embedRegular r:id="rId8" w:fontKey="{926864E2-F279-4F19-9BAC-FE0ACFCB1A3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24" w:rsidRDefault="00C2737F">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0763B2">
      <w:rPr>
        <w:rFonts w:ascii="Palatino Linotype" w:eastAsia="Palatino Linotype" w:hAnsi="Palatino Linotype" w:cs="Palatino Linotype"/>
        <w:b/>
        <w:bCs/>
        <w:noProof/>
        <w:color w:val="000000"/>
        <w:sz w:val="22"/>
        <w:szCs w:val="22"/>
      </w:rPr>
      <w:t>7</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0763B2">
      <w:rPr>
        <w:rFonts w:ascii="Palatino Linotype" w:eastAsia="Palatino Linotype" w:hAnsi="Palatino Linotype" w:cs="Palatino Linotype"/>
        <w:b/>
        <w:bCs/>
        <w:noProof/>
        <w:color w:val="000000"/>
        <w:sz w:val="22"/>
        <w:szCs w:val="22"/>
      </w:rPr>
      <w:t>20</w:t>
    </w:r>
    <w:r>
      <w:rPr>
        <w:rFonts w:ascii="Palatino Linotype" w:eastAsia="Palatino Linotype" w:hAnsi="Palatino Linotype" w:cs="Palatino Linotype"/>
        <w:b/>
        <w:bCs/>
        <w:color w:val="000000"/>
        <w:sz w:val="22"/>
        <w:szCs w:val="22"/>
      </w:rPr>
      <w:fldChar w:fldCharType="end"/>
    </w:r>
  </w:p>
  <w:p w:rsidR="00985324" w:rsidRDefault="0098532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24" w:rsidRDefault="00C2737F">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0763B2">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0763B2">
      <w:rPr>
        <w:rFonts w:ascii="Palatino Linotype" w:eastAsia="Palatino Linotype" w:hAnsi="Palatino Linotype" w:cs="Palatino Linotype"/>
        <w:b/>
        <w:bCs/>
        <w:noProof/>
        <w:color w:val="000000"/>
        <w:sz w:val="22"/>
        <w:szCs w:val="22"/>
      </w:rPr>
      <w:t>20</w:t>
    </w:r>
    <w:r>
      <w:rPr>
        <w:rFonts w:ascii="Palatino Linotype" w:eastAsia="Palatino Linotype" w:hAnsi="Palatino Linotype" w:cs="Palatino Linotype"/>
        <w:b/>
        <w:bCs/>
        <w:color w:val="000000"/>
        <w:sz w:val="22"/>
        <w:szCs w:val="22"/>
      </w:rPr>
      <w:fldChar w:fldCharType="end"/>
    </w:r>
  </w:p>
  <w:p w:rsidR="00985324" w:rsidRDefault="00985324">
    <w:pPr>
      <w:pBdr>
        <w:top w:val="nil"/>
        <w:left w:val="nil"/>
        <w:bottom w:val="nil"/>
        <w:right w:val="nil"/>
        <w:between w:val="nil"/>
      </w:pBdr>
      <w:tabs>
        <w:tab w:val="center" w:pos="4419"/>
        <w:tab w:val="right" w:pos="8838"/>
      </w:tabs>
      <w:rPr>
        <w:color w:val="000000"/>
      </w:rPr>
    </w:pPr>
  </w:p>
  <w:p w:rsidR="00985324" w:rsidRDefault="00985324"/>
  <w:p w:rsidR="00985324" w:rsidRDefault="00985324"/>
  <w:p w:rsidR="00985324" w:rsidRDefault="00985324"/>
  <w:p w:rsidR="00985324" w:rsidRDefault="00985324"/>
  <w:p w:rsidR="00985324" w:rsidRDefault="00985324"/>
  <w:p w:rsidR="00985324" w:rsidRDefault="00985324"/>
  <w:p w:rsidR="00985324" w:rsidRDefault="0098532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24" w:rsidRDefault="00C2737F">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AA4FCD">
      <w:rPr>
        <w:rFonts w:ascii="Palatino Linotype" w:eastAsia="Palatino Linotype" w:hAnsi="Palatino Linotype" w:cs="Palatino Linotype"/>
        <w:b/>
        <w:bCs/>
        <w:noProof/>
        <w:color w:val="000000"/>
        <w:sz w:val="20"/>
        <w:szCs w:val="20"/>
      </w:rPr>
      <w:t>21</w:t>
    </w:r>
    <w:r>
      <w:rPr>
        <w:rFonts w:ascii="Palatino Linotype" w:eastAsia="Palatino Linotype" w:hAnsi="Palatino Linotype" w:cs="Palatino Linotype"/>
        <w:b/>
        <w:bCs/>
        <w:color w:val="000000"/>
        <w:sz w:val="20"/>
        <w:szCs w:val="20"/>
      </w:rPr>
      <w:fldChar w:fldCharType="end"/>
    </w:r>
  </w:p>
  <w:p w:rsidR="00985324" w:rsidRDefault="0098532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24" w:rsidRDefault="00C2737F">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601D2B">
      <w:rPr>
        <w:rFonts w:ascii="Palatino Linotype" w:eastAsia="Palatino Linotype" w:hAnsi="Palatino Linotype" w:cs="Palatino Linotype"/>
        <w:b/>
        <w:bCs/>
        <w:noProof/>
        <w:color w:val="000000"/>
        <w:sz w:val="20"/>
        <w:szCs w:val="20"/>
      </w:rPr>
      <w:t>1</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601D2B">
      <w:rPr>
        <w:rFonts w:ascii="Palatino Linotype" w:eastAsia="Palatino Linotype" w:hAnsi="Palatino Linotype" w:cs="Palatino Linotype"/>
        <w:b/>
        <w:bCs/>
        <w:noProof/>
        <w:color w:val="000000"/>
        <w:sz w:val="20"/>
        <w:szCs w:val="20"/>
      </w:rPr>
      <w:t>20</w:t>
    </w:r>
    <w:r>
      <w:rPr>
        <w:rFonts w:ascii="Palatino Linotype" w:eastAsia="Palatino Linotype" w:hAnsi="Palatino Linotype" w:cs="Palatino Linotype"/>
        <w:b/>
        <w:bCs/>
        <w:color w:val="000000"/>
        <w:sz w:val="20"/>
        <w:szCs w:val="20"/>
      </w:rPr>
      <w:fldChar w:fldCharType="end"/>
    </w:r>
  </w:p>
  <w:p w:rsidR="00985324" w:rsidRDefault="0098532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211D" w:rsidRDefault="0002211D">
      <w:r>
        <w:separator/>
      </w:r>
    </w:p>
  </w:footnote>
  <w:footnote w:type="continuationSeparator" w:id="0">
    <w:p w:rsidR="0002211D" w:rsidRDefault="000221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7796" w:type="dxa"/>
      <w:tblInd w:w="2694" w:type="dxa"/>
      <w:tblLayout w:type="fixed"/>
      <w:tblLook w:val="0400" w:firstRow="0" w:lastRow="0" w:firstColumn="0" w:lastColumn="0" w:noHBand="0" w:noVBand="1"/>
    </w:tblPr>
    <w:tblGrid>
      <w:gridCol w:w="2799"/>
      <w:gridCol w:w="4997"/>
    </w:tblGrid>
    <w:tr w:rsidR="00985324" w:rsidTr="008A5ED9">
      <w:tc>
        <w:tcPr>
          <w:tcW w:w="2799" w:type="dxa"/>
          <w:vAlign w:val="center"/>
        </w:tcPr>
        <w:p w:rsidR="00985324" w:rsidRDefault="00C2737F">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997" w:type="dxa"/>
          <w:vAlign w:val="center"/>
        </w:tcPr>
        <w:p w:rsidR="00985324" w:rsidRDefault="00C2737F">
          <w:pPr>
            <w:rPr>
              <w:rFonts w:ascii="Palatino Linotype" w:eastAsia="Palatino Linotype" w:hAnsi="Palatino Linotype" w:cs="Palatino Linotype"/>
            </w:rPr>
          </w:pPr>
          <w:r>
            <w:rPr>
              <w:rFonts w:ascii="Palatino Linotype" w:eastAsia="Palatino Linotype" w:hAnsi="Palatino Linotype" w:cs="Palatino Linotype"/>
            </w:rPr>
            <w:t>03328/INFOEM/AD/RR/2026</w:t>
          </w:r>
        </w:p>
      </w:tc>
    </w:tr>
    <w:tr w:rsidR="00985324" w:rsidTr="008A5ED9">
      <w:trPr>
        <w:trHeight w:val="228"/>
      </w:trPr>
      <w:tc>
        <w:tcPr>
          <w:tcW w:w="2799" w:type="dxa"/>
          <w:vAlign w:val="center"/>
        </w:tcPr>
        <w:p w:rsidR="00985324" w:rsidRDefault="00C2737F">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997" w:type="dxa"/>
          <w:vAlign w:val="center"/>
        </w:tcPr>
        <w:p w:rsidR="00985324" w:rsidRDefault="00C2737F">
          <w:pPr>
            <w:ind w:right="-533"/>
            <w:rPr>
              <w:rFonts w:ascii="Palatino Linotype" w:eastAsia="Palatino Linotype" w:hAnsi="Palatino Linotype" w:cs="Palatino Linotype"/>
            </w:rPr>
          </w:pPr>
          <w:r>
            <w:rPr>
              <w:rFonts w:ascii="Palatino Linotype" w:eastAsia="Palatino Linotype" w:hAnsi="Palatino Linotype" w:cs="Palatino Linotype"/>
            </w:rPr>
            <w:t>Instituto de Seguridad Social del Estado de México y Municipios</w:t>
          </w:r>
        </w:p>
      </w:tc>
    </w:tr>
    <w:tr w:rsidR="00985324" w:rsidTr="008A5ED9">
      <w:tc>
        <w:tcPr>
          <w:tcW w:w="2799" w:type="dxa"/>
          <w:vAlign w:val="center"/>
        </w:tcPr>
        <w:p w:rsidR="00985324" w:rsidRDefault="00C2737F">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997" w:type="dxa"/>
          <w:vAlign w:val="center"/>
        </w:tcPr>
        <w:p w:rsidR="00985324" w:rsidRDefault="00C2737F">
          <w:pPr>
            <w:ind w:right="-533"/>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985324" w:rsidRDefault="008A5ED9">
    <w:pPr>
      <w:pBdr>
        <w:top w:val="nil"/>
        <w:left w:val="nil"/>
        <w:bottom w:val="nil"/>
        <w:right w:val="nil"/>
        <w:between w:val="nil"/>
      </w:pBdr>
      <w:tabs>
        <w:tab w:val="center" w:pos="4419"/>
        <w:tab w:val="right" w:pos="8838"/>
      </w:tabs>
      <w:rPr>
        <w:color w:val="000000"/>
      </w:rPr>
    </w:pPr>
    <w:r>
      <w:rPr>
        <w:noProof/>
      </w:rPr>
      <w:drawing>
        <wp:anchor distT="0" distB="0" distL="0" distR="0" simplePos="0" relativeHeight="251656192" behindDoc="1" locked="0" layoutInCell="1" hidden="0" allowOverlap="1">
          <wp:simplePos x="0" y="0"/>
          <wp:positionH relativeFrom="page">
            <wp:align>left</wp:align>
          </wp:positionH>
          <wp:positionV relativeFrom="paragraph">
            <wp:posOffset>-1275715</wp:posOffset>
          </wp:positionV>
          <wp:extent cx="7635600" cy="9943200"/>
          <wp:effectExtent l="0" t="0" r="3810" b="1270"/>
          <wp:wrapNone/>
          <wp:docPr id="1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635600" cy="99432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8080" w:type="dxa"/>
      <w:tblInd w:w="2410" w:type="dxa"/>
      <w:tblLayout w:type="fixed"/>
      <w:tblLook w:val="0400" w:firstRow="0" w:lastRow="0" w:firstColumn="0" w:lastColumn="0" w:noHBand="0" w:noVBand="1"/>
    </w:tblPr>
    <w:tblGrid>
      <w:gridCol w:w="2799"/>
      <w:gridCol w:w="5281"/>
    </w:tblGrid>
    <w:tr w:rsidR="00985324" w:rsidTr="008A5ED9">
      <w:tc>
        <w:tcPr>
          <w:tcW w:w="2799" w:type="dxa"/>
          <w:vAlign w:val="center"/>
        </w:tcPr>
        <w:p w:rsidR="00985324" w:rsidRDefault="00C2737F">
          <w:pPr>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5281" w:type="dxa"/>
          <w:vAlign w:val="center"/>
        </w:tcPr>
        <w:p w:rsidR="00985324" w:rsidRDefault="00C2737F">
          <w:pPr>
            <w:rPr>
              <w:rFonts w:ascii="Palatino Linotype" w:eastAsia="Palatino Linotype" w:hAnsi="Palatino Linotype" w:cs="Palatino Linotype"/>
            </w:rPr>
          </w:pPr>
          <w:r>
            <w:rPr>
              <w:rFonts w:ascii="Palatino Linotype" w:eastAsia="Palatino Linotype" w:hAnsi="Palatino Linotype" w:cs="Palatino Linotype"/>
            </w:rPr>
            <w:t>03328/INFOEM/AD/RR/2026</w:t>
          </w:r>
        </w:p>
      </w:tc>
    </w:tr>
    <w:tr w:rsidR="00985324" w:rsidTr="008A5ED9">
      <w:tc>
        <w:tcPr>
          <w:tcW w:w="2799" w:type="dxa"/>
          <w:vAlign w:val="center"/>
        </w:tcPr>
        <w:p w:rsidR="00985324" w:rsidRDefault="00C2737F">
          <w:pPr>
            <w:ind w:left="35" w:hanging="3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5281" w:type="dxa"/>
          <w:vAlign w:val="center"/>
        </w:tcPr>
        <w:p w:rsidR="00985324" w:rsidRDefault="0029375A">
          <w:pPr>
            <w:rPr>
              <w:rFonts w:ascii="Palatino Linotype" w:eastAsia="Palatino Linotype" w:hAnsi="Palatino Linotype" w:cs="Palatino Linotype"/>
            </w:rPr>
          </w:pPr>
          <w:r>
            <w:rPr>
              <w:rFonts w:ascii="Palatino Linotype" w:eastAsia="Palatino Linotype" w:hAnsi="Palatino Linotype" w:cs="Palatino Linotype"/>
            </w:rPr>
            <w:t>XXXX</w:t>
          </w:r>
        </w:p>
      </w:tc>
    </w:tr>
    <w:tr w:rsidR="00985324" w:rsidTr="008A5ED9">
      <w:trPr>
        <w:trHeight w:val="228"/>
      </w:trPr>
      <w:tc>
        <w:tcPr>
          <w:tcW w:w="2799" w:type="dxa"/>
          <w:vAlign w:val="center"/>
        </w:tcPr>
        <w:p w:rsidR="00985324" w:rsidRDefault="00C2737F">
          <w:pPr>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5281" w:type="dxa"/>
          <w:vAlign w:val="center"/>
        </w:tcPr>
        <w:p w:rsidR="00985324" w:rsidRDefault="00C2737F" w:rsidP="008A5ED9">
          <w:pPr>
            <w:ind w:right="169"/>
            <w:rPr>
              <w:rFonts w:ascii="Palatino Linotype" w:eastAsia="Palatino Linotype" w:hAnsi="Palatino Linotype" w:cs="Palatino Linotype"/>
            </w:rPr>
          </w:pPr>
          <w:r>
            <w:rPr>
              <w:rFonts w:ascii="Palatino Linotype" w:eastAsia="Palatino Linotype" w:hAnsi="Palatino Linotype" w:cs="Palatino Linotype"/>
            </w:rPr>
            <w:t>Instituto de Seguridad Social del Estado de México y Municipios</w:t>
          </w:r>
        </w:p>
      </w:tc>
    </w:tr>
    <w:tr w:rsidR="00985324" w:rsidTr="008A5ED9">
      <w:tc>
        <w:tcPr>
          <w:tcW w:w="2799" w:type="dxa"/>
          <w:vAlign w:val="center"/>
        </w:tcPr>
        <w:p w:rsidR="00985324" w:rsidRDefault="00C2737F">
          <w:pPr>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5281" w:type="dxa"/>
          <w:vAlign w:val="center"/>
        </w:tcPr>
        <w:p w:rsidR="00985324" w:rsidRDefault="00C2737F">
          <w:pPr>
            <w:ind w:right="-533"/>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rsidR="00985324" w:rsidRDefault="008A5ED9" w:rsidP="008A5ED9">
    <w:pPr>
      <w:pBdr>
        <w:top w:val="nil"/>
        <w:left w:val="nil"/>
        <w:bottom w:val="nil"/>
        <w:right w:val="nil"/>
        <w:between w:val="nil"/>
      </w:pBdr>
      <w:tabs>
        <w:tab w:val="right" w:pos="8838"/>
      </w:tabs>
      <w:rPr>
        <w:color w:val="000000"/>
      </w:rPr>
    </w:pPr>
    <w:r>
      <w:rPr>
        <w:noProof/>
      </w:rPr>
      <w:drawing>
        <wp:anchor distT="0" distB="0" distL="0" distR="0" simplePos="0" relativeHeight="251657216" behindDoc="1" locked="0" layoutInCell="1" hidden="0" allowOverlap="1">
          <wp:simplePos x="0" y="0"/>
          <wp:positionH relativeFrom="margin">
            <wp:align>center</wp:align>
          </wp:positionH>
          <wp:positionV relativeFrom="paragraph">
            <wp:posOffset>-1556792</wp:posOffset>
          </wp:positionV>
          <wp:extent cx="7635600" cy="9943200"/>
          <wp:effectExtent l="0" t="0" r="3810" b="1270"/>
          <wp:wrapNone/>
          <wp:docPr id="1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635600" cy="9943200"/>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24" w:rsidRDefault="00C2737F">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noProof/>
        <w:color w:val="000000"/>
      </w:rPr>
      <w:drawing>
        <wp:anchor distT="0" distB="0" distL="0" distR="0" simplePos="0" relativeHeight="251658240" behindDoc="1" locked="0" layoutInCell="1" hidden="0" allowOverlap="1">
          <wp:simplePos x="0" y="0"/>
          <wp:positionH relativeFrom="margin">
            <wp:posOffset>-375916</wp:posOffset>
          </wp:positionH>
          <wp:positionV relativeFrom="margin">
            <wp:posOffset>-1220833</wp:posOffset>
          </wp:positionV>
          <wp:extent cx="5791835" cy="754189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791835" cy="7541895"/>
                  </a:xfrm>
                  <a:prstGeom prst="rect">
                    <a:avLst/>
                  </a:prstGeom>
                  <a:ln/>
                </pic:spPr>
              </pic:pic>
            </a:graphicData>
          </a:graphic>
        </wp:anchor>
      </w:drawing>
    </w:r>
    <w:r>
      <w:rPr>
        <w:rFonts w:ascii="Calibri" w:eastAsia="Calibri" w:hAnsi="Calibri" w:cs="Calibri"/>
        <w:color w:val="000000"/>
      </w:rPr>
      <w:t xml:space="preserve">              </w:t>
    </w:r>
  </w:p>
  <w:tbl>
    <w:tblPr>
      <w:tblStyle w:val="a1"/>
      <w:tblW w:w="6662" w:type="dxa"/>
      <w:tblInd w:w="2694" w:type="dxa"/>
      <w:tblLayout w:type="fixed"/>
      <w:tblLook w:val="0400" w:firstRow="0" w:lastRow="0" w:firstColumn="0" w:lastColumn="0" w:noHBand="0" w:noVBand="1"/>
    </w:tblPr>
    <w:tblGrid>
      <w:gridCol w:w="2835"/>
      <w:gridCol w:w="3827"/>
    </w:tblGrid>
    <w:tr w:rsidR="00985324">
      <w:tc>
        <w:tcPr>
          <w:tcW w:w="0" w:type="auto"/>
          <w:shd w:val="clear" w:color="auto" w:fill="auto"/>
          <w:vAlign w:val="center"/>
        </w:tcPr>
        <w:p w:rsidR="00985324" w:rsidRDefault="00C2737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0" w:type="auto"/>
          <w:shd w:val="clear" w:color="auto" w:fill="auto"/>
          <w:vAlign w:val="center"/>
        </w:tcPr>
        <w:p w:rsidR="00985324" w:rsidRDefault="00C2737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04553/INFOEM/AD/RR/2024</w:t>
          </w:r>
        </w:p>
      </w:tc>
    </w:tr>
    <w:tr w:rsidR="00985324">
      <w:trPr>
        <w:trHeight w:val="228"/>
      </w:trPr>
      <w:tc>
        <w:tcPr>
          <w:tcW w:w="0" w:type="auto"/>
          <w:shd w:val="clear" w:color="auto" w:fill="auto"/>
          <w:vAlign w:val="center"/>
        </w:tcPr>
        <w:p w:rsidR="00985324" w:rsidRDefault="00C2737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0" w:type="auto"/>
          <w:shd w:val="clear" w:color="auto" w:fill="auto"/>
          <w:vAlign w:val="center"/>
        </w:tcPr>
        <w:p w:rsidR="00985324" w:rsidRDefault="00C2737F">
          <w:pPr>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Instituto de Seguridad Social del Estado de México y Municipios</w:t>
          </w:r>
        </w:p>
      </w:tc>
    </w:tr>
    <w:tr w:rsidR="00985324">
      <w:tc>
        <w:tcPr>
          <w:tcW w:w="0" w:type="auto"/>
          <w:shd w:val="clear" w:color="auto" w:fill="auto"/>
          <w:vAlign w:val="center"/>
        </w:tcPr>
        <w:p w:rsidR="00985324" w:rsidRDefault="00C2737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0" w:type="auto"/>
          <w:shd w:val="clear" w:color="auto" w:fill="auto"/>
          <w:vAlign w:val="center"/>
        </w:tcPr>
        <w:p w:rsidR="00985324" w:rsidRDefault="00C2737F">
          <w:pPr>
            <w:ind w:right="-533"/>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María del Rosario Mejía Ayala</w:t>
          </w:r>
        </w:p>
      </w:tc>
    </w:tr>
  </w:tbl>
  <w:p w:rsidR="00985324" w:rsidRDefault="00C2737F">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 xml:space="preserve">                                                 </w:t>
    </w:r>
    <w:r>
      <w:rPr>
        <w:rFonts w:ascii="Calibri" w:eastAsia="Calibri" w:hAnsi="Calibri" w:cs="Calibri"/>
        <w:color w:val="000000"/>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324" w:rsidRDefault="0002211D">
    <w:pPr>
      <w:widowControl w:val="0"/>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89.4pt;margin-top:-106pt;width:663.5pt;height:12in;z-index:-251657216;mso-position-horizontal:absolute;mso-position-horizontal-relative:margin;mso-position-vertical:absolute;mso-position-vertical-relative:margin">
          <v:imagedata r:id="rId1" o:title="image2"/>
          <w10:wrap anchorx="margin" anchory="margin"/>
        </v:shape>
      </w:pict>
    </w:r>
  </w:p>
  <w:tbl>
    <w:tblPr>
      <w:tblStyle w:val="a2"/>
      <w:tblW w:w="6661" w:type="dxa"/>
      <w:tblInd w:w="2694" w:type="dxa"/>
      <w:tblLayout w:type="fixed"/>
      <w:tblLook w:val="0400" w:firstRow="0" w:lastRow="0" w:firstColumn="0" w:lastColumn="0" w:noHBand="0" w:noVBand="1"/>
    </w:tblPr>
    <w:tblGrid>
      <w:gridCol w:w="2693"/>
      <w:gridCol w:w="3968"/>
    </w:tblGrid>
    <w:tr w:rsidR="00985324">
      <w:tc>
        <w:tcPr>
          <w:tcW w:w="2693" w:type="dxa"/>
          <w:shd w:val="clear" w:color="auto" w:fill="auto"/>
          <w:vAlign w:val="center"/>
        </w:tcPr>
        <w:p w:rsidR="00985324" w:rsidRDefault="00C2737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3968" w:type="dxa"/>
          <w:shd w:val="clear" w:color="auto" w:fill="auto"/>
          <w:vAlign w:val="center"/>
        </w:tcPr>
        <w:p w:rsidR="00985324" w:rsidRDefault="00C2737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04553/INFOEM/AD/RR/2024</w:t>
          </w:r>
        </w:p>
      </w:tc>
    </w:tr>
    <w:tr w:rsidR="00985324">
      <w:tc>
        <w:tcPr>
          <w:tcW w:w="2693" w:type="dxa"/>
          <w:shd w:val="clear" w:color="auto" w:fill="auto"/>
          <w:vAlign w:val="center"/>
        </w:tcPr>
        <w:p w:rsidR="00985324" w:rsidRDefault="00C2737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3968" w:type="dxa"/>
          <w:shd w:val="clear" w:color="auto" w:fill="auto"/>
          <w:vAlign w:val="center"/>
        </w:tcPr>
        <w:p w:rsidR="00985324" w:rsidRDefault="00C2737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ROSA YCELA MUMELTHEY CASTELLANOS</w:t>
          </w:r>
        </w:p>
      </w:tc>
    </w:tr>
    <w:tr w:rsidR="00985324">
      <w:trPr>
        <w:trHeight w:val="228"/>
      </w:trPr>
      <w:tc>
        <w:tcPr>
          <w:tcW w:w="2693" w:type="dxa"/>
          <w:shd w:val="clear" w:color="auto" w:fill="auto"/>
          <w:vAlign w:val="center"/>
        </w:tcPr>
        <w:p w:rsidR="00985324" w:rsidRDefault="00C2737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3968" w:type="dxa"/>
          <w:shd w:val="clear" w:color="auto" w:fill="auto"/>
          <w:vAlign w:val="center"/>
        </w:tcPr>
        <w:p w:rsidR="00985324" w:rsidRDefault="00C2737F">
          <w:pPr>
            <w:ind w:right="2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Instituto de Seguridad Social del Estado de México y Municipios</w:t>
          </w:r>
        </w:p>
      </w:tc>
    </w:tr>
    <w:tr w:rsidR="00985324">
      <w:tc>
        <w:tcPr>
          <w:tcW w:w="2693" w:type="dxa"/>
          <w:shd w:val="clear" w:color="auto" w:fill="auto"/>
          <w:vAlign w:val="center"/>
        </w:tcPr>
        <w:p w:rsidR="00985324" w:rsidRDefault="00C2737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3968" w:type="dxa"/>
          <w:shd w:val="clear" w:color="auto" w:fill="auto"/>
          <w:vAlign w:val="center"/>
        </w:tcPr>
        <w:p w:rsidR="00985324" w:rsidRDefault="00C2737F">
          <w:pPr>
            <w:ind w:right="-533"/>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María del Rosario Mejía Ayala</w:t>
          </w:r>
        </w:p>
      </w:tc>
    </w:tr>
  </w:tbl>
  <w:p w:rsidR="00985324" w:rsidRDefault="00985324">
    <w:pPr>
      <w:pBdr>
        <w:top w:val="nil"/>
        <w:left w:val="nil"/>
        <w:bottom w:val="nil"/>
        <w:right w:val="nil"/>
        <w:between w:val="nil"/>
      </w:pBdr>
      <w:tabs>
        <w:tab w:val="center" w:pos="4252"/>
        <w:tab w:val="right" w:pos="8504"/>
      </w:tabs>
      <w:rPr>
        <w:rFonts w:ascii="Calibri" w:eastAsia="Calibri" w:hAnsi="Calibri" w:cs="Calibri"/>
        <w:color w:val="000000"/>
      </w:rPr>
    </w:pPr>
  </w:p>
  <w:p w:rsidR="00985324" w:rsidRDefault="0098532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868"/>
    <w:multiLevelType w:val="multilevel"/>
    <w:tmpl w:val="727ED6B4"/>
    <w:lvl w:ilvl="0">
      <w:start w:val="1"/>
      <w:numFmt w:val="decimal"/>
      <w:lvlText w:val="%1."/>
      <w:lvlJc w:val="left"/>
      <w:pPr>
        <w:ind w:left="2912"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600BD3"/>
    <w:multiLevelType w:val="multilevel"/>
    <w:tmpl w:val="8D72D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6AE6465"/>
    <w:multiLevelType w:val="multilevel"/>
    <w:tmpl w:val="995E42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E750195"/>
    <w:multiLevelType w:val="multilevel"/>
    <w:tmpl w:val="B8D2E1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10A5098"/>
    <w:multiLevelType w:val="multilevel"/>
    <w:tmpl w:val="2C60E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24"/>
    <w:rsid w:val="0002211D"/>
    <w:rsid w:val="000532F7"/>
    <w:rsid w:val="000763B2"/>
    <w:rsid w:val="001C4193"/>
    <w:rsid w:val="0029375A"/>
    <w:rsid w:val="0030784F"/>
    <w:rsid w:val="00601496"/>
    <w:rsid w:val="00601D2B"/>
    <w:rsid w:val="00730A9B"/>
    <w:rsid w:val="008A5ED9"/>
    <w:rsid w:val="00923FC2"/>
    <w:rsid w:val="00985324"/>
    <w:rsid w:val="00AA4FCD"/>
    <w:rsid w:val="00C2737F"/>
    <w:rsid w:val="00DA623A"/>
    <w:rsid w:val="00E55891"/>
    <w:rsid w:val="00F235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EC6C6592-75BC-4262-A9AE-F0307E7C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8A5ED9"/>
    <w:pPr>
      <w:tabs>
        <w:tab w:val="center" w:pos="4419"/>
        <w:tab w:val="right" w:pos="8838"/>
      </w:tabs>
    </w:pPr>
  </w:style>
  <w:style w:type="character" w:customStyle="1" w:styleId="EncabezadoCar">
    <w:name w:val="Encabezado Car"/>
    <w:basedOn w:val="Fuentedeprrafopredeter"/>
    <w:link w:val="Encabezado"/>
    <w:uiPriority w:val="99"/>
    <w:rsid w:val="008A5ED9"/>
  </w:style>
  <w:style w:type="paragraph" w:styleId="Piedepgina">
    <w:name w:val="footer"/>
    <w:basedOn w:val="Normal"/>
    <w:link w:val="PiedepginaCar"/>
    <w:uiPriority w:val="99"/>
    <w:unhideWhenUsed/>
    <w:rsid w:val="008A5ED9"/>
    <w:pPr>
      <w:tabs>
        <w:tab w:val="center" w:pos="4419"/>
        <w:tab w:val="right" w:pos="8838"/>
      </w:tabs>
    </w:pPr>
  </w:style>
  <w:style w:type="character" w:customStyle="1" w:styleId="PiedepginaCar">
    <w:name w:val="Pie de página Car"/>
    <w:basedOn w:val="Fuentedeprrafopredeter"/>
    <w:link w:val="Piedepgina"/>
    <w:uiPriority w:val="99"/>
    <w:rsid w:val="008A5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rcoem.org.mx/sarcoem/solicitud/descarga/2546557/009142025014143538001/688901.page"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g9Q6O6MOGtuBqhEcVluJBq1b6Q==">CgMxLjAyCWguMXQzaDVzZjIOaC4yZnFyMXljdjVoeGcyCGguZ2pkZ3hzOAByITF3NUlvdVhPdXJBeTdnemF3UnYyb2c1TjZySmFFX0ZFdw==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20</Pages>
  <Words>5230</Words>
  <Characters>28769</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INFOEM-434</dc:creator>
  <cp:lastModifiedBy>Cuenta Microsoft</cp:lastModifiedBy>
  <cp:revision>10</cp:revision>
  <cp:lastPrinted>2026-05-29T00:08:00Z</cp:lastPrinted>
  <dcterms:created xsi:type="dcterms:W3CDTF">2026-05-25T18:48:00Z</dcterms:created>
  <dcterms:modified xsi:type="dcterms:W3CDTF">2026-06-17T23:23:00Z</dcterms:modified>
</cp:coreProperties>
</file>