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b w:val="1"/>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sz w:val="24"/>
          <w:szCs w:val="24"/>
          <w:rtl w:val="0"/>
        </w:rPr>
        <w:t xml:space="preserve">VOTO PARTICULAR CONCURRENTE QUE FORMULAN LOS COMISIONADOS GUADALUPE RAMÍREZ PEÑA Y JOSÉ MARTÍNEZ VILCHIS EN RELACIÓN CON LA RESOLUCIÓN DICTADA POR EL PLENO DEL INSTITUTO DE TRANSPARENCIA, ACCESO A LA INFORMACIÓN PÚBLICA Y PROTECCIÓN DE DATOS PERSONALES DEL ESTADO DE MÉXICO Y MUNICIPIOS, EN LA VIGÉSIMA OCTAVA SESIÓN ORDINARIA DEL PLENO DE FECHA DIEZ DE AGOSTO DE DOS MIL VEINTIDÓS, EN EL RECURSO DE REVISIÓN 04279/INFOEM/AD/RR/2022.</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presente voto que realizan los suscritos, encuentra fundamento en lo dispuesto por el artículo 14, fracción XI, del Reglamento del Instituto de Transparencia, Acceso a la Información Pública y Protección de Datos Personales del Estado de México, en atención a que de acuerdo a las actuaciones que integran el expediente electrónico del recurso de revisión indicado, y el cual fue engrosado conforme al criterio mayoritario, se considera necesario hacer valer las siguientes manifestaciones lógico- jurídicas que debieron prosperar en la resolución aprobada. </w:t>
      </w:r>
    </w:p>
    <w:p w:rsidR="00000000" w:rsidDel="00000000" w:rsidP="00000000" w:rsidRDefault="00000000" w:rsidRPr="00000000" w14:paraId="00000004">
      <w:pPr>
        <w:widowControl w:val="0"/>
        <w:spacing w:after="0" w:before="163" w:line="360" w:lineRule="auto"/>
        <w:ind w:right="-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necesario precisar que, si bien se comparte el sentido general de la resolución, se difiere en que se haya ordenado </w:t>
      </w:r>
      <w:r w:rsidDel="00000000" w:rsidR="00000000" w:rsidRPr="00000000">
        <w:rPr>
          <w:rFonts w:ascii="Palatino Linotype" w:cs="Palatino Linotype" w:eastAsia="Palatino Linotype" w:hAnsi="Palatino Linotype"/>
          <w:b w:val="1"/>
          <w:sz w:val="24"/>
          <w:szCs w:val="24"/>
          <w:rtl w:val="0"/>
        </w:rPr>
        <w:t xml:space="preserve">eximir a la Recurrente del pago de derechos por la expedición de copias certificadas</w:t>
      </w:r>
      <w:r w:rsidDel="00000000" w:rsidR="00000000" w:rsidRPr="00000000">
        <w:rPr>
          <w:rFonts w:ascii="Palatino Linotype" w:cs="Palatino Linotype" w:eastAsia="Palatino Linotype" w:hAnsi="Palatino Linotype"/>
          <w:sz w:val="24"/>
          <w:szCs w:val="24"/>
          <w:rtl w:val="0"/>
        </w:rPr>
        <w:t xml:space="preserve">, por las siguientes consideraciones:</w:t>
      </w:r>
    </w:p>
    <w:p w:rsidR="00000000" w:rsidDel="00000000" w:rsidP="00000000" w:rsidRDefault="00000000" w:rsidRPr="00000000" w14:paraId="0000000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6">
      <w:pPr>
        <w:numPr>
          <w:ilvl w:val="0"/>
          <w:numId w:val="3"/>
        </w:numPr>
        <w:spacing w:after="0" w:before="0" w:line="360" w:lineRule="auto"/>
        <w:ind w:left="567" w:hanging="141"/>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Antecedentes.</w:t>
      </w:r>
    </w:p>
    <w:p w:rsidR="00000000" w:rsidDel="00000000" w:rsidP="00000000" w:rsidRDefault="00000000" w:rsidRPr="00000000" w14:paraId="00000007">
      <w:pPr>
        <w:spacing w:after="0" w:before="0" w:line="360" w:lineRule="auto"/>
        <w:ind w:left="567"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8">
      <w:pPr>
        <w:spacing w:after="12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asunto que nos ocupa, la Recurrente solicitó al Ayuntamiento de San Mateo Atenco el acceso al expediente catastral que obre en contenido y manifieste sus datos personales, para mayor referencia proporcionó la clave catastral. </w:t>
      </w:r>
    </w:p>
    <w:p w:rsidR="00000000" w:rsidDel="00000000" w:rsidP="00000000" w:rsidRDefault="00000000" w:rsidRPr="00000000" w14:paraId="00000009">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Debe precisarse que el Sujeto Obligado fue omiso en emitir pronunciamiento alguno, por lo que la particular interpuso el recurso de revisión citado al rubro, inconformándose por la falta de respuesta a su solicitud de acceso a datos personales, admitido el recurso de revisión, las partes fueron omisas en conciliar y posteriormente en remitir su informe justificado y manifestaciones que a su derecho convinieran, por lo que se determinó continuar con la tramitación hasta la emisión de la resolución. </w:t>
      </w:r>
    </w:p>
    <w:p w:rsidR="00000000" w:rsidDel="00000000" w:rsidP="00000000" w:rsidRDefault="00000000" w:rsidRPr="00000000" w14:paraId="0000000A">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las cosas, el Instituto </w:t>
      </w:r>
      <w:r w:rsidDel="00000000" w:rsidR="00000000" w:rsidRPr="00000000">
        <w:rPr>
          <w:rFonts w:ascii="Palatino Linotype" w:cs="Palatino Linotype" w:eastAsia="Palatino Linotype" w:hAnsi="Palatino Linotype"/>
          <w:b w:val="1"/>
          <w:sz w:val="24"/>
          <w:szCs w:val="24"/>
          <w:u w:val="single"/>
          <w:rtl w:val="0"/>
        </w:rPr>
        <w:t xml:space="preserve">determinó ordenar la entrega de la información, previa acreditación de su identidad en las oficinas del Sujeto Obligado, en la modalidad de copia certificada con costo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B">
      <w:pPr>
        <w:spacing w:line="276" w:lineRule="auto"/>
        <w:ind w:left="567" w:right="113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C">
      <w:pPr>
        <w:spacing w:line="276" w:lineRule="auto"/>
        <w:ind w:left="567" w:right="113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i w:val="1"/>
          <w:rtl w:val="0"/>
        </w:rPr>
        <w:t xml:space="preserve">Se</w:t>
      </w:r>
      <w:r w:rsidDel="00000000" w:rsidR="00000000" w:rsidRPr="00000000">
        <w:rPr>
          <w:rFonts w:ascii="Palatino Linotype" w:cs="Palatino Linotype" w:eastAsia="Palatino Linotype" w:hAnsi="Palatino Linotype"/>
          <w:b w:val="1"/>
          <w:i w:val="1"/>
          <w:rtl w:val="0"/>
        </w:rPr>
        <w:t xml:space="preserve"> ORDENA </w:t>
      </w:r>
      <w:r w:rsidDel="00000000" w:rsidR="00000000" w:rsidRPr="00000000">
        <w:rPr>
          <w:rFonts w:ascii="Palatino Linotype" w:cs="Palatino Linotype" w:eastAsia="Palatino Linotype" w:hAnsi="Palatino Linotype"/>
          <w:i w:val="1"/>
          <w:rtl w:val="0"/>
        </w:rPr>
        <w:t xml:space="preserve">al </w:t>
      </w:r>
      <w:r w:rsidDel="00000000" w:rsidR="00000000" w:rsidRPr="00000000">
        <w:rPr>
          <w:rFonts w:ascii="Palatino Linotype" w:cs="Palatino Linotype" w:eastAsia="Palatino Linotype" w:hAnsi="Palatino Linotype"/>
          <w:b w:val="1"/>
          <w:i w:val="1"/>
          <w:rtl w:val="0"/>
        </w:rPr>
        <w:t xml:space="preserve">Ayuntamiento de San Mateo Atenco, </w:t>
      </w:r>
      <w:r w:rsidDel="00000000" w:rsidR="00000000" w:rsidRPr="00000000">
        <w:rPr>
          <w:rFonts w:ascii="Palatino Linotype" w:cs="Palatino Linotype" w:eastAsia="Palatino Linotype" w:hAnsi="Palatino Linotype"/>
          <w:i w:val="1"/>
          <w:rtl w:val="0"/>
        </w:rPr>
        <w:t xml:space="preserve"> dé trámite a  la  solicitud </w:t>
      </w:r>
      <w:r w:rsidDel="00000000" w:rsidR="00000000" w:rsidRPr="00000000">
        <w:rPr>
          <w:rFonts w:ascii="Palatino Linotype" w:cs="Palatino Linotype" w:eastAsia="Palatino Linotype" w:hAnsi="Palatino Linotype"/>
          <w:b w:val="1"/>
          <w:i w:val="1"/>
          <w:rtl w:val="0"/>
        </w:rPr>
        <w:t xml:space="preserve">00001/MATEOATE/AD/2022</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highlight w:val="white"/>
          <w:rtl w:val="0"/>
        </w:rPr>
        <w:t xml:space="preserve"> y </w:t>
      </w:r>
      <w:r w:rsidDel="00000000" w:rsidR="00000000" w:rsidRPr="00000000">
        <w:rPr>
          <w:rFonts w:ascii="Palatino Linotype" w:cs="Palatino Linotype" w:eastAsia="Palatino Linotype" w:hAnsi="Palatino Linotype"/>
          <w:b w:val="1"/>
          <w:i w:val="1"/>
          <w:rtl w:val="0"/>
        </w:rPr>
        <w:t xml:space="preserve">previa acreditación de su identidad en las oficinas del Sujeto Obligado, entregue en copia certificada con costo</w:t>
      </w:r>
      <w:r w:rsidDel="00000000" w:rsidR="00000000" w:rsidRPr="00000000">
        <w:rPr>
          <w:rFonts w:ascii="Palatino Linotype" w:cs="Palatino Linotype" w:eastAsia="Palatino Linotype" w:hAnsi="Palatino Linotype"/>
          <w:i w:val="1"/>
          <w:rtl w:val="0"/>
        </w:rPr>
        <w:t xml:space="preserve">, lo siguiente:</w:t>
      </w:r>
      <w:r w:rsidDel="00000000" w:rsidR="00000000" w:rsidRPr="00000000">
        <w:rPr>
          <w:rtl w:val="0"/>
        </w:rPr>
      </w:r>
    </w:p>
    <w:p w:rsidR="00000000" w:rsidDel="00000000" w:rsidP="00000000" w:rsidRDefault="00000000" w:rsidRPr="00000000" w14:paraId="0000000D">
      <w:pPr>
        <w:widowControl w:val="0"/>
        <w:tabs>
          <w:tab w:val="left" w:leader="none" w:pos="1701"/>
        </w:tabs>
        <w:spacing w:after="0"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E">
      <w:pPr>
        <w:widowControl w:val="0"/>
        <w:numPr>
          <w:ilvl w:val="0"/>
          <w:numId w:val="1"/>
        </w:numPr>
        <w:pBdr>
          <w:top w:space="0" w:sz="0" w:val="nil"/>
          <w:left w:space="0" w:sz="0" w:val="nil"/>
          <w:bottom w:space="0" w:sz="0" w:val="nil"/>
          <w:right w:space="0" w:sz="0" w:val="nil"/>
          <w:between w:space="0" w:sz="0" w:val="nil"/>
        </w:pBdr>
        <w:tabs>
          <w:tab w:val="left" w:leader="none" w:pos="1701"/>
        </w:tabs>
        <w:spacing w:after="0" w:line="276" w:lineRule="auto"/>
        <w:ind w:left="567" w:right="1183" w:hanging="141"/>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Expediente catastral generado con la clave referida por la particular en la solicitud de acceso a datos personales.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leader="none" w:pos="1701"/>
        </w:tabs>
        <w:spacing w:after="0" w:line="276" w:lineRule="auto"/>
        <w:ind w:left="567" w:right="1183" w:firstLine="0"/>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10">
      <w:pPr>
        <w:widowControl w:val="0"/>
        <w:tabs>
          <w:tab w:val="left" w:leader="none" w:pos="1701"/>
        </w:tabs>
        <w:spacing w:after="0" w:line="276" w:lineRule="auto"/>
        <w:ind w:left="567" w:right="118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acreditación de la identidad y entrega de la información, el Sujeto Obligado previamente deberá hacer de conocimiento de la parte Recurrente, vía SARCOEM, </w:t>
      </w:r>
      <w:r w:rsidDel="00000000" w:rsidR="00000000" w:rsidRPr="00000000">
        <w:rPr>
          <w:rFonts w:ascii="Palatino Linotype" w:cs="Palatino Linotype" w:eastAsia="Palatino Linotype" w:hAnsi="Palatino Linotype"/>
          <w:i w:val="1"/>
          <w:u w:val="single"/>
          <w:rtl w:val="0"/>
        </w:rPr>
        <w:t xml:space="preserve">la actualización del costo</w:t>
      </w:r>
      <w:r w:rsidDel="00000000" w:rsidR="00000000" w:rsidRPr="00000000">
        <w:rPr>
          <w:rFonts w:ascii="Palatino Linotype" w:cs="Palatino Linotype" w:eastAsia="Palatino Linotype" w:hAnsi="Palatino Linotype"/>
          <w:i w:val="1"/>
          <w:rtl w:val="0"/>
        </w:rPr>
        <w:t xml:space="preserve"> por la reproducción y certificación, el lugar, día y horarios en los que podrá acceder a la información, así como el nombre del o los servidores públicos que le atenderán.</w:t>
      </w:r>
    </w:p>
    <w:p w:rsidR="00000000" w:rsidDel="00000000" w:rsidP="00000000" w:rsidRDefault="00000000" w:rsidRPr="00000000" w14:paraId="00000011">
      <w:pPr>
        <w:widowControl w:val="0"/>
        <w:tabs>
          <w:tab w:val="left" w:leader="none" w:pos="1701"/>
        </w:tabs>
        <w:spacing w:after="0" w:line="276" w:lineRule="auto"/>
        <w:ind w:left="567" w:right="118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tabs>
          <w:tab w:val="left" w:leader="none" w:pos="1701"/>
        </w:tabs>
        <w:spacing w:after="0" w:line="276" w:lineRule="auto"/>
        <w:ind w:left="567" w:right="118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Para el caso en el que la particular no acredite su identidad o se determine que no es la titular de los datos personales, el Sujeto Obligado deberá clasificarlos como información confidencial y notificar el respectivo acuerdo de clasificación a la particular, al momento de dar cumplimiento a la resolución.</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tabs>
          <w:tab w:val="left" w:leader="none" w:pos="1701"/>
        </w:tabs>
        <w:spacing w:after="0" w:line="276" w:lineRule="auto"/>
        <w:ind w:left="567" w:right="1183"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tabs>
          <w:tab w:val="left" w:leader="none" w:pos="1701"/>
        </w:tabs>
        <w:spacing w:after="0" w:line="276" w:lineRule="auto"/>
        <w:ind w:left="567" w:right="118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De ser el caso en el que el Sujeto Obligado no cuente con un expediente catastral, generado con la clave catastral referido por la particular, deberá manifestarlo de manera clara y precisa al momento de dar cumplimiento a la presente resolución.</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15">
      <w:pPr>
        <w:spacing w:after="120" w:before="120" w:line="276" w:lineRule="auto"/>
        <w:ind w:left="567" w:right="84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6">
      <w:pPr>
        <w:numPr>
          <w:ilvl w:val="0"/>
          <w:numId w:val="3"/>
        </w:numPr>
        <w:spacing w:after="0" w:before="120" w:line="360" w:lineRule="auto"/>
        <w:ind w:left="567" w:hanging="283"/>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Razones del Voto Particular Concurrente. </w:t>
      </w:r>
    </w:p>
    <w:p w:rsidR="00000000" w:rsidDel="00000000" w:rsidP="00000000" w:rsidRDefault="00000000" w:rsidRPr="00000000" w14:paraId="00000017">
      <w:pPr>
        <w:spacing w:after="0" w:before="0" w:line="360" w:lineRule="auto"/>
        <w:ind w:left="567"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8">
      <w:pPr>
        <w:tabs>
          <w:tab w:val="left" w:leader="none"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iniciar la emisión del presente voto, conviene mencionar que si bien es cierto que mediante puntos resolutivos, el Instituto coincide en que la entrega de la información deberá darse en copias certificadas, pues así expresó la particular que requería los soportes documentales, lo cierto también es que mediante estudio precisa que para el cálculo de dicho cobro deberán de exceptuarse las primeras veinte fojas. Lo anterior con base en el Criterio 02/18 emitido por el Instituto Nacional de Transparencia, Acceso a la Información y Protección de Datos Personales (INAI) que señala a la literalidad lo siguiente:</w:t>
      </w:r>
    </w:p>
    <w:p w:rsidR="00000000" w:rsidDel="00000000" w:rsidP="00000000" w:rsidRDefault="00000000" w:rsidRPr="00000000" w14:paraId="00000019">
      <w:pPr>
        <w:tabs>
          <w:tab w:val="left" w:leader="none" w:pos="709"/>
        </w:tabs>
        <w:spacing w:line="276" w:lineRule="auto"/>
        <w:ind w:left="567" w:right="113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Gratuidad de las primeras veinte hojas simples o certificadas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1A">
      <w:pPr>
        <w:tabs>
          <w:tab w:val="left" w:leader="none" w:pos="709"/>
        </w:tabs>
        <w:spacing w:line="276" w:lineRule="auto"/>
        <w:ind w:left="567" w:right="113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Cuando la entrega de los datos personales sea a través de copias simples o certificadas, las primeras veinte hojas serán sin costo</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B">
      <w:pPr>
        <w:tabs>
          <w:tab w:val="left" w:leader="none"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por lo anteriormente citado que los suscritos emiten el presente voto, pues a nuestra consideración, debe ordenarse la entrega de la información solicitada por la recurrente en la modalidad solicitada, esto es vía copias certificadas (con costo), por lo que con independencia del número de fojas, estas deberían cobrarse en su totalidad, lo anterior encontrará sustento en las consideraciones que se exponen a continuación:</w:t>
      </w:r>
    </w:p>
    <w:p w:rsidR="00000000" w:rsidDel="00000000" w:rsidP="00000000" w:rsidRDefault="00000000" w:rsidRPr="00000000" w14:paraId="0000001C">
      <w:pPr>
        <w:tabs>
          <w:tab w:val="left" w:leader="none"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Primeramente, con base en el artículo 110, de la Ley de Protección de Datos Personales en Posesión de Sujetos Obligados del Estado de México y Municipio, para presentar una solicitud para el ejercicio de derechos ARCO, no se podrán exigir mayores requisitos que los siguientes:</w:t>
      </w:r>
    </w:p>
    <w:p w:rsidR="00000000" w:rsidDel="00000000" w:rsidP="00000000" w:rsidRDefault="00000000" w:rsidRPr="00000000" w14:paraId="0000001D">
      <w:pPr>
        <w:tabs>
          <w:tab w:val="left" w:leader="none" w:pos="709"/>
        </w:tabs>
        <w:spacing w:line="276" w:lineRule="auto"/>
        <w:ind w:left="709" w:right="113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nombre del titular y su domicilio, o cualquier otro medio para recibir notificaciones.</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709" w:right="113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Los documentos que acrediten la identidad del titular y en su caso, la personalidad e identidad de su representante.</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709" w:right="113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De ser posible, el área responsable que trata los datos personales y ante el cual se presenta la solicitud.</w:t>
      </w:r>
    </w:p>
    <w:p w:rsidR="00000000" w:rsidDel="00000000" w:rsidP="00000000" w:rsidRDefault="00000000" w:rsidRPr="00000000" w14:paraId="00000020">
      <w:pPr>
        <w:tabs>
          <w:tab w:val="left" w:leader="none" w:pos="709"/>
        </w:tabs>
        <w:spacing w:line="276" w:lineRule="auto"/>
        <w:ind w:left="709" w:right="113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descripción clara y precisa de los datos personales respecto de los que se busca ejercer alguno de los derechos ARCO, salvo que se trate del derecho de acceso.</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709" w:right="113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descripción del derecho ARCO que se pretende ejercer, o bien, lo que solicita el titular.</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709" w:right="113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Cualquier otro elemento o documento que facilite la localización de los datos personales, en su caso.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1080" w:right="113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tabs>
          <w:tab w:val="left" w:leader="none" w:pos="709"/>
        </w:tabs>
        <w:spacing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del requisito de la fracción I, si es el caso del domicilio no se localiza dentro del Estado de México, las notificaciones se efectuarán por estrados.</w:t>
      </w:r>
    </w:p>
    <w:p w:rsidR="00000000" w:rsidDel="00000000" w:rsidP="00000000" w:rsidRDefault="00000000" w:rsidRPr="00000000" w14:paraId="00000025">
      <w:pPr>
        <w:tabs>
          <w:tab w:val="left" w:leader="none" w:pos="709"/>
        </w:tabs>
        <w:spacing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manera adicional, el titular podrá aportar pruebas para acreditar la procedencia de su solicitud.</w:t>
      </w:r>
    </w:p>
    <w:p w:rsidR="00000000" w:rsidDel="00000000" w:rsidP="00000000" w:rsidRDefault="00000000" w:rsidRPr="00000000" w14:paraId="00000026">
      <w:pPr>
        <w:tabs>
          <w:tab w:val="left" w:leader="none" w:pos="709"/>
        </w:tabs>
        <w:spacing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Tratándose de una solicitud de acceso a datos personales se señalará la modalidad en la que el titular prefiere se otorgue éste, la cual podrá ser </w:t>
      </w:r>
      <w:r w:rsidDel="00000000" w:rsidR="00000000" w:rsidRPr="00000000">
        <w:rPr>
          <w:rFonts w:ascii="Palatino Linotype" w:cs="Palatino Linotype" w:eastAsia="Palatino Linotype" w:hAnsi="Palatino Linotype"/>
          <w:i w:val="1"/>
          <w:rtl w:val="0"/>
        </w:rPr>
        <w:t xml:space="preserve">por consulta directa, </w:t>
      </w:r>
      <w:r w:rsidDel="00000000" w:rsidR="00000000" w:rsidRPr="00000000">
        <w:rPr>
          <w:rFonts w:ascii="Palatino Linotype" w:cs="Palatino Linotype" w:eastAsia="Palatino Linotype" w:hAnsi="Palatino Linotype"/>
          <w:b w:val="1"/>
          <w:i w:val="1"/>
          <w:rtl w:val="0"/>
        </w:rPr>
        <w:t xml:space="preserve">copias simples, certificadas</w:t>
      </w:r>
      <w:r w:rsidDel="00000000" w:rsidR="00000000" w:rsidRPr="00000000">
        <w:rPr>
          <w:rFonts w:ascii="Palatino Linotype" w:cs="Palatino Linotype" w:eastAsia="Palatino Linotype" w:hAnsi="Palatino Linotype"/>
          <w:i w:val="1"/>
          <w:rtl w:val="0"/>
        </w:rPr>
        <w:t xml:space="preserve">, digitalizadas u otro tipo de medio electrónico.</w:t>
      </w:r>
    </w:p>
    <w:p w:rsidR="00000000" w:rsidDel="00000000" w:rsidP="00000000" w:rsidRDefault="00000000" w:rsidRPr="00000000" w14:paraId="00000027">
      <w:pPr>
        <w:tabs>
          <w:tab w:val="left" w:leader="none" w:pos="709"/>
        </w:tabs>
        <w:spacing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responsable deberá atender la solicitud en la modalidad requerida por el titular</w:t>
      </w:r>
      <w:r w:rsidDel="00000000" w:rsidR="00000000" w:rsidRPr="00000000">
        <w:rPr>
          <w:rFonts w:ascii="Palatino Linotype" w:cs="Palatino Linotype" w:eastAsia="Palatino Linotype" w:hAnsi="Palatino Linotype"/>
          <w:i w:val="1"/>
          <w:rtl w:val="0"/>
        </w:rPr>
        <w:t xml:space="preserve">, salvo que exista una imposibilidad física o jurídica que lo limite a reproducir los datos personales en dicha modalidad, en este caso deberá ofrecer otras modalidades de entrega de los datos personales fundando y motivando dicha actuación.</w:t>
      </w:r>
    </w:p>
    <w:p w:rsidR="00000000" w:rsidDel="00000000" w:rsidP="00000000" w:rsidRDefault="00000000" w:rsidRPr="00000000" w14:paraId="00000028">
      <w:pPr>
        <w:tabs>
          <w:tab w:val="left" w:leader="none"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los numerales </w:t>
      </w:r>
      <w:r w:rsidDel="00000000" w:rsidR="00000000" w:rsidRPr="00000000">
        <w:rPr>
          <w:rFonts w:ascii="Palatino Linotype" w:cs="Palatino Linotype" w:eastAsia="Palatino Linotype" w:hAnsi="Palatino Linotype"/>
          <w:b w:val="1"/>
          <w:sz w:val="24"/>
          <w:szCs w:val="24"/>
          <w:rtl w:val="0"/>
        </w:rPr>
        <w:t xml:space="preserve">III y V</w:t>
      </w:r>
      <w:r w:rsidDel="00000000" w:rsidR="00000000" w:rsidRPr="00000000">
        <w:rPr>
          <w:rFonts w:ascii="Palatino Linotype" w:cs="Palatino Linotype" w:eastAsia="Palatino Linotype" w:hAnsi="Palatino Linotype"/>
          <w:sz w:val="24"/>
          <w:szCs w:val="24"/>
          <w:rtl w:val="0"/>
        </w:rPr>
        <w:t xml:space="preserve">I, reciben el carácter de potestativos, en sentido contrario, el resto de los requisitos </w:t>
      </w:r>
      <w:r w:rsidDel="00000000" w:rsidR="00000000" w:rsidRPr="00000000">
        <w:rPr>
          <w:rFonts w:ascii="Palatino Linotype" w:cs="Palatino Linotype" w:eastAsia="Palatino Linotype" w:hAnsi="Palatino Linotype"/>
          <w:b w:val="1"/>
          <w:sz w:val="24"/>
          <w:szCs w:val="24"/>
          <w:rtl w:val="0"/>
        </w:rPr>
        <w:t xml:space="preserve">–englobando la modalidad de entrega- </w:t>
      </w:r>
      <w:r w:rsidDel="00000000" w:rsidR="00000000" w:rsidRPr="00000000">
        <w:rPr>
          <w:rFonts w:ascii="Palatino Linotype" w:cs="Palatino Linotype" w:eastAsia="Palatino Linotype" w:hAnsi="Palatino Linotype"/>
          <w:sz w:val="24"/>
          <w:szCs w:val="24"/>
          <w:rtl w:val="0"/>
        </w:rPr>
        <w:t xml:space="preserve">referida en el párrafo tercero del precepto en cita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son imprescindibles para ejercer el derecho de acceso a datos personales.</w:t>
      </w:r>
    </w:p>
    <w:p w:rsidR="00000000" w:rsidDel="00000000" w:rsidP="00000000" w:rsidRDefault="00000000" w:rsidRPr="00000000" w14:paraId="00000029">
      <w:pPr>
        <w:tabs>
          <w:tab w:val="left" w:leader="none"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esta tesitura, conviene reiterar que en la resolución del presente asunto, el Pleno de este Instituto </w:t>
      </w:r>
      <w:r w:rsidDel="00000000" w:rsidR="00000000" w:rsidRPr="00000000">
        <w:rPr>
          <w:rFonts w:ascii="Palatino Linotype" w:cs="Palatino Linotype" w:eastAsia="Palatino Linotype" w:hAnsi="Palatino Linotype"/>
          <w:b w:val="1"/>
          <w:sz w:val="24"/>
          <w:szCs w:val="24"/>
          <w:u w:val="single"/>
          <w:rtl w:val="0"/>
        </w:rPr>
        <w:t xml:space="preserve">determinó ordenar la entrega del expediente catastral generado con la clave referida por la particular en la solicitud de acceso a datos personales., previa acreditación de su identidad en las oficinas del Sujeto Obligado, en la modalidad de copia certificada con costo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A">
      <w:pPr>
        <w:widowControl w:val="0"/>
        <w:spacing w:after="0" w:before="148" w:line="360" w:lineRule="auto"/>
        <w:ind w:right="50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es que se llega al punto en disenso, toda vez que quienes suscriben consideran que, si bien se debe ordenar la entrega de la información solicitada por el Recurrente en la modalidad solicitada, en copia certificada, ésta última tendría que ser entregada con costo conforme a las consideraciones que se exponen a continuación: </w:t>
      </w:r>
    </w:p>
    <w:p w:rsidR="00000000" w:rsidDel="00000000" w:rsidP="00000000" w:rsidRDefault="00000000" w:rsidRPr="00000000" w14:paraId="0000002B">
      <w:pPr>
        <w:widowControl w:val="0"/>
        <w:spacing w:after="0" w:before="148" w:line="360" w:lineRule="auto"/>
        <w:ind w:right="50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término, desde una perspectiva etimológica la palabra certificar proviene del latín certificare, forma verbal de certus (cierto, decidido, resuelto, seguro, real) y facere (hacer). Asimismo, la Real Academia Española la define como: </w:t>
      </w:r>
    </w:p>
    <w:p w:rsidR="00000000" w:rsidDel="00000000" w:rsidP="00000000" w:rsidRDefault="00000000" w:rsidRPr="00000000" w14:paraId="0000002C">
      <w:pPr>
        <w:widowControl w:val="0"/>
        <w:spacing w:after="0" w:before="148"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Asegurar, afirmar, dar por cierto algo. 2. Obtener, mediante pago, un certificado o resguardo por el cual el servicio de correos se obliga a hacer llegar a su destino una carta o un paquete que se ha de remitir por esa vía. 3. Dicho de una autoridad competente: Hacer constar por escrito una realidad de hecho. 4. Fijar, señalar con certeza” [Sic]</w:t>
      </w:r>
    </w:p>
    <w:p w:rsidR="00000000" w:rsidDel="00000000" w:rsidP="00000000" w:rsidRDefault="00000000" w:rsidRPr="00000000" w14:paraId="0000002D">
      <w:pPr>
        <w:widowControl w:val="0"/>
        <w:spacing w:after="0" w:before="148" w:line="360" w:lineRule="auto"/>
        <w:ind w:right="50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forma complementaria, Rafael de Pina (2013), en su obra </w:t>
      </w:r>
      <w:r w:rsidDel="00000000" w:rsidR="00000000" w:rsidRPr="00000000">
        <w:rPr>
          <w:rFonts w:ascii="Palatino Linotype" w:cs="Palatino Linotype" w:eastAsia="Palatino Linotype" w:hAnsi="Palatino Linotype"/>
          <w:i w:val="1"/>
          <w:sz w:val="24"/>
          <w:szCs w:val="24"/>
          <w:rtl w:val="0"/>
        </w:rPr>
        <w:t xml:space="preserve">“Diccionario de Derecho” </w:t>
      </w:r>
      <w:r w:rsidDel="00000000" w:rsidR="00000000" w:rsidRPr="00000000">
        <w:rPr>
          <w:rFonts w:ascii="Palatino Linotype" w:cs="Palatino Linotype" w:eastAsia="Palatino Linotype" w:hAnsi="Palatino Linotype"/>
          <w:sz w:val="24"/>
          <w:szCs w:val="24"/>
          <w:rtl w:val="0"/>
        </w:rPr>
        <w:t xml:space="preserve">delimita las fronteras conceptuales del término </w:t>
      </w:r>
      <w:r w:rsidDel="00000000" w:rsidR="00000000" w:rsidRPr="00000000">
        <w:rPr>
          <w:rFonts w:ascii="Palatino Linotype" w:cs="Palatino Linotype" w:eastAsia="Palatino Linotype" w:hAnsi="Palatino Linotype"/>
          <w:b w:val="1"/>
          <w:i w:val="1"/>
          <w:sz w:val="24"/>
          <w:szCs w:val="24"/>
          <w:rtl w:val="0"/>
        </w:rPr>
        <w:t xml:space="preserve">certificación, </w:t>
      </w:r>
      <w:r w:rsidDel="00000000" w:rsidR="00000000" w:rsidRPr="00000000">
        <w:rPr>
          <w:rFonts w:ascii="Palatino Linotype" w:cs="Palatino Linotype" w:eastAsia="Palatino Linotype" w:hAnsi="Palatino Linotype"/>
          <w:sz w:val="24"/>
          <w:szCs w:val="24"/>
          <w:rtl w:val="0"/>
        </w:rPr>
        <w:t xml:space="preserve">el cual se concibe en los siguientes términos:</w:t>
      </w:r>
    </w:p>
    <w:p w:rsidR="00000000" w:rsidDel="00000000" w:rsidP="00000000" w:rsidRDefault="00000000" w:rsidRPr="00000000" w14:paraId="0000002E">
      <w:pPr>
        <w:widowControl w:val="0"/>
        <w:spacing w:after="0" w:before="163" w:line="240"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“Acto jurídico por medio del cual un funcionario público, en el ejercicio de su cargo, da fe de la existencia de un hecho, acto o calidad personal de alguien, que le consta de manera indubitable, por razón de su oficio” (Sic)</w:t>
      </w:r>
    </w:p>
    <w:p w:rsidR="00000000" w:rsidDel="00000000" w:rsidP="00000000" w:rsidRDefault="00000000" w:rsidRPr="00000000" w14:paraId="0000002F">
      <w:pPr>
        <w:widowControl w:val="0"/>
        <w:spacing w:after="0" w:line="240" w:lineRule="auto"/>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0">
      <w:pPr>
        <w:widowControl w:val="0"/>
        <w:spacing w:after="0" w:before="189" w:line="360" w:lineRule="auto"/>
        <w:ind w:right="55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se arriba a la premisa de que la certificación de documentos es un acto materialmente administrativo, emitido por una autoridad competente, mediante el cual da fe respecto del lugar, tiempo y circunstancias derivadas de soportes documentales que obren en sus archivos.</w:t>
      </w:r>
    </w:p>
    <w:p w:rsidR="00000000" w:rsidDel="00000000" w:rsidP="00000000" w:rsidRDefault="00000000" w:rsidRPr="00000000" w14:paraId="00000031">
      <w:pPr>
        <w:widowControl w:val="0"/>
        <w:spacing w:after="0" w:before="24" w:line="360" w:lineRule="auto"/>
        <w:ind w:right="504"/>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widowControl w:val="0"/>
        <w:spacing w:after="0" w:before="24" w:line="360" w:lineRule="auto"/>
        <w:ind w:right="50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 certificación de documentos es un acto materialmente administrativo, mediante el cual </w:t>
      </w:r>
      <w:r w:rsidDel="00000000" w:rsidR="00000000" w:rsidRPr="00000000">
        <w:rPr>
          <w:rFonts w:ascii="Palatino Linotype" w:cs="Palatino Linotype" w:eastAsia="Palatino Linotype" w:hAnsi="Palatino Linotype"/>
          <w:b w:val="1"/>
          <w:sz w:val="24"/>
          <w:szCs w:val="24"/>
          <w:u w:val="single"/>
          <w:rtl w:val="0"/>
        </w:rPr>
        <w:t xml:space="preserve">se da fe respecto del lugar, tiempo y circunstancias derivadas de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b w:val="1"/>
          <w:sz w:val="24"/>
          <w:szCs w:val="24"/>
          <w:u w:val="single"/>
          <w:rtl w:val="0"/>
        </w:rPr>
        <w:t xml:space="preserve">soportes documentales que obran en sus archivos.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tl w:val="0"/>
        </w:rPr>
      </w:r>
    </w:p>
    <w:p w:rsidR="00000000" w:rsidDel="00000000" w:rsidP="00000000" w:rsidRDefault="00000000" w:rsidRPr="00000000" w14:paraId="00000033">
      <w:pPr>
        <w:widowControl w:val="0"/>
        <w:spacing w:after="0" w:before="163" w:line="360" w:lineRule="auto"/>
        <w:ind w:right="55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sentado lo anterior, resulta oportuno traer a colación el artículo 31, fracción IV, de la Constitución Política de los Estados Unidos Mexicanos cuyo contenido literal es el siguiente:</w:t>
      </w:r>
    </w:p>
    <w:p w:rsidR="00000000" w:rsidDel="00000000" w:rsidP="00000000" w:rsidRDefault="00000000" w:rsidRPr="00000000" w14:paraId="00000034">
      <w:pPr>
        <w:widowControl w:val="0"/>
        <w:spacing w:after="0" w:line="2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5">
      <w:pPr>
        <w:widowControl w:val="0"/>
        <w:spacing w:after="0" w:line="240" w:lineRule="auto"/>
        <w:ind w:left="567" w:right="99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31. </w:t>
      </w:r>
      <w:r w:rsidDel="00000000" w:rsidR="00000000" w:rsidRPr="00000000">
        <w:rPr>
          <w:rFonts w:ascii="Palatino Linotype" w:cs="Palatino Linotype" w:eastAsia="Palatino Linotype" w:hAnsi="Palatino Linotype"/>
          <w:i w:val="1"/>
          <w:rtl w:val="0"/>
        </w:rPr>
        <w:t xml:space="preserve">Son obligaciones de los mexicanos:</w:t>
      </w:r>
    </w:p>
    <w:p w:rsidR="00000000" w:rsidDel="00000000" w:rsidP="00000000" w:rsidRDefault="00000000" w:rsidRPr="00000000" w14:paraId="00000036">
      <w:pPr>
        <w:widowControl w:val="0"/>
        <w:spacing w:after="0" w:before="1" w:line="296" w:lineRule="auto"/>
        <w:ind w:left="567" w:right="99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7">
      <w:pPr>
        <w:widowControl w:val="0"/>
        <w:spacing w:after="0" w:line="240" w:lineRule="auto"/>
        <w:ind w:left="567" w:right="99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u w:val="single"/>
          <w:rtl w:val="0"/>
        </w:rPr>
        <w:t xml:space="preserve">IV. Contribuir para los gastos públicos, así de la Federación, como de 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Estados, de la Ciudad de México y del Municipio en que residan, de 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manera proporcional y equitativa que dispongan las leyes</w:t>
      </w:r>
      <w:r w:rsidDel="00000000" w:rsidR="00000000" w:rsidRPr="00000000">
        <w:rPr>
          <w:rtl w:val="0"/>
        </w:rPr>
      </w:r>
    </w:p>
    <w:p w:rsidR="00000000" w:rsidDel="00000000" w:rsidP="00000000" w:rsidRDefault="00000000" w:rsidRPr="00000000" w14:paraId="00000038">
      <w:pPr>
        <w:widowControl w:val="0"/>
        <w:spacing w:after="0" w:line="240" w:lineRule="auto"/>
        <w:ind w:left="567" w:right="99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9">
      <w:pPr>
        <w:widowControl w:val="0"/>
        <w:spacing w:after="0" w:before="1" w:line="240" w:lineRule="auto"/>
        <w:ind w:left="567" w:right="99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3A">
      <w:pPr>
        <w:widowControl w:val="0"/>
        <w:spacing w:after="0" w:before="24" w:line="360" w:lineRule="auto"/>
        <w:ind w:right="503"/>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B">
      <w:pPr>
        <w:widowControl w:val="0"/>
        <w:spacing w:after="0" w:before="24" w:line="360" w:lineRule="auto"/>
        <w:ind w:right="50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atención a lo descrito, se vislumbra la existencia de una obligación impuesta  por nuestro texto constitucional a todo ciudadano mexicano para contribuir a los gastos públicos, lo anterior en atención a los principios de:</w:t>
      </w:r>
    </w:p>
    <w:p w:rsidR="00000000" w:rsidDel="00000000" w:rsidP="00000000" w:rsidRDefault="00000000" w:rsidRPr="00000000" w14:paraId="0000003C">
      <w:pPr>
        <w:widowControl w:val="0"/>
        <w:spacing w:after="0" w:line="2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widowControl w:val="0"/>
        <w:numPr>
          <w:ilvl w:val="0"/>
          <w:numId w:val="2"/>
        </w:numPr>
        <w:tabs>
          <w:tab w:val="left" w:leader="none" w:pos="1585"/>
        </w:tabs>
        <w:spacing w:after="0" w:before="163" w:line="360" w:lineRule="auto"/>
        <w:ind w:left="567" w:right="508" w:hanging="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Proporcionalidad: </w:t>
      </w:r>
      <w:r w:rsidDel="00000000" w:rsidR="00000000" w:rsidRPr="00000000">
        <w:rPr>
          <w:rFonts w:ascii="Palatino Linotype" w:cs="Palatino Linotype" w:eastAsia="Palatino Linotype" w:hAnsi="Palatino Linotype"/>
          <w:sz w:val="24"/>
          <w:szCs w:val="24"/>
          <w:rtl w:val="0"/>
        </w:rPr>
        <w:t xml:space="preserve">Que cada ciudadano tribute de acuerdo con su riqueza, ingresos o posibilidades económicas y que dicha aportación sea la mínima posible para no ahuyentar o empobrecer al contribuyente.</w:t>
      </w:r>
    </w:p>
    <w:p w:rsidR="00000000" w:rsidDel="00000000" w:rsidP="00000000" w:rsidRDefault="00000000" w:rsidRPr="00000000" w14:paraId="0000003E">
      <w:pPr>
        <w:widowControl w:val="0"/>
        <w:numPr>
          <w:ilvl w:val="0"/>
          <w:numId w:val="2"/>
        </w:numPr>
        <w:tabs>
          <w:tab w:val="left" w:leader="none" w:pos="2006"/>
        </w:tabs>
        <w:spacing w:after="0" w:line="360" w:lineRule="auto"/>
        <w:ind w:left="567" w:right="501" w:hanging="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Equidad: </w:t>
      </w:r>
      <w:r w:rsidDel="00000000" w:rsidR="00000000" w:rsidRPr="00000000">
        <w:rPr>
          <w:rFonts w:ascii="Palatino Linotype" w:cs="Palatino Linotype" w:eastAsia="Palatino Linotype" w:hAnsi="Palatino Linotype"/>
          <w:sz w:val="24"/>
          <w:szCs w:val="24"/>
          <w:rtl w:val="0"/>
        </w:rPr>
        <w:t xml:space="preserve">Que el impacto del gravamen sea el mismo para todas las personas físicas o morales colocadas en la misma circunstancia contributiva, trato igual frente a sujetos iguales y desiguales entre desiguales.</w:t>
      </w:r>
    </w:p>
    <w:p w:rsidR="00000000" w:rsidDel="00000000" w:rsidP="00000000" w:rsidRDefault="00000000" w:rsidRPr="00000000" w14:paraId="0000003F">
      <w:pPr>
        <w:widowControl w:val="0"/>
        <w:numPr>
          <w:ilvl w:val="0"/>
          <w:numId w:val="2"/>
        </w:numPr>
        <w:tabs>
          <w:tab w:val="left" w:leader="none" w:pos="1946"/>
        </w:tabs>
        <w:spacing w:after="0" w:line="324" w:lineRule="auto"/>
        <w:ind w:left="567" w:hanging="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Destino: </w:t>
      </w:r>
      <w:r w:rsidDel="00000000" w:rsidR="00000000" w:rsidRPr="00000000">
        <w:rPr>
          <w:rFonts w:ascii="Palatino Linotype" w:cs="Palatino Linotype" w:eastAsia="Palatino Linotype" w:hAnsi="Palatino Linotype"/>
          <w:sz w:val="24"/>
          <w:szCs w:val="24"/>
          <w:rtl w:val="0"/>
        </w:rPr>
        <w:t xml:space="preserve">Para el sostenimiento de los gastos públicos.</w:t>
      </w:r>
    </w:p>
    <w:p w:rsidR="00000000" w:rsidDel="00000000" w:rsidP="00000000" w:rsidRDefault="00000000" w:rsidRPr="00000000" w14:paraId="00000040">
      <w:pPr>
        <w:widowControl w:val="0"/>
        <w:numPr>
          <w:ilvl w:val="0"/>
          <w:numId w:val="2"/>
        </w:numPr>
        <w:tabs>
          <w:tab w:val="left" w:leader="none" w:pos="1946"/>
        </w:tabs>
        <w:spacing w:after="0" w:before="164" w:line="240" w:lineRule="auto"/>
        <w:ind w:left="567" w:hanging="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Legalidad: </w:t>
      </w:r>
      <w:r w:rsidDel="00000000" w:rsidR="00000000" w:rsidRPr="00000000">
        <w:rPr>
          <w:rFonts w:ascii="Palatino Linotype" w:cs="Palatino Linotype" w:eastAsia="Palatino Linotype" w:hAnsi="Palatino Linotype"/>
          <w:sz w:val="24"/>
          <w:szCs w:val="24"/>
          <w:rtl w:val="0"/>
        </w:rPr>
        <w:t xml:space="preserve">La contribución invariablemente debe de estar prevista en ley.</w:t>
      </w:r>
    </w:p>
    <w:p w:rsidR="00000000" w:rsidDel="00000000" w:rsidP="00000000" w:rsidRDefault="00000000" w:rsidRPr="00000000" w14:paraId="00000041">
      <w:pPr>
        <w:widowControl w:val="0"/>
        <w:numPr>
          <w:ilvl w:val="0"/>
          <w:numId w:val="2"/>
        </w:numPr>
        <w:tabs>
          <w:tab w:val="left" w:leader="none" w:pos="1946"/>
        </w:tabs>
        <w:spacing w:after="0" w:before="161" w:line="240" w:lineRule="auto"/>
        <w:ind w:left="567" w:hanging="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Época de pago: </w:t>
      </w:r>
      <w:r w:rsidDel="00000000" w:rsidR="00000000" w:rsidRPr="00000000">
        <w:rPr>
          <w:rFonts w:ascii="Palatino Linotype" w:cs="Palatino Linotype" w:eastAsia="Palatino Linotype" w:hAnsi="Palatino Linotype"/>
          <w:sz w:val="24"/>
          <w:szCs w:val="24"/>
          <w:rtl w:val="0"/>
        </w:rPr>
        <w:t xml:space="preserve">Conforme a lo establecido en la normatividad aplicable.</w:t>
      </w:r>
    </w:p>
    <w:p w:rsidR="00000000" w:rsidDel="00000000" w:rsidP="00000000" w:rsidRDefault="00000000" w:rsidRPr="00000000" w14:paraId="00000042">
      <w:pPr>
        <w:widowControl w:val="0"/>
        <w:spacing w:after="0" w:line="240" w:lineRule="auto"/>
        <w:rPr>
          <w:rFonts w:ascii="Palatino Linotype" w:cs="Palatino Linotype" w:eastAsia="Palatino Linotype" w:hAnsi="Palatino Linotype"/>
          <w:sz w:val="30"/>
          <w:szCs w:val="30"/>
        </w:rPr>
      </w:pPr>
      <w:r w:rsidDel="00000000" w:rsidR="00000000" w:rsidRPr="00000000">
        <w:rPr>
          <w:rtl w:val="0"/>
        </w:rPr>
      </w:r>
    </w:p>
    <w:p w:rsidR="00000000" w:rsidDel="00000000" w:rsidP="00000000" w:rsidRDefault="00000000" w:rsidRPr="00000000" w14:paraId="00000043">
      <w:pPr>
        <w:widowControl w:val="0"/>
        <w:spacing w:after="0" w:before="244" w:line="360" w:lineRule="auto"/>
        <w:ind w:right="50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tenor, es menester tomar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difusión de la información financiera relativa a la presupuestario, ejercicio, evaluación y rendición de cuentas, en apego a las disposiciones aplicables en la materia.</w:t>
      </w:r>
    </w:p>
    <w:p w:rsidR="00000000" w:rsidDel="00000000" w:rsidP="00000000" w:rsidRDefault="00000000" w:rsidRPr="00000000" w14:paraId="00000044">
      <w:pPr>
        <w:widowControl w:val="0"/>
        <w:spacing w:after="0" w:before="244" w:line="360" w:lineRule="auto"/>
        <w:ind w:right="50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el artículo 7 del Código Financiero del Estado de México y Municipios establece que, para cubrir el gasto público y demás obligaciones a su cargo, el Estado y los Municipios percibirán en cada ejercicio fiscal </w:t>
      </w:r>
      <w:r w:rsidDel="00000000" w:rsidR="00000000" w:rsidRPr="00000000">
        <w:rPr>
          <w:rFonts w:ascii="Palatino Linotype" w:cs="Palatino Linotype" w:eastAsia="Palatino Linotype" w:hAnsi="Palatino Linotype"/>
          <w:b w:val="1"/>
          <w:sz w:val="24"/>
          <w:szCs w:val="24"/>
          <w:rtl w:val="0"/>
        </w:rPr>
        <w:t xml:space="preserve">los impuestos, derechos, aportaciones de mejoras, productos, aprovechamientos, ingresos derivados de la coordinación hacendaria, e ingresos provenientes de financiamientos, establecidos en la Ley de Ingresos. </w:t>
      </w:r>
      <w:r w:rsidDel="00000000" w:rsidR="00000000" w:rsidRPr="00000000">
        <w:rPr>
          <w:rtl w:val="0"/>
        </w:rPr>
      </w:r>
    </w:p>
    <w:p w:rsidR="00000000" w:rsidDel="00000000" w:rsidP="00000000" w:rsidRDefault="00000000" w:rsidRPr="00000000" w14:paraId="00000045">
      <w:pPr>
        <w:widowControl w:val="0"/>
        <w:spacing w:after="0" w:before="24" w:line="360" w:lineRule="auto"/>
        <w:ind w:right="50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6">
      <w:pPr>
        <w:widowControl w:val="0"/>
        <w:spacing w:after="0" w:before="13" w:line="360" w:lineRule="auto"/>
        <w:ind w:right="28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rsidR="00000000" w:rsidDel="00000000" w:rsidP="00000000" w:rsidRDefault="00000000" w:rsidRPr="00000000" w14:paraId="00000047">
      <w:pPr>
        <w:widowControl w:val="0"/>
        <w:spacing w:after="0" w:before="24" w:line="360" w:lineRule="auto"/>
        <w:ind w:right="502"/>
        <w:jc w:val="both"/>
        <w:rPr>
          <w:rFonts w:ascii="Palatino Linotype" w:cs="Palatino Linotype" w:eastAsia="Palatino Linotype" w:hAnsi="Palatino Linotype"/>
          <w:sz w:val="35"/>
          <w:szCs w:val="35"/>
        </w:rPr>
      </w:pPr>
      <w:r w:rsidDel="00000000" w:rsidR="00000000" w:rsidRPr="00000000">
        <w:rPr>
          <w:rtl w:val="0"/>
        </w:rPr>
      </w:r>
    </w:p>
    <w:p w:rsidR="00000000" w:rsidDel="00000000" w:rsidP="00000000" w:rsidRDefault="00000000" w:rsidRPr="00000000" w14:paraId="00000048">
      <w:pPr>
        <w:widowControl w:val="0"/>
        <w:spacing w:after="0" w:before="24" w:line="360" w:lineRule="auto"/>
        <w:ind w:right="50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se advierte que, respecto de los costos de reproducción, como fue mencionado, el Código Financiero del Estado de México y Municipios establece que  el </w:t>
      </w:r>
      <w:r w:rsidDel="00000000" w:rsidR="00000000" w:rsidRPr="00000000">
        <w:rPr>
          <w:rFonts w:ascii="Palatino Linotype" w:cs="Palatino Linotype" w:eastAsia="Palatino Linotype" w:hAnsi="Palatino Linotype"/>
          <w:b w:val="1"/>
          <w:sz w:val="24"/>
          <w:szCs w:val="24"/>
          <w:rtl w:val="0"/>
        </w:rPr>
        <w:t xml:space="preserve">pago de derechos corresponde a la recepción de un servicio </w:t>
      </w:r>
      <w:r w:rsidDel="00000000" w:rsidR="00000000" w:rsidRPr="00000000">
        <w:rPr>
          <w:rFonts w:ascii="Palatino Linotype" w:cs="Palatino Linotype" w:eastAsia="Palatino Linotype" w:hAnsi="Palatino Linotype"/>
          <w:sz w:val="24"/>
          <w:szCs w:val="24"/>
          <w:rtl w:val="0"/>
        </w:rPr>
        <w:t xml:space="preserve">que presta el Estado en sus funciones de derecho público, entre los que se encuentra la expedición de copias certificadas.</w:t>
      </w:r>
    </w:p>
    <w:p w:rsidR="00000000" w:rsidDel="00000000" w:rsidP="00000000" w:rsidRDefault="00000000" w:rsidRPr="00000000" w14:paraId="00000049">
      <w:pPr>
        <w:widowControl w:val="0"/>
        <w:spacing w:after="0" w:before="13" w:line="240" w:lineRule="auto"/>
        <w:rPr>
          <w:rFonts w:ascii="Palatino Linotype" w:cs="Palatino Linotype" w:eastAsia="Palatino Linotype" w:hAnsi="Palatino Linotype"/>
          <w:sz w:val="35"/>
          <w:szCs w:val="35"/>
        </w:rPr>
      </w:pPr>
      <w:r w:rsidDel="00000000" w:rsidR="00000000" w:rsidRPr="00000000">
        <w:rPr>
          <w:rtl w:val="0"/>
        </w:rPr>
      </w:r>
    </w:p>
    <w:p w:rsidR="00000000" w:rsidDel="00000000" w:rsidP="00000000" w:rsidRDefault="00000000" w:rsidRPr="00000000" w14:paraId="0000004A">
      <w:pPr>
        <w:widowControl w:val="0"/>
        <w:spacing w:after="0" w:line="360" w:lineRule="auto"/>
        <w:ind w:right="50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la modalidad seleccionada por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se encuentra regulada por el Código Financiero del Estado de México y Municipios en su artículo  148 fracción II, porción normativa que dispone a la literalidad lo siguiente: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91200" cy="3638550"/>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912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after="0" w:line="360" w:lineRule="auto"/>
        <w:ind w:right="50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se tiene que el cobro por copias certificadas es un derecho que cobran el Estado y sus organismos y su destino es cubrir el gasto público y demás obligaciones a su cargo, por lo cual, al eximir del pago a la particular, en el caso en concreto al Recurrente, se ocasiona un perjuicio al ente público, pues se le está privando de la ganancia lícita que debiera haberse obtenido con el cumplimiento de la obligación del solicitante a realizar el pago establecido en el artículo 73, del multicitado Código Financiero.</w:t>
      </w:r>
    </w:p>
    <w:p w:rsidR="00000000" w:rsidDel="00000000" w:rsidP="00000000" w:rsidRDefault="00000000" w:rsidRPr="00000000" w14:paraId="0000004D">
      <w:pPr>
        <w:widowControl w:val="0"/>
        <w:spacing w:after="0" w:line="360" w:lineRule="auto"/>
        <w:ind w:right="50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widowControl w:val="0"/>
        <w:spacing w:after="0" w:line="360" w:lineRule="auto"/>
        <w:ind w:right="50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forma complementaria, resulta aplicable el artículo 50 de la Ley General de Protección de Datos Personales en Posesión de Sujetos Obligados, así como su diverso, el artículo 107 de la Ley de Protección de Datos Personales en Posesión de Sujetos Obligados del Estado de México y Municipio, los cuales en su contenido establecen lo siguiente: </w:t>
      </w:r>
    </w:p>
    <w:p w:rsidR="00000000" w:rsidDel="00000000" w:rsidP="00000000" w:rsidRDefault="00000000" w:rsidRPr="00000000" w14:paraId="0000004F">
      <w:pPr>
        <w:widowControl w:val="0"/>
        <w:spacing w:after="0" w:line="360" w:lineRule="auto"/>
        <w:ind w:right="50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0">
      <w:pPr>
        <w:widowControl w:val="0"/>
        <w:spacing w:after="0" w:line="276" w:lineRule="auto"/>
        <w:ind w:left="567" w:right="99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“Artículo 50. El ejercicio de los derechos ARCO deberá ser gratuito. </w:t>
      </w:r>
      <w:r w:rsidDel="00000000" w:rsidR="00000000" w:rsidRPr="00000000">
        <w:rPr>
          <w:rFonts w:ascii="Palatino Linotype" w:cs="Palatino Linotype" w:eastAsia="Palatino Linotype" w:hAnsi="Palatino Linotype"/>
          <w:b w:val="1"/>
          <w:i w:val="1"/>
          <w:rtl w:val="0"/>
        </w:rPr>
        <w:t xml:space="preserve">Sólo podrán realizarse cobros para recuperar los costos de reproducción, certificación o envío, conforme a la normatividad que resulte aplicable. </w:t>
      </w:r>
    </w:p>
    <w:p w:rsidR="00000000" w:rsidDel="00000000" w:rsidP="00000000" w:rsidRDefault="00000000" w:rsidRPr="00000000" w14:paraId="00000051">
      <w:pPr>
        <w:widowControl w:val="0"/>
        <w:spacing w:after="0"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52">
      <w:pPr>
        <w:widowControl w:val="0"/>
        <w:spacing w:after="0"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deberá ser entregada sin costo, cuando implique la entrega de no más de veinte hojas simples. Las unidades de transparencia podrán exceptuar el pago de reproducción y envío atendiendo a las circunstancias socioeconómicas del titular.;</w:t>
      </w:r>
    </w:p>
    <w:p w:rsidR="00000000" w:rsidDel="00000000" w:rsidP="00000000" w:rsidRDefault="00000000" w:rsidRPr="00000000" w14:paraId="00000053">
      <w:pPr>
        <w:widowControl w:val="0"/>
        <w:spacing w:after="0"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54">
      <w:pPr>
        <w:widowControl w:val="0"/>
        <w:spacing w:after="0" w:line="276" w:lineRule="auto"/>
        <w:ind w:left="567" w:right="99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Gratuidad en el Ejercicio de los Derechos ARCO </w:t>
      </w:r>
    </w:p>
    <w:p w:rsidR="00000000" w:rsidDel="00000000" w:rsidP="00000000" w:rsidRDefault="00000000" w:rsidRPr="00000000" w14:paraId="00000055">
      <w:pPr>
        <w:widowControl w:val="0"/>
        <w:spacing w:after="0" w:line="276" w:lineRule="auto"/>
        <w:ind w:left="567" w:right="99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Artículo 107. El ejercicio de los derechos ARCO deberá ser gratuito. </w:t>
      </w:r>
      <w:r w:rsidDel="00000000" w:rsidR="00000000" w:rsidRPr="00000000">
        <w:rPr>
          <w:rFonts w:ascii="Palatino Linotype" w:cs="Palatino Linotype" w:eastAsia="Palatino Linotype" w:hAnsi="Palatino Linotype"/>
          <w:b w:val="1"/>
          <w:i w:val="1"/>
          <w:rtl w:val="0"/>
        </w:rPr>
        <w:t xml:space="preserve">Sólo podrán realizarse cobros para recuperar los costos de reproducción, certificación o envío en los términos previstos por el Código Financiero del Estado de México y Municipios y demás disposiciones jurídicas aplicables. En ningún caso el pago de derechos deberá exceder el costo de reproducción, certificación o de envío. </w:t>
      </w:r>
    </w:p>
    <w:p w:rsidR="00000000" w:rsidDel="00000000" w:rsidP="00000000" w:rsidRDefault="00000000" w:rsidRPr="00000000" w14:paraId="00000056">
      <w:pPr>
        <w:widowControl w:val="0"/>
        <w:spacing w:after="0"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57">
      <w:pPr>
        <w:widowControl w:val="0"/>
        <w:spacing w:after="0" w:line="276"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La información deberá ser entregada sin costo, cuando implique la entrega de no más de veinte hojas simples</w:t>
      </w:r>
      <w:r w:rsidDel="00000000" w:rsidR="00000000" w:rsidRPr="00000000">
        <w:rPr>
          <w:rFonts w:ascii="Palatino Linotype" w:cs="Palatino Linotype" w:eastAsia="Palatino Linotype" w:hAnsi="Palatino Linotype"/>
          <w:i w:val="1"/>
          <w:rtl w:val="0"/>
        </w:rPr>
        <w:t xml:space="preserve">. Las unidades de transparencia podrán exceptuar el pago de reproducción y envío atendiendo a las circunstancias socioeconómicas del titular.”</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58">
      <w:pPr>
        <w:widowControl w:val="0"/>
        <w:spacing w:after="0" w:line="360" w:lineRule="auto"/>
        <w:ind w:right="50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widowControl w:val="0"/>
        <w:spacing w:after="0" w:line="360" w:lineRule="auto"/>
        <w:ind w:right="503"/>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En virtud de lo anterior, resulta inconcuso que la certificación de documentos configura un servicio que presta el Estado en sus funciones de derecho público, de ahí que resulte necesario la recuperación de tales gastos, en el caso en particular, mediante el pago de un derecho establecido en la normatividad aplicable, </w:t>
      </w:r>
      <w:r w:rsidDel="00000000" w:rsidR="00000000" w:rsidRPr="00000000">
        <w:rPr>
          <w:rFonts w:ascii="Palatino Linotype" w:cs="Palatino Linotype" w:eastAsia="Palatino Linotype" w:hAnsi="Palatino Linotype"/>
          <w:b w:val="1"/>
          <w:sz w:val="24"/>
          <w:szCs w:val="24"/>
          <w:u w:val="single"/>
          <w:rtl w:val="0"/>
        </w:rPr>
        <w:t xml:space="preserve">el cual invariablemente no podrá ser desestimado, condonado o inaplicado, pues conforme a la normatividad previamente referida se reconoce la imposición de un gravamen incluso con independencia del número de fojas, por cuanto hace a la expedición de copias certificadas, ya que del precepto en cita, solo se afirma la gratuidad cuando implique la entrega de no más de veinte hojas para el supuesto de la expedición de copias simples.</w:t>
      </w:r>
    </w:p>
    <w:p w:rsidR="00000000" w:rsidDel="00000000" w:rsidP="00000000" w:rsidRDefault="00000000" w:rsidRPr="00000000" w14:paraId="0000005A">
      <w:pPr>
        <w:widowControl w:val="0"/>
        <w:spacing w:after="0" w:before="164" w:line="360" w:lineRule="auto"/>
        <w:ind w:right="50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conviene señalar lo estipulado por el Poder Judicial de la Federación a través de la tesis aislada con número de registro </w:t>
      </w:r>
      <w:r w:rsidDel="00000000" w:rsidR="00000000" w:rsidRPr="00000000">
        <w:rPr>
          <w:rFonts w:ascii="Palatino Linotype" w:cs="Palatino Linotype" w:eastAsia="Palatino Linotype" w:hAnsi="Palatino Linotype"/>
          <w:b w:val="1"/>
          <w:sz w:val="24"/>
          <w:szCs w:val="24"/>
          <w:rtl w:val="0"/>
        </w:rPr>
        <w:t xml:space="preserve">2007573 </w:t>
      </w:r>
      <w:r w:rsidDel="00000000" w:rsidR="00000000" w:rsidRPr="00000000">
        <w:rPr>
          <w:rFonts w:ascii="Palatino Linotype" w:cs="Palatino Linotype" w:eastAsia="Palatino Linotype" w:hAnsi="Palatino Linotype"/>
          <w:sz w:val="24"/>
          <w:szCs w:val="24"/>
          <w:rtl w:val="0"/>
        </w:rPr>
        <w:t xml:space="preserve">de la Décima Época, sustentada por la Segunda Sala de la Suprema Corte de Justicia de la Nación, órgano colegiado que se ha pronunciado en cuanto al control constitucional concentrado o difuso en los términos siguientes:</w:t>
      </w:r>
    </w:p>
    <w:p w:rsidR="00000000" w:rsidDel="00000000" w:rsidP="00000000" w:rsidRDefault="00000000" w:rsidRPr="00000000" w14:paraId="0000005B">
      <w:pPr>
        <w:widowControl w:val="0"/>
        <w:spacing w:after="0" w:before="13" w:line="240" w:lineRule="auto"/>
        <w:rPr>
          <w:rFonts w:ascii="Palatino Linotype" w:cs="Palatino Linotype" w:eastAsia="Palatino Linotype" w:hAnsi="Palatino Linotype"/>
          <w:sz w:val="35"/>
          <w:szCs w:val="35"/>
        </w:rPr>
      </w:pPr>
      <w:r w:rsidDel="00000000" w:rsidR="00000000" w:rsidRPr="00000000">
        <w:rPr>
          <w:rtl w:val="0"/>
        </w:rPr>
      </w:r>
    </w:p>
    <w:p w:rsidR="00000000" w:rsidDel="00000000" w:rsidP="00000000" w:rsidRDefault="00000000" w:rsidRPr="00000000" w14:paraId="0000005C">
      <w:pPr>
        <w:widowControl w:val="0"/>
        <w:spacing w:after="0" w:line="240" w:lineRule="auto"/>
        <w:ind w:left="567" w:right="135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“CONTROL CONSTITUCIONAL CONCENTRADO O DIFUSO. LAS AUTORIDADES ADMINISTRATIVAS NO ESTÁN FACULTADAS PARA REALIZARLO.</w:t>
      </w:r>
    </w:p>
    <w:p w:rsidR="00000000" w:rsidDel="00000000" w:rsidP="00000000" w:rsidRDefault="00000000" w:rsidRPr="00000000" w14:paraId="0000005D">
      <w:pPr>
        <w:widowControl w:val="0"/>
        <w:spacing w:after="0" w:before="1" w:line="240" w:lineRule="auto"/>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5E">
      <w:pPr>
        <w:widowControl w:val="0"/>
        <w:spacing w:after="0" w:line="240" w:lineRule="auto"/>
        <w:ind w:left="567" w:right="135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artículo </w:t>
      </w:r>
      <w:r w:rsidDel="00000000" w:rsidR="00000000" w:rsidRPr="00000000">
        <w:rPr>
          <w:rFonts w:ascii="Palatino Linotype" w:cs="Palatino Linotype" w:eastAsia="Palatino Linotype" w:hAnsi="Palatino Linotype"/>
          <w:i w:val="1"/>
          <w:color w:val="007aff"/>
          <w:u w:val="single"/>
          <w:rtl w:val="0"/>
        </w:rPr>
        <w:t xml:space="preserve">1o. de la Constitución Política de los Estados Unidos Mexicanos</w:t>
      </w:r>
      <w:r w:rsidDel="00000000" w:rsidR="00000000" w:rsidRPr="00000000">
        <w:rPr>
          <w:rFonts w:ascii="Palatino Linotype" w:cs="Palatino Linotype" w:eastAsia="Palatino Linotype" w:hAnsi="Palatino Linotype"/>
          <w:i w:val="1"/>
          <w:color w:val="007aff"/>
          <w:rtl w:val="0"/>
        </w:rPr>
        <w:t xml:space="preserve"> </w:t>
      </w:r>
      <w:r w:rsidDel="00000000" w:rsidR="00000000" w:rsidRPr="00000000">
        <w:rPr>
          <w:rFonts w:ascii="Palatino Linotype" w:cs="Palatino Linotype" w:eastAsia="Palatino Linotype" w:hAnsi="Palatino Linotype"/>
          <w:i w:val="1"/>
          <w:rtl w:val="0"/>
        </w:rPr>
        <w:t xml:space="preserve">establece que todas las autoridades, en el ámbito de sus competencias, deben cumplir con una serie de obligaciones en materia de derechos humanos. Sin embargo, en términos de la tesis </w:t>
      </w:r>
      <w:hyperlink r:id="rId8">
        <w:r w:rsidDel="00000000" w:rsidR="00000000" w:rsidRPr="00000000">
          <w:rPr>
            <w:rFonts w:ascii="Palatino Linotype" w:cs="Palatino Linotype" w:eastAsia="Palatino Linotype" w:hAnsi="Palatino Linotype"/>
            <w:i w:val="1"/>
            <w:color w:val="007aff"/>
            <w:u w:val="single"/>
            <w:rtl w:val="0"/>
          </w:rPr>
          <w:t xml:space="preserve">P. LXIX/2011 (9a.) </w:t>
        </w:r>
      </w:hyperlink>
      <w:r w:rsidDel="00000000" w:rsidR="00000000" w:rsidRPr="00000000">
        <w:rPr>
          <w:rFonts w:ascii="Palatino Linotype" w:cs="Palatino Linotype" w:eastAsia="Palatino Linotype" w:hAnsi="Palatino Linotype"/>
          <w:i w:val="1"/>
          <w:rtl w:val="0"/>
        </w:rPr>
        <w:t xml:space="preserve">(*), del Tribunal Pleno de la Suprema Corte de Justicia de la Nación, </w:t>
      </w:r>
      <w:r w:rsidDel="00000000" w:rsidR="00000000" w:rsidRPr="00000000">
        <w:rPr>
          <w:rFonts w:ascii="Palatino Linotype" w:cs="Palatino Linotype" w:eastAsia="Palatino Linotype" w:hAnsi="Palatino Linotype"/>
          <w:b w:val="1"/>
          <w:i w:val="1"/>
          <w:u w:val="single"/>
          <w:rtl w:val="0"/>
        </w:rPr>
        <w:t xml:space="preserve">las autoridades administrativas no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están facultadas para realizar algún tipo de control constitucional, sea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concentrado o difuso; es decir, no pueden declarar la invalidez de un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determinado precepto e inaplicarlo, ni siquiera bajo el argumento de una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reparación de derechos humanos,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ya que ello implicaría desatender los requisitos de procedencia señalados por las leyes para interponer un medio de defensa, y que deben cumplirse de manera previa a un pronunciamiento de fondo del asunto. En todo caso, han de interpretar las disposiciones jurídicas en el sentido más favorable a las personas, pero sin que ello llegue a descuidar las facultades y funciones que deben desempeñar en atención a sus ámbitos competenciales. Aceptar lo contrario, generaría incertidumbre jurídica en franca contravención a otros  derechos humanos como los de legalidad, debido proceso y seguridad jurídica, previstos en los artículos </w:t>
      </w:r>
      <w:r w:rsidDel="00000000" w:rsidR="00000000" w:rsidRPr="00000000">
        <w:rPr>
          <w:rFonts w:ascii="Palatino Linotype" w:cs="Palatino Linotype" w:eastAsia="Palatino Linotype" w:hAnsi="Palatino Linotype"/>
          <w:i w:val="1"/>
          <w:color w:val="007aff"/>
          <w:u w:val="single"/>
          <w:rtl w:val="0"/>
        </w:rPr>
        <w:t xml:space="preserve">14 y 16 constitucionales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F">
      <w:pPr>
        <w:widowControl w:val="0"/>
        <w:spacing w:after="0" w:line="240" w:lineRule="auto"/>
        <w:ind w:left="567" w:right="135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0">
      <w:pPr>
        <w:widowControl w:val="0"/>
        <w:spacing w:after="0" w:line="240" w:lineRule="auto"/>
        <w:ind w:left="567" w:right="135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directo en revisión 1640/2014. Ramón Enrique Luque Félix. 13 de agosto de 2014. Unanimidad de cuatro votos de los Ministros Alberto Pérez Dayán, José Fernando Franco González Salas, Margarita Beatriz Luna Ramos y Luis María Aguilar Morales. Ausente: Sergio A. Valls Hernández. Ponente: José Fernando Franco González Salas. Secretarios: Maura Angélica Sanabria Martínez y Everardo Maya Arias.”</w:t>
      </w:r>
    </w:p>
    <w:p w:rsidR="00000000" w:rsidDel="00000000" w:rsidP="00000000" w:rsidRDefault="00000000" w:rsidRPr="00000000" w14:paraId="00000061">
      <w:pPr>
        <w:widowControl w:val="0"/>
        <w:spacing w:after="0" w:line="240" w:lineRule="auto"/>
        <w:ind w:right="1354"/>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 (Énfasis añadido)</w:t>
      </w:r>
    </w:p>
    <w:p w:rsidR="00000000" w:rsidDel="00000000" w:rsidP="00000000" w:rsidRDefault="00000000" w:rsidRPr="00000000" w14:paraId="00000062">
      <w:pPr>
        <w:widowControl w:val="0"/>
        <w:spacing w:after="0" w:before="190" w:line="360" w:lineRule="auto"/>
        <w:ind w:right="49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base en lo anteriormente expuesto, a consideración de quienes suscriben, en la resolución emitida se debió haber considerado que, si bien es cierto, se afectó a la particular al no tener respuesta por parte del Sujeto Obligado,  esto no debió ser motivo suficiente para exceptuar del pago correspondiente a la expedición de las copias certificadas solicitadas por la particular, toda vez que este mismo así lo pidió en su solicitud de acceso a datos personales, además de que es una obligación establecida por el Código Financiero, Ley de Protección de Datos Personales en Posesión de Sujetos Obligados del Estado de México y Municipios y demás normatividad aplicable; lo cual, de no cumplirse, genera un perjuicio al municipio, pues representa una fuente de ingreso con la que se pretende cubrir su gasto público y demás obligaciones.</w:t>
      </w:r>
    </w:p>
    <w:p w:rsidR="00000000" w:rsidDel="00000000" w:rsidP="00000000" w:rsidRDefault="00000000" w:rsidRPr="00000000" w14:paraId="00000063">
      <w:pPr>
        <w:widowControl w:val="0"/>
        <w:spacing w:after="0" w:line="360" w:lineRule="auto"/>
        <w:ind w:right="49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widowControl w:val="0"/>
        <w:spacing w:after="0" w:line="360" w:lineRule="auto"/>
        <w:ind w:right="49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este voto particular se emite con la intención de que se tome en cuenta                          que exceptuar a los particulares del pago de los derechos en favor de los sujetos obligados establecidos en la normatividad aplicable, tiene como consecuencia un menoscabo en el ingreso de éstos últimos, pues no solo se produce un perjuicio a los  sujetos obligados, sino que se les obliga a cubrir con sus propios recursos los costos generados por los servicios que se le solicitó, en el caso en concreto, la expedición de copias certificadas, generando en consecuencia, un detrimento al erario público.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2400300</wp:posOffset>
                </wp:positionV>
                <wp:extent cx="5391150" cy="5476875"/>
                <wp:effectExtent b="0" l="0" r="0" t="0"/>
                <wp:wrapNone/>
                <wp:docPr id="13" name=""/>
                <a:graphic>
                  <a:graphicData uri="http://schemas.microsoft.com/office/word/2010/wordprocessingShape">
                    <wps:wsp>
                      <wps:cNvCnPr/>
                      <wps:spPr>
                        <a:xfrm>
                          <a:off x="2655188" y="1046325"/>
                          <a:ext cx="5381625" cy="5467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2400300</wp:posOffset>
                </wp:positionV>
                <wp:extent cx="5391150" cy="5476875"/>
                <wp:effectExtent b="0" l="0" r="0" t="0"/>
                <wp:wrapNone/>
                <wp:docPr id="1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391150" cy="5476875"/>
                        </a:xfrm>
                        <a:prstGeom prst="rect"/>
                        <a:ln/>
                      </pic:spPr>
                    </pic:pic>
                  </a:graphicData>
                </a:graphic>
              </wp:anchor>
            </w:drawing>
          </mc:Fallback>
        </mc:AlternateContent>
      </w:r>
    </w:p>
    <w:p w:rsidR="00000000" w:rsidDel="00000000" w:rsidP="00000000" w:rsidRDefault="00000000" w:rsidRPr="00000000" w14:paraId="00000065">
      <w:pPr>
        <w:spacing w:after="240" w:before="240" w:line="360" w:lineRule="auto"/>
        <w:ind w:right="-3"/>
        <w:jc w:val="both"/>
        <w:rPr>
          <w:rFonts w:ascii="Palatino Linotype" w:cs="Palatino Linotype" w:eastAsia="Palatino Linotype" w:hAnsi="Palatino Linotype"/>
          <w:sz w:val="24"/>
          <w:szCs w:val="24"/>
        </w:rPr>
        <w:sectPr>
          <w:headerReference r:id="rId10" w:type="default"/>
          <w:headerReference r:id="rId11" w:type="even"/>
          <w:footerReference r:id="rId12" w:type="default"/>
          <w:pgSz w:h="15840" w:w="12240" w:orient="portrait"/>
          <w:pgMar w:bottom="2836" w:top="1871" w:left="1985" w:right="1327" w:header="709" w:footer="586"/>
          <w:pgNumType w:start="1"/>
        </w:sect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6">
      <w:pPr>
        <w:spacing w:after="240" w:before="240" w:line="360" w:lineRule="auto"/>
        <w:ind w:right="423"/>
        <w:jc w:val="both"/>
        <w:rPr>
          <w:rFonts w:ascii="Palatino Linotype" w:cs="Palatino Linotype" w:eastAsia="Palatino Linotype" w:hAnsi="Palatino Linotype"/>
          <w:sz w:val="24"/>
          <w:szCs w:val="24"/>
        </w:rPr>
      </w:pPr>
      <w:r w:rsidDel="00000000" w:rsidR="00000000" w:rsidRPr="00000000">
        <w:rPr>
          <w:rtl w:val="0"/>
        </w:rPr>
      </w:r>
    </w:p>
    <w:sectPr>
      <w:headerReference r:id="rId13" w:type="default"/>
      <w:type w:val="nextPage"/>
      <w:pgSz w:h="15840" w:w="12240" w:orient="portrait"/>
      <w:pgMar w:bottom="2836" w:top="1871" w:left="1985" w:right="1327" w:header="709" w:footer="58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-1096622</wp:posOffset>
          </wp:positionH>
          <wp:positionV relativeFrom="paragraph">
            <wp:posOffset>-434356</wp:posOffset>
          </wp:positionV>
          <wp:extent cx="7521053" cy="9897494"/>
          <wp:effectExtent b="0" l="0" r="0" t="0"/>
          <wp:wrapNone/>
          <wp:docPr id="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21053" cy="9897494"/>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VOTO PARTICULAR CONCURRENTE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RECURSO DE REVISIÓN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04279/INFOEM/AD/RR/2022.</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4667488" cy="4667488"/>
              <wp:effectExtent b="0" l="0" r="0" t="0"/>
              <wp:wrapNone/>
              <wp:docPr id="14" name=""/>
              <a:graphic>
                <a:graphicData uri="http://schemas.microsoft.com/office/word/2010/wordprocessingShape">
                  <wps:wsp>
                    <wps:cNvSpPr/>
                    <wps:cNvPr id="3" name="Shape 3"/>
                    <wps:spPr>
                      <a:xfrm rot="-2700000">
                        <a:off x="2440875" y="3394238"/>
                        <a:ext cx="5810250" cy="7715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ed7d31"/>
                              <w:sz w:val="144"/>
                              <w:vertAlign w:val="baseline"/>
                            </w:rPr>
                            <w:t xml:space="preserve">VOTO DISIDENTE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4667488" cy="4667488"/>
              <wp:effectExtent b="0" l="0" r="0" t="0"/>
              <wp:wrapNone/>
              <wp:docPr id="1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667488" cy="4667488"/>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1945" w:hanging="360"/>
      </w:pPr>
      <w:rPr>
        <w:rFonts w:ascii="Noto Sans Symbols" w:cs="Noto Sans Symbols" w:eastAsia="Noto Sans Symbols" w:hAnsi="Noto Sans Symbols"/>
        <w:sz w:val="24"/>
        <w:szCs w:val="24"/>
      </w:rPr>
    </w:lvl>
    <w:lvl w:ilvl="1">
      <w:start w:val="0"/>
      <w:numFmt w:val="bullet"/>
      <w:lvlText w:val="•"/>
      <w:lvlJc w:val="left"/>
      <w:pPr>
        <w:ind w:left="2806" w:hanging="360"/>
      </w:pPr>
      <w:rPr/>
    </w:lvl>
    <w:lvl w:ilvl="2">
      <w:start w:val="0"/>
      <w:numFmt w:val="bullet"/>
      <w:lvlText w:val="•"/>
      <w:lvlJc w:val="left"/>
      <w:pPr>
        <w:ind w:left="3672" w:hanging="360"/>
      </w:pPr>
      <w:rPr/>
    </w:lvl>
    <w:lvl w:ilvl="3">
      <w:start w:val="0"/>
      <w:numFmt w:val="bullet"/>
      <w:lvlText w:val="•"/>
      <w:lvlJc w:val="left"/>
      <w:pPr>
        <w:ind w:left="4538" w:hanging="360"/>
      </w:pPr>
      <w:rPr/>
    </w:lvl>
    <w:lvl w:ilvl="4">
      <w:start w:val="0"/>
      <w:numFmt w:val="bullet"/>
      <w:lvlText w:val="•"/>
      <w:lvlJc w:val="left"/>
      <w:pPr>
        <w:ind w:left="5404" w:hanging="360"/>
      </w:pPr>
      <w:rPr/>
    </w:lvl>
    <w:lvl w:ilvl="5">
      <w:start w:val="0"/>
      <w:numFmt w:val="bullet"/>
      <w:lvlText w:val="•"/>
      <w:lvlJc w:val="left"/>
      <w:pPr>
        <w:ind w:left="6270" w:hanging="360"/>
      </w:pPr>
      <w:rPr/>
    </w:lvl>
    <w:lvl w:ilvl="6">
      <w:start w:val="0"/>
      <w:numFmt w:val="bullet"/>
      <w:lvlText w:val="•"/>
      <w:lvlJc w:val="left"/>
      <w:pPr>
        <w:ind w:left="7136" w:hanging="360"/>
      </w:pPr>
      <w:rPr/>
    </w:lvl>
    <w:lvl w:ilvl="7">
      <w:start w:val="0"/>
      <w:numFmt w:val="bullet"/>
      <w:lvlText w:val="•"/>
      <w:lvlJc w:val="left"/>
      <w:pPr>
        <w:ind w:left="8002" w:hanging="360"/>
      </w:pPr>
      <w:rPr/>
    </w:lvl>
    <w:lvl w:ilvl="8">
      <w:start w:val="0"/>
      <w:numFmt w:val="bullet"/>
      <w:lvlText w:val="•"/>
      <w:lvlJc w:val="left"/>
      <w:pPr>
        <w:ind w:left="8868" w:hanging="36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07BA"/>
    <w:pPr>
      <w:spacing w:line="256" w:lineRule="auto"/>
    </w:pPr>
  </w:style>
  <w:style w:type="paragraph" w:styleId="Ttulo1">
    <w:name w:val="heading 1"/>
    <w:basedOn w:val="Normal"/>
    <w:next w:val="Normal"/>
    <w:link w:val="Ttulo1Car"/>
    <w:uiPriority w:val="9"/>
    <w:qFormat w:val="1"/>
    <w:rsid w:val="00BE6AD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EncabezadoCar" w:customStyle="1">
    <w:name w:val="Encabezado Car"/>
    <w:basedOn w:val="Fuentedeprrafopredeter"/>
    <w:link w:val="Encabezado"/>
    <w:uiPriority w:val="99"/>
    <w:rsid w:val="000607B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PiedepginaCar" w:customStyle="1">
    <w:name w:val="Pie de página Car"/>
    <w:basedOn w:val="Fuentedeprrafopredeter"/>
    <w:link w:val="Piedepgina"/>
    <w:uiPriority w:val="99"/>
    <w:rsid w:val="000607BA"/>
    <w:rPr>
      <w:rFonts w:ascii="Times New Roman" w:cs="Times New Roman" w:eastAsia="Times New Roman" w:hAnsi="Times New Roman"/>
      <w:sz w:val="24"/>
      <w:szCs w:val="24"/>
      <w:lang w:eastAsia="es-ES" w:val="es-ES"/>
    </w:rPr>
  </w:style>
  <w:style w:type="paragraph" w:styleId="NormalWeb">
    <w:name w:val="Normal (Web)"/>
    <w:basedOn w:val="Normal"/>
    <w:uiPriority w:val="99"/>
    <w:rsid w:val="000607BA"/>
    <w:pPr>
      <w:spacing w:after="100" w:afterAutospacing="1" w:before="100" w:beforeAutospacing="1" w:line="240" w:lineRule="auto"/>
    </w:pPr>
    <w:rPr>
      <w:rFonts w:ascii="Times New Roman" w:cs="Times New Roman" w:eastAsia="Times New Roman" w:hAnsi="Times New Roman"/>
      <w:sz w:val="24"/>
      <w:szCs w:val="24"/>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0607BA"/>
    <w:pPr>
      <w:spacing w:after="0" w:line="240" w:lineRule="auto"/>
      <w:ind w:left="720"/>
      <w:contextualSpacing w:val="1"/>
    </w:pPr>
    <w:rPr>
      <w:rFonts w:ascii="Times New Roman" w:cs="Times New Roman" w:eastAsia="Calibri" w:hAnsi="Times New Roman"/>
      <w:sz w:val="24"/>
      <w:szCs w:val="24"/>
      <w:lang w:eastAsia="es-ES"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0607BA"/>
    <w:rPr>
      <w:rFonts w:ascii="Times New Roman" w:cs="Times New Roman" w:eastAsia="Calibri" w:hAnsi="Times New Roman"/>
      <w:sz w:val="24"/>
      <w:szCs w:val="24"/>
      <w:lang w:eastAsia="es-ES" w:val="es-ES"/>
    </w:rPr>
  </w:style>
  <w:style w:type="paragraph" w:styleId="Textodeglobo">
    <w:name w:val="Balloon Text"/>
    <w:basedOn w:val="Normal"/>
    <w:link w:val="TextodegloboCar"/>
    <w:uiPriority w:val="99"/>
    <w:semiHidden w:val="1"/>
    <w:unhideWhenUsed w:val="1"/>
    <w:rsid w:val="0045646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6467"/>
    <w:rPr>
      <w:rFonts w:ascii="Segoe UI" w:cs="Segoe UI" w:hAnsi="Segoe UI"/>
      <w:sz w:val="18"/>
      <w:szCs w:val="18"/>
    </w:rPr>
  </w:style>
  <w:style w:type="character" w:styleId="apple-converted-space" w:customStyle="1">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921613"/>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921613"/>
    <w:rPr>
      <w:vertAlign w:val="superscript"/>
    </w:rPr>
  </w:style>
  <w:style w:type="character" w:styleId="Hipervnculo">
    <w:name w:val="Hyperlink"/>
    <w:basedOn w:val="Fuentedeprrafopredeter"/>
    <w:uiPriority w:val="99"/>
    <w:semiHidden w:val="1"/>
    <w:unhideWhenUsed w:val="1"/>
    <w:rsid w:val="00696A57"/>
    <w:rPr>
      <w:color w:val="0000ff"/>
      <w:u w:val="single"/>
    </w:rPr>
  </w:style>
  <w:style w:type="paragraph" w:styleId="Textoindependiente">
    <w:name w:val="Body Text"/>
    <w:basedOn w:val="Normal"/>
    <w:link w:val="TextoindependienteCar"/>
    <w:uiPriority w:val="99"/>
    <w:semiHidden w:val="1"/>
    <w:unhideWhenUsed w:val="1"/>
    <w:rsid w:val="003B447D"/>
    <w:pPr>
      <w:spacing w:after="120"/>
    </w:pPr>
  </w:style>
  <w:style w:type="character" w:styleId="TextoindependienteCar" w:customStyle="1">
    <w:name w:val="Texto independiente Car"/>
    <w:basedOn w:val="Fuentedeprrafopredeter"/>
    <w:link w:val="Textoindependiente"/>
    <w:uiPriority w:val="99"/>
    <w:semiHidden w:val="1"/>
    <w:rsid w:val="003B447D"/>
  </w:style>
  <w:style w:type="character" w:styleId="Ttulo1Car" w:customStyle="1">
    <w:name w:val="Título 1 Car"/>
    <w:basedOn w:val="Fuentedeprrafopredeter"/>
    <w:link w:val="Ttulo1"/>
    <w:uiPriority w:val="9"/>
    <w:rsid w:val="00BE6ADF"/>
    <w:rPr>
      <w:rFonts w:asciiTheme="majorHAnsi" w:cstheme="majorBidi" w:eastAsiaTheme="majorEastAsia" w:hAnsiTheme="majorHAnsi"/>
      <w:color w:val="2e74b5"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header" Target="head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jf2.scjn.gob.mx/detalle/tesis/1605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bJYEhIjlSVhAgHNlh7GYVEZgFw==">CgMxLjAyCGguZ2pkZ3hzOAByITFFd0dBUG8yckhPNjhRS0MxeWRIbkYxaHJYRFo3SHpsMQ==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2022-08-15T18:37:00Z</dcterms:created>
  <dc:creator>USUARIO</dc:creator>
</cp:coreProperties>
</file>