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5FEC" w14:textId="0C37C449" w:rsidR="001537EB" w:rsidRDefault="00DA17EA">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LOS COMISIONADOS JOSÉ MARTÍNEZ VILCHIS Y GUADALUPE RAMÍREZ PEÑA, EN RELACIÓN CON LA RESOLUCIÓN DICTADA POR EL PLENO DEL INSTITUTO DE TRANSPARENCIA, ACCESO A LA INFORMACIÓN PÚBLICA Y PROTECCIÓN DE DATOS PERSONALES DEL ESTADO DE MÉXICO Y MUNICIPIOS, EN LA TRIGÉSIMA NOVENA SESIÓN ORDINARIA DEL PLENO DE FECHA, TRECE DE NOVIEMBRE DE DOS MIL VEINTICUATRO, EN EL RECURSO DE REVISIÓN 05639/INFOEM/AD/RR/2024.</w:t>
      </w:r>
    </w:p>
    <w:p w14:paraId="5BE0963B" w14:textId="77777777" w:rsidR="006419CB" w:rsidRDefault="006419CB">
      <w:pPr>
        <w:spacing w:after="0" w:line="360" w:lineRule="auto"/>
        <w:jc w:val="both"/>
        <w:rPr>
          <w:rFonts w:ascii="Palatino Linotype" w:eastAsia="Palatino Linotype" w:hAnsi="Palatino Linotype" w:cs="Palatino Linotype"/>
          <w:b/>
        </w:rPr>
      </w:pPr>
    </w:p>
    <w:p w14:paraId="1E303988" w14:textId="3D5B99BD" w:rsidR="006419CB" w:rsidRDefault="003B3654" w:rsidP="006419C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presente voto que realizan los suscritos, encuentra fundamento en lo dispuesto por el artículo 14, fracciones X y XI, del Reglamento del Instituto de Transparencia, Acceso a la Información Pública y Protección de Datos Personales del Estado de México, en atención a que de acuerdo a las actuaciones que integran </w:t>
      </w:r>
      <w:r w:rsidR="006419CB">
        <w:rPr>
          <w:rFonts w:ascii="Palatino Linotype" w:eastAsia="Palatino Linotype" w:hAnsi="Palatino Linotype" w:cs="Palatino Linotype"/>
        </w:rPr>
        <w:t>el expediente electrónico del recurso de revisión indicado</w:t>
      </w:r>
      <w:r>
        <w:rPr>
          <w:rFonts w:ascii="Palatino Linotype" w:eastAsia="Palatino Linotype" w:hAnsi="Palatino Linotype" w:cs="Palatino Linotype"/>
        </w:rPr>
        <w:t xml:space="preserve">, se considera necesario hacer valer las siguientes manifestaciones lógico- jurídicas que debieron impactarse en la resolución aprobada. </w:t>
      </w:r>
    </w:p>
    <w:p w14:paraId="390D7BDF" w14:textId="77777777" w:rsidR="006419CB" w:rsidRDefault="006419CB" w:rsidP="006419CB">
      <w:pPr>
        <w:spacing w:after="0" w:line="360" w:lineRule="auto"/>
        <w:jc w:val="both"/>
        <w:rPr>
          <w:rFonts w:ascii="Palatino Linotype" w:eastAsia="Palatino Linotype" w:hAnsi="Palatino Linotype" w:cs="Palatino Linotype"/>
        </w:rPr>
      </w:pPr>
    </w:p>
    <w:p w14:paraId="7D5267F8" w14:textId="3B1BEADA" w:rsidR="001537EB" w:rsidRDefault="003B3654" w:rsidP="006419C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precisar que, si bien se comparte el sentido general de la resolución, se difiere en que se haya ordenado </w:t>
      </w:r>
      <w:r w:rsidRPr="006419CB">
        <w:rPr>
          <w:rFonts w:ascii="Palatino Linotype" w:eastAsia="Palatino Linotype" w:hAnsi="Palatino Linotype" w:cs="Palatino Linotype"/>
        </w:rPr>
        <w:t>eximir a la parte</w:t>
      </w:r>
      <w:r>
        <w:rPr>
          <w:rFonts w:ascii="Palatino Linotype" w:eastAsia="Palatino Linotype" w:hAnsi="Palatino Linotype" w:cs="Palatino Linotype"/>
          <w:b/>
        </w:rPr>
        <w:t xml:space="preserve"> Recurrente </w:t>
      </w:r>
      <w:r w:rsidRPr="006419CB">
        <w:rPr>
          <w:rFonts w:ascii="Palatino Linotype" w:eastAsia="Palatino Linotype" w:hAnsi="Palatino Linotype" w:cs="Palatino Linotype"/>
        </w:rPr>
        <w:t xml:space="preserve">del pago de derechos por la expedición de </w:t>
      </w:r>
      <w:r>
        <w:rPr>
          <w:rFonts w:ascii="Palatino Linotype" w:eastAsia="Palatino Linotype" w:hAnsi="Palatino Linotype" w:cs="Palatino Linotype"/>
          <w:b/>
        </w:rPr>
        <w:t>copias certificadas</w:t>
      </w:r>
      <w:r>
        <w:rPr>
          <w:rFonts w:ascii="Palatino Linotype" w:eastAsia="Palatino Linotype" w:hAnsi="Palatino Linotype" w:cs="Palatino Linotype"/>
        </w:rPr>
        <w:t>, por las siguientes consideraciones:</w:t>
      </w:r>
    </w:p>
    <w:p w14:paraId="5D6B7EAB" w14:textId="77777777" w:rsidR="001537EB" w:rsidRDefault="001537EB">
      <w:pPr>
        <w:spacing w:after="0" w:line="360" w:lineRule="auto"/>
        <w:jc w:val="both"/>
        <w:rPr>
          <w:rFonts w:ascii="Palatino Linotype" w:eastAsia="Palatino Linotype" w:hAnsi="Palatino Linotype" w:cs="Palatino Linotype"/>
        </w:rPr>
      </w:pPr>
    </w:p>
    <w:p w14:paraId="7FE73D69" w14:textId="77777777" w:rsidR="001537EB" w:rsidRDefault="003B3654" w:rsidP="006419CB">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primera instancia,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el Instituto coincide en que la entrega de la información deberá darse en copias certificadas, pues así expresó la persona solicitante que requería los soportes documentales, lo cierto también es que mediante estudio precisa que para el cálculo de dicho cobro deberán de exceptuarse las primeras veinte fojas. Lo anterior con base en el Criterio </w:t>
      </w:r>
      <w:r>
        <w:rPr>
          <w:rFonts w:ascii="Palatino Linotype" w:eastAsia="Palatino Linotype" w:hAnsi="Palatino Linotype" w:cs="Palatino Linotype"/>
        </w:rPr>
        <w:lastRenderedPageBreak/>
        <w:t>02/18 emitido por el Instituto Nacional de Transparencia, Acceso a la Información y Protección de Datos Personales (INAI) que señala a la literalidad lo siguiente:</w:t>
      </w:r>
    </w:p>
    <w:p w14:paraId="465D738B" w14:textId="77777777" w:rsidR="006419CB" w:rsidRDefault="006419CB" w:rsidP="00221F7A">
      <w:pPr>
        <w:tabs>
          <w:tab w:val="left" w:pos="709"/>
        </w:tabs>
        <w:spacing w:after="0" w:line="360" w:lineRule="auto"/>
        <w:contextualSpacing/>
        <w:jc w:val="both"/>
        <w:rPr>
          <w:rFonts w:ascii="Palatino Linotype" w:eastAsia="Palatino Linotype" w:hAnsi="Palatino Linotype" w:cs="Palatino Linotype"/>
        </w:rPr>
      </w:pPr>
    </w:p>
    <w:p w14:paraId="652BD66F" w14:textId="77777777" w:rsidR="001537EB" w:rsidRPr="00DA17EA" w:rsidRDefault="003B3654" w:rsidP="00DA17EA">
      <w:pPr>
        <w:tabs>
          <w:tab w:val="left" w:pos="709"/>
        </w:tabs>
        <w:spacing w:after="0" w:line="240" w:lineRule="auto"/>
        <w:ind w:left="567" w:right="990"/>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w:t>
      </w:r>
      <w:r w:rsidRPr="00DA17EA">
        <w:rPr>
          <w:rFonts w:ascii="Palatino Linotype" w:eastAsia="Palatino Linotype" w:hAnsi="Palatino Linotype" w:cs="Palatino Linotype"/>
          <w:b/>
          <w:i/>
          <w:sz w:val="20"/>
        </w:rPr>
        <w:t>Gratuidad de las primeras veinte hojas simples o certificadas</w:t>
      </w:r>
      <w:r w:rsidRPr="00DA17EA">
        <w:rPr>
          <w:rFonts w:ascii="Palatino Linotype" w:eastAsia="Palatino Linotype" w:hAnsi="Palatino Linotype" w:cs="Palatino Linotype"/>
          <w:i/>
          <w:sz w:val="20"/>
        </w:rPr>
        <w:t>.</w:t>
      </w:r>
    </w:p>
    <w:p w14:paraId="3DCDAF56" w14:textId="79ECCF7A" w:rsidR="006419CB" w:rsidRPr="00DA17EA" w:rsidRDefault="003B3654" w:rsidP="00DA17EA">
      <w:pPr>
        <w:tabs>
          <w:tab w:val="left" w:pos="709"/>
        </w:tabs>
        <w:spacing w:after="0" w:line="240" w:lineRule="auto"/>
        <w:ind w:left="567" w:right="990"/>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b/>
          <w:i/>
          <w:sz w:val="20"/>
        </w:rPr>
        <w:t>Cuando la entrega de los datos personales sea a través de copias simples o certificadas, las primeras veinte hojas serán sin costo</w:t>
      </w:r>
      <w:r w:rsidRPr="00DA17EA">
        <w:rPr>
          <w:rFonts w:ascii="Palatino Linotype" w:eastAsia="Palatino Linotype" w:hAnsi="Palatino Linotype" w:cs="Palatino Linotype"/>
          <w:i/>
          <w:sz w:val="20"/>
        </w:rPr>
        <w:t xml:space="preserve">” </w:t>
      </w:r>
    </w:p>
    <w:p w14:paraId="29A9241F" w14:textId="77777777" w:rsidR="00221F7A" w:rsidRPr="006419CB" w:rsidRDefault="00221F7A" w:rsidP="00221F7A">
      <w:pPr>
        <w:tabs>
          <w:tab w:val="left" w:pos="709"/>
        </w:tabs>
        <w:spacing w:after="0" w:line="360" w:lineRule="auto"/>
        <w:ind w:left="567" w:right="990"/>
        <w:contextualSpacing/>
        <w:jc w:val="both"/>
        <w:rPr>
          <w:rFonts w:ascii="Palatino Linotype" w:eastAsia="Palatino Linotype" w:hAnsi="Palatino Linotype" w:cs="Palatino Linotype"/>
          <w:i/>
        </w:rPr>
      </w:pPr>
    </w:p>
    <w:p w14:paraId="5D599471" w14:textId="77777777" w:rsidR="006419CB" w:rsidRPr="006419CB" w:rsidRDefault="006419CB" w:rsidP="00221F7A">
      <w:pPr>
        <w:tabs>
          <w:tab w:val="left" w:pos="709"/>
        </w:tabs>
        <w:spacing w:before="240" w:after="0" w:line="360" w:lineRule="auto"/>
        <w:contextualSpacing/>
        <w:jc w:val="both"/>
        <w:rPr>
          <w:rFonts w:ascii="Palatino Linotype" w:eastAsia="Palatino Linotype" w:hAnsi="Palatino Linotype" w:cs="Palatino Linotype"/>
          <w:sz w:val="2"/>
        </w:rPr>
      </w:pPr>
    </w:p>
    <w:p w14:paraId="50A0A7B7" w14:textId="3E4EEA34" w:rsidR="006419CB" w:rsidRDefault="003B3654" w:rsidP="00221F7A">
      <w:pPr>
        <w:tabs>
          <w:tab w:val="left" w:pos="709"/>
        </w:tabs>
        <w:spacing w:after="0"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Es por lo anteriormente citado que los suscritos emiten el presente voto, pues a nuestra consideración, debe ordenarse la entrega de la información solicitada por la </w:t>
      </w:r>
      <w:r w:rsidRPr="006419CB">
        <w:rPr>
          <w:rFonts w:ascii="Palatino Linotype" w:eastAsia="Palatino Linotype" w:hAnsi="Palatino Linotype" w:cs="Palatino Linotype"/>
        </w:rPr>
        <w:t>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en la modalidad solicitada, esto es vía copias certificadas </w:t>
      </w:r>
      <w:r w:rsidRPr="006419CB">
        <w:rPr>
          <w:rFonts w:ascii="Palatino Linotype" w:eastAsia="Palatino Linotype" w:hAnsi="Palatino Linotype" w:cs="Palatino Linotype"/>
          <w:i/>
        </w:rPr>
        <w:t>(con costo)</w:t>
      </w:r>
      <w:r>
        <w:rPr>
          <w:rFonts w:ascii="Palatino Linotype" w:eastAsia="Palatino Linotype" w:hAnsi="Palatino Linotype" w:cs="Palatino Linotype"/>
        </w:rPr>
        <w:t>, por lo que, con independencia del número de fojas, estas deberían cobrarse en su totalidad.</w:t>
      </w:r>
    </w:p>
    <w:p w14:paraId="747B94BE" w14:textId="77777777" w:rsidR="006419CB" w:rsidRDefault="006419CB" w:rsidP="006419CB">
      <w:pPr>
        <w:tabs>
          <w:tab w:val="left" w:pos="709"/>
        </w:tabs>
        <w:spacing w:after="0" w:line="360" w:lineRule="auto"/>
        <w:jc w:val="both"/>
        <w:rPr>
          <w:rFonts w:ascii="Palatino Linotype" w:eastAsia="Palatino Linotype" w:hAnsi="Palatino Linotype" w:cs="Palatino Linotype"/>
        </w:rPr>
      </w:pPr>
    </w:p>
    <w:p w14:paraId="3F3EE5FD" w14:textId="77777777" w:rsidR="001537EB" w:rsidRDefault="003B3654" w:rsidP="006419CB">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w:t>
      </w:r>
      <w:proofErr w:type="gramStart"/>
      <w:r>
        <w:rPr>
          <w:rFonts w:ascii="Palatino Linotype" w:eastAsia="Palatino Linotype" w:hAnsi="Palatino Linotype" w:cs="Palatino Linotype"/>
        </w:rPr>
        <w:t>sentido,  el</w:t>
      </w:r>
      <w:proofErr w:type="gramEnd"/>
      <w:r>
        <w:rPr>
          <w:rFonts w:ascii="Palatino Linotype" w:eastAsia="Palatino Linotype" w:hAnsi="Palatino Linotype" w:cs="Palatino Linotype"/>
        </w:rPr>
        <w:t xml:space="preserve"> artículo 110, de la Ley de Protección de Datos Personales en Posesión de Sujetos Obligados del Estado de México y Municipio, para presentar una solicitud para el ejercicio de derechos </w:t>
      </w:r>
      <w:r w:rsidRPr="006419CB">
        <w:rPr>
          <w:rFonts w:ascii="Palatino Linotype" w:eastAsia="Palatino Linotype" w:hAnsi="Palatino Linotype" w:cs="Palatino Linotype"/>
          <w:b/>
        </w:rPr>
        <w:t>ARCO</w:t>
      </w:r>
      <w:r>
        <w:rPr>
          <w:rFonts w:ascii="Palatino Linotype" w:eastAsia="Palatino Linotype" w:hAnsi="Palatino Linotype" w:cs="Palatino Linotype"/>
        </w:rPr>
        <w:t>, no se podrán exigir mayores requisitos que los siguientes:</w:t>
      </w:r>
    </w:p>
    <w:p w14:paraId="391CD7A0" w14:textId="77777777" w:rsidR="006419CB" w:rsidRDefault="006419CB" w:rsidP="006419CB">
      <w:pPr>
        <w:tabs>
          <w:tab w:val="left" w:pos="709"/>
        </w:tabs>
        <w:spacing w:after="0" w:line="360" w:lineRule="auto"/>
        <w:jc w:val="both"/>
        <w:rPr>
          <w:rFonts w:ascii="Palatino Linotype" w:eastAsia="Palatino Linotype" w:hAnsi="Palatino Linotype" w:cs="Palatino Linotype"/>
        </w:rPr>
      </w:pPr>
    </w:p>
    <w:p w14:paraId="6B09F0ED" w14:textId="77777777" w:rsidR="001537EB" w:rsidRPr="00DA17EA" w:rsidRDefault="003B3654" w:rsidP="00DA17EA">
      <w:pPr>
        <w:spacing w:after="0"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i/>
          <w:sz w:val="20"/>
          <w:szCs w:val="20"/>
        </w:rPr>
        <w:t>“</w:t>
      </w:r>
      <w:r w:rsidRPr="00DA17EA">
        <w:rPr>
          <w:rFonts w:ascii="Palatino Linotype" w:eastAsia="Palatino Linotype" w:hAnsi="Palatino Linotype" w:cs="Palatino Linotype"/>
          <w:b/>
          <w:i/>
          <w:sz w:val="20"/>
          <w:szCs w:val="20"/>
        </w:rPr>
        <w:t>I.</w:t>
      </w:r>
      <w:r w:rsidRPr="00DA17EA">
        <w:rPr>
          <w:rFonts w:ascii="Palatino Linotype" w:eastAsia="Palatino Linotype" w:hAnsi="Palatino Linotype" w:cs="Palatino Linotype"/>
          <w:i/>
          <w:sz w:val="20"/>
          <w:szCs w:val="20"/>
        </w:rPr>
        <w:t xml:space="preserve"> El nombre del titular y su domicilio, o cualquier otro medio para recibir notificaciones.</w:t>
      </w:r>
    </w:p>
    <w:p w14:paraId="776CA204" w14:textId="77777777" w:rsidR="001537EB" w:rsidRPr="00DA17EA" w:rsidRDefault="003B3654" w:rsidP="00DA17EA">
      <w:pPr>
        <w:spacing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b/>
          <w:i/>
          <w:sz w:val="20"/>
          <w:szCs w:val="20"/>
        </w:rPr>
        <w:t>II.</w:t>
      </w:r>
      <w:r w:rsidRPr="00DA17EA">
        <w:rPr>
          <w:rFonts w:ascii="Palatino Linotype" w:eastAsia="Palatino Linotype" w:hAnsi="Palatino Linotype" w:cs="Palatino Linotype"/>
          <w:i/>
          <w:sz w:val="20"/>
          <w:szCs w:val="20"/>
        </w:rPr>
        <w:t xml:space="preserve"> Los documentos que acrediten la identidad del titular y en su caso, la personalidad e identidad de su representante.</w:t>
      </w:r>
    </w:p>
    <w:p w14:paraId="1D905F47" w14:textId="2288D8DD" w:rsidR="001537EB" w:rsidRPr="00DA17EA" w:rsidRDefault="003B3654" w:rsidP="00DA17EA">
      <w:pPr>
        <w:spacing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b/>
          <w:i/>
          <w:color w:val="000000"/>
          <w:sz w:val="20"/>
          <w:szCs w:val="20"/>
        </w:rPr>
        <w:t>III.</w:t>
      </w:r>
      <w:r w:rsidR="006419CB" w:rsidRPr="00DA17EA">
        <w:rPr>
          <w:rFonts w:ascii="Palatino Linotype" w:eastAsia="Palatino Linotype" w:hAnsi="Palatino Linotype" w:cs="Palatino Linotype"/>
          <w:i/>
          <w:color w:val="000000"/>
          <w:sz w:val="20"/>
          <w:szCs w:val="20"/>
        </w:rPr>
        <w:t xml:space="preserve"> </w:t>
      </w:r>
      <w:r w:rsidRPr="00DA17EA">
        <w:rPr>
          <w:rFonts w:ascii="Palatino Linotype" w:eastAsia="Palatino Linotype" w:hAnsi="Palatino Linotype" w:cs="Palatino Linotype"/>
          <w:i/>
          <w:color w:val="000000"/>
          <w:sz w:val="20"/>
          <w:szCs w:val="20"/>
        </w:rPr>
        <w:t>De ser posible, el área responsable que trata los datos personales y ante el cual se presenta la solicitud.</w:t>
      </w:r>
    </w:p>
    <w:p w14:paraId="46A3E8F4" w14:textId="77777777" w:rsidR="001537EB" w:rsidRPr="00DA17EA" w:rsidRDefault="003B3654" w:rsidP="00DA17EA">
      <w:pPr>
        <w:spacing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b/>
          <w:i/>
          <w:sz w:val="20"/>
          <w:szCs w:val="20"/>
        </w:rPr>
        <w:t xml:space="preserve">IV. </w:t>
      </w:r>
      <w:r w:rsidRPr="00DA17EA">
        <w:rPr>
          <w:rFonts w:ascii="Palatino Linotype" w:eastAsia="Palatino Linotype" w:hAnsi="Palatino Linotype" w:cs="Palatino Linotype"/>
          <w:i/>
          <w:sz w:val="20"/>
          <w:szCs w:val="20"/>
        </w:rPr>
        <w:t xml:space="preserve">La descripción clara y precisa de los datos personales respecto de los que se busca ejercer alguno de los derechos </w:t>
      </w:r>
      <w:r w:rsidRPr="00DA17EA">
        <w:rPr>
          <w:rFonts w:ascii="Palatino Linotype" w:eastAsia="Palatino Linotype" w:hAnsi="Palatino Linotype" w:cs="Palatino Linotype"/>
          <w:b/>
          <w:i/>
          <w:sz w:val="20"/>
          <w:szCs w:val="20"/>
        </w:rPr>
        <w:t>ARCO</w:t>
      </w:r>
      <w:r w:rsidRPr="00DA17EA">
        <w:rPr>
          <w:rFonts w:ascii="Palatino Linotype" w:eastAsia="Palatino Linotype" w:hAnsi="Palatino Linotype" w:cs="Palatino Linotype"/>
          <w:i/>
          <w:sz w:val="20"/>
          <w:szCs w:val="20"/>
        </w:rPr>
        <w:t>, salvo que se trate del derecho de acceso.</w:t>
      </w:r>
    </w:p>
    <w:p w14:paraId="192CC165" w14:textId="77777777" w:rsidR="001537EB" w:rsidRPr="00DA17EA" w:rsidRDefault="003B3654" w:rsidP="00DA17EA">
      <w:pPr>
        <w:pBdr>
          <w:top w:val="nil"/>
          <w:left w:val="nil"/>
          <w:bottom w:val="nil"/>
          <w:right w:val="nil"/>
          <w:between w:val="nil"/>
        </w:pBdr>
        <w:spacing w:after="0" w:line="240" w:lineRule="auto"/>
        <w:ind w:left="567" w:right="990"/>
        <w:jc w:val="both"/>
        <w:rPr>
          <w:rFonts w:ascii="Palatino Linotype" w:eastAsia="Palatino Linotype" w:hAnsi="Palatino Linotype" w:cs="Palatino Linotype"/>
          <w:i/>
          <w:color w:val="000000"/>
          <w:sz w:val="20"/>
          <w:szCs w:val="20"/>
        </w:rPr>
      </w:pPr>
      <w:r w:rsidRPr="00DA17EA">
        <w:rPr>
          <w:rFonts w:ascii="Palatino Linotype" w:eastAsia="Palatino Linotype" w:hAnsi="Palatino Linotype" w:cs="Palatino Linotype"/>
          <w:b/>
          <w:i/>
          <w:color w:val="000000"/>
          <w:sz w:val="20"/>
          <w:szCs w:val="20"/>
        </w:rPr>
        <w:t>V.</w:t>
      </w:r>
      <w:r w:rsidRPr="00DA17EA">
        <w:rPr>
          <w:rFonts w:ascii="Palatino Linotype" w:eastAsia="Palatino Linotype" w:hAnsi="Palatino Linotype" w:cs="Palatino Linotype"/>
          <w:i/>
          <w:color w:val="000000"/>
          <w:sz w:val="20"/>
          <w:szCs w:val="20"/>
        </w:rPr>
        <w:t xml:space="preserve"> La descripción del derecho </w:t>
      </w:r>
      <w:r w:rsidRPr="00DA17EA">
        <w:rPr>
          <w:rFonts w:ascii="Palatino Linotype" w:eastAsia="Palatino Linotype" w:hAnsi="Palatino Linotype" w:cs="Palatino Linotype"/>
          <w:b/>
          <w:i/>
          <w:color w:val="000000"/>
          <w:sz w:val="20"/>
          <w:szCs w:val="20"/>
        </w:rPr>
        <w:t>ARCO</w:t>
      </w:r>
      <w:r w:rsidRPr="00DA17EA">
        <w:rPr>
          <w:rFonts w:ascii="Palatino Linotype" w:eastAsia="Palatino Linotype" w:hAnsi="Palatino Linotype" w:cs="Palatino Linotype"/>
          <w:i/>
          <w:color w:val="000000"/>
          <w:sz w:val="20"/>
          <w:szCs w:val="20"/>
        </w:rPr>
        <w:t xml:space="preserve"> que se pretende ejercer, o bien, lo que solicita el titular.</w:t>
      </w:r>
    </w:p>
    <w:p w14:paraId="6503F09E" w14:textId="77777777" w:rsidR="001537EB" w:rsidRPr="00DA17EA" w:rsidRDefault="003B3654" w:rsidP="00DA17EA">
      <w:pPr>
        <w:spacing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b/>
          <w:i/>
          <w:sz w:val="20"/>
          <w:szCs w:val="20"/>
        </w:rPr>
        <w:t>VI.</w:t>
      </w:r>
      <w:r w:rsidRPr="00DA17EA">
        <w:rPr>
          <w:rFonts w:ascii="Palatino Linotype" w:eastAsia="Palatino Linotype" w:hAnsi="Palatino Linotype" w:cs="Palatino Linotype"/>
          <w:i/>
          <w:sz w:val="20"/>
          <w:szCs w:val="20"/>
        </w:rPr>
        <w:t xml:space="preserve"> Cualquier otro elemento o documento que facilite la localización de los datos personales, en su caso.</w:t>
      </w:r>
    </w:p>
    <w:p w14:paraId="6332CEB0" w14:textId="77777777" w:rsidR="001537EB" w:rsidRPr="00DA17EA" w:rsidRDefault="003B3654" w:rsidP="00DA17EA">
      <w:pPr>
        <w:spacing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i/>
          <w:sz w:val="20"/>
          <w:szCs w:val="20"/>
        </w:rPr>
        <w:t>Tratándose del requisito de la fracción I, si es el caso del domicilio no se localiza dentro del Estado de México, las notificaciones se efectuarán por estrados.</w:t>
      </w:r>
    </w:p>
    <w:p w14:paraId="2F30285B" w14:textId="77777777" w:rsidR="001537EB" w:rsidRPr="00DA17EA" w:rsidRDefault="003B3654" w:rsidP="00DA17EA">
      <w:pPr>
        <w:spacing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i/>
          <w:sz w:val="20"/>
          <w:szCs w:val="20"/>
        </w:rPr>
        <w:lastRenderedPageBreak/>
        <w:t>De manera adicional, el titular podrá aportar pruebas para acreditar la procedencia de su solicitud.</w:t>
      </w:r>
    </w:p>
    <w:p w14:paraId="6588EC8B" w14:textId="77777777" w:rsidR="001537EB" w:rsidRPr="00DA17EA" w:rsidRDefault="003B3654" w:rsidP="00DA17EA">
      <w:pPr>
        <w:tabs>
          <w:tab w:val="left" w:pos="709"/>
        </w:tabs>
        <w:spacing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b/>
          <w:i/>
          <w:sz w:val="20"/>
          <w:szCs w:val="20"/>
        </w:rPr>
        <w:t xml:space="preserve">Tratándose de una solicitud de acceso a datos personales se señalará la modalidad en la que el titular prefiere se otorgue éste, la cual podrá ser </w:t>
      </w:r>
      <w:r w:rsidRPr="00DA17EA">
        <w:rPr>
          <w:rFonts w:ascii="Palatino Linotype" w:eastAsia="Palatino Linotype" w:hAnsi="Palatino Linotype" w:cs="Palatino Linotype"/>
          <w:i/>
          <w:sz w:val="20"/>
          <w:szCs w:val="20"/>
        </w:rPr>
        <w:t xml:space="preserve">por consulta directa, </w:t>
      </w:r>
      <w:r w:rsidRPr="00DA17EA">
        <w:rPr>
          <w:rFonts w:ascii="Palatino Linotype" w:eastAsia="Palatino Linotype" w:hAnsi="Palatino Linotype" w:cs="Palatino Linotype"/>
          <w:b/>
          <w:i/>
          <w:sz w:val="20"/>
          <w:szCs w:val="20"/>
        </w:rPr>
        <w:t>copias simples, certificadas</w:t>
      </w:r>
      <w:r w:rsidRPr="00DA17EA">
        <w:rPr>
          <w:rFonts w:ascii="Palatino Linotype" w:eastAsia="Palatino Linotype" w:hAnsi="Palatino Linotype" w:cs="Palatino Linotype"/>
          <w:i/>
          <w:sz w:val="20"/>
          <w:szCs w:val="20"/>
        </w:rPr>
        <w:t>, digitalizadas u otro tipo de medio electrónico.</w:t>
      </w:r>
    </w:p>
    <w:p w14:paraId="50E78742" w14:textId="77777777" w:rsidR="001537EB" w:rsidRPr="00DA17EA" w:rsidRDefault="003B3654" w:rsidP="00DA17EA">
      <w:pPr>
        <w:tabs>
          <w:tab w:val="left" w:pos="709"/>
        </w:tabs>
        <w:spacing w:after="0" w:line="240" w:lineRule="auto"/>
        <w:ind w:left="567" w:right="990"/>
        <w:jc w:val="both"/>
        <w:rPr>
          <w:rFonts w:ascii="Palatino Linotype" w:eastAsia="Palatino Linotype" w:hAnsi="Palatino Linotype" w:cs="Palatino Linotype"/>
          <w:i/>
          <w:sz w:val="20"/>
          <w:szCs w:val="20"/>
        </w:rPr>
      </w:pPr>
      <w:r w:rsidRPr="00DA17EA">
        <w:rPr>
          <w:rFonts w:ascii="Palatino Linotype" w:eastAsia="Palatino Linotype" w:hAnsi="Palatino Linotype" w:cs="Palatino Linotype"/>
          <w:b/>
          <w:i/>
          <w:sz w:val="20"/>
          <w:szCs w:val="20"/>
        </w:rPr>
        <w:t>El responsable deberá atender la solicitud en la modalidad requerida por el titular</w:t>
      </w:r>
      <w:r w:rsidRPr="00DA17EA">
        <w:rPr>
          <w:rFonts w:ascii="Palatino Linotype" w:eastAsia="Palatino Linotype" w:hAnsi="Palatino Linotype" w:cs="Palatino Linotype"/>
          <w:i/>
          <w:sz w:val="20"/>
          <w:szCs w:val="20"/>
        </w:rPr>
        <w:t>, salvo que exista una imposibilidad física o jurídica que lo limite a reproducir los datos personales en dicha modalidad, en este caso deberá ofrecer otras modalidades de entrega de los datos personales fundando y motivando dicha actuación.”</w:t>
      </w:r>
    </w:p>
    <w:p w14:paraId="099B6B18" w14:textId="77777777" w:rsidR="006419CB" w:rsidRDefault="006419CB" w:rsidP="006419CB">
      <w:pPr>
        <w:tabs>
          <w:tab w:val="left" w:pos="709"/>
        </w:tabs>
        <w:spacing w:after="0" w:line="360" w:lineRule="auto"/>
        <w:jc w:val="both"/>
        <w:rPr>
          <w:rFonts w:ascii="Palatino Linotype" w:eastAsia="Palatino Linotype" w:hAnsi="Palatino Linotype" w:cs="Palatino Linotype"/>
        </w:rPr>
      </w:pPr>
    </w:p>
    <w:p w14:paraId="1ABAE172" w14:textId="77777777" w:rsidR="006419CB" w:rsidRDefault="003B3654" w:rsidP="006419CB">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los numerales </w:t>
      </w:r>
      <w:r>
        <w:rPr>
          <w:rFonts w:ascii="Palatino Linotype" w:eastAsia="Palatino Linotype" w:hAnsi="Palatino Linotype" w:cs="Palatino Linotype"/>
          <w:b/>
        </w:rPr>
        <w:t>III y V</w:t>
      </w:r>
      <w:r>
        <w:rPr>
          <w:rFonts w:ascii="Palatino Linotype" w:eastAsia="Palatino Linotype" w:hAnsi="Palatino Linotype" w:cs="Palatino Linotype"/>
        </w:rPr>
        <w:t xml:space="preserve">I, reciben el carácter de potestativos, en sentido contrario, el resto de los requisitos </w:t>
      </w:r>
      <w:r>
        <w:rPr>
          <w:rFonts w:ascii="Palatino Linotype" w:eastAsia="Palatino Linotype" w:hAnsi="Palatino Linotype" w:cs="Palatino Linotype"/>
          <w:b/>
        </w:rPr>
        <w:t xml:space="preserve">–englobando la modalidad de entrega- </w:t>
      </w:r>
      <w:r>
        <w:rPr>
          <w:rFonts w:ascii="Palatino Linotype" w:eastAsia="Palatino Linotype" w:hAnsi="Palatino Linotype" w:cs="Palatino Linotype"/>
        </w:rPr>
        <w:t>referida en el párrafo tercero del precepto en cita</w:t>
      </w:r>
      <w:r>
        <w:rPr>
          <w:rFonts w:ascii="Palatino Linotype" w:eastAsia="Palatino Linotype" w:hAnsi="Palatino Linotype" w:cs="Palatino Linotype"/>
          <w:b/>
        </w:rPr>
        <w:t xml:space="preserve">, </w:t>
      </w:r>
      <w:r>
        <w:rPr>
          <w:rFonts w:ascii="Palatino Linotype" w:eastAsia="Palatino Linotype" w:hAnsi="Palatino Linotype" w:cs="Palatino Linotype"/>
        </w:rPr>
        <w:t>son imprescindibles para ejercer el derecho de acceso a datos personales.</w:t>
      </w:r>
    </w:p>
    <w:p w14:paraId="35094BB5" w14:textId="77777777" w:rsidR="006419CB" w:rsidRDefault="006419CB" w:rsidP="006419CB">
      <w:pPr>
        <w:tabs>
          <w:tab w:val="left" w:pos="709"/>
        </w:tabs>
        <w:spacing w:after="0" w:line="360" w:lineRule="auto"/>
        <w:jc w:val="both"/>
        <w:rPr>
          <w:rFonts w:ascii="Palatino Linotype" w:eastAsia="Palatino Linotype" w:hAnsi="Palatino Linotype" w:cs="Palatino Linotype"/>
        </w:rPr>
      </w:pPr>
    </w:p>
    <w:p w14:paraId="5B825563" w14:textId="77777777" w:rsidR="006419CB" w:rsidRDefault="003B3654" w:rsidP="006419CB">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es que se llega al punto en disenso, toda vez que quienes suscriben consideran que, si bien se debe ordenar la entrega de la información solicitada por la parte Recurrente en la modalidad solicitada, en copia certificada, ésta última tendría que ser entregada con costo conforme a las consideraciones que se exponen a continuación: </w:t>
      </w:r>
    </w:p>
    <w:p w14:paraId="103DFE80" w14:textId="77777777" w:rsidR="006419CB" w:rsidRDefault="006419CB" w:rsidP="006419CB">
      <w:pPr>
        <w:tabs>
          <w:tab w:val="left" w:pos="709"/>
        </w:tabs>
        <w:spacing w:after="0" w:line="360" w:lineRule="auto"/>
        <w:jc w:val="both"/>
        <w:rPr>
          <w:rFonts w:ascii="Palatino Linotype" w:eastAsia="Palatino Linotype" w:hAnsi="Palatino Linotype" w:cs="Palatino Linotype"/>
        </w:rPr>
      </w:pPr>
    </w:p>
    <w:p w14:paraId="5BB86D8C" w14:textId="3212A483" w:rsidR="001537EB" w:rsidRDefault="003B3654" w:rsidP="006419CB">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primer término, desde una perspectiva etimológica la palabra certificar proviene del latín certificare, forma verbal de </w:t>
      </w:r>
      <w:proofErr w:type="spellStart"/>
      <w:r>
        <w:rPr>
          <w:rFonts w:ascii="Palatino Linotype" w:eastAsia="Palatino Linotype" w:hAnsi="Palatino Linotype" w:cs="Palatino Linotype"/>
        </w:rPr>
        <w:t>certus</w:t>
      </w:r>
      <w:proofErr w:type="spellEnd"/>
      <w:r>
        <w:rPr>
          <w:rFonts w:ascii="Palatino Linotype" w:eastAsia="Palatino Linotype" w:hAnsi="Palatino Linotype" w:cs="Palatino Linotype"/>
        </w:rPr>
        <w:t xml:space="preserve"> (cierto, decidido, resuelto, seguro, real) y </w:t>
      </w:r>
      <w:proofErr w:type="spellStart"/>
      <w:r>
        <w:rPr>
          <w:rFonts w:ascii="Palatino Linotype" w:eastAsia="Palatino Linotype" w:hAnsi="Palatino Linotype" w:cs="Palatino Linotype"/>
        </w:rPr>
        <w:t>facere</w:t>
      </w:r>
      <w:proofErr w:type="spellEnd"/>
      <w:r>
        <w:rPr>
          <w:rFonts w:ascii="Palatino Linotype" w:eastAsia="Palatino Linotype" w:hAnsi="Palatino Linotype" w:cs="Palatino Linotype"/>
        </w:rPr>
        <w:t xml:space="preserve"> (hacer). Asimismo, la Real Academia Española la define como: </w:t>
      </w:r>
    </w:p>
    <w:p w14:paraId="2F554A2B" w14:textId="77777777" w:rsidR="006419CB" w:rsidRDefault="006419CB" w:rsidP="006419CB">
      <w:pPr>
        <w:tabs>
          <w:tab w:val="left" w:pos="709"/>
        </w:tabs>
        <w:spacing w:after="0" w:line="360" w:lineRule="auto"/>
        <w:jc w:val="both"/>
        <w:rPr>
          <w:rFonts w:ascii="Palatino Linotype" w:eastAsia="Palatino Linotype" w:hAnsi="Palatino Linotype" w:cs="Palatino Linotype"/>
        </w:rPr>
      </w:pPr>
    </w:p>
    <w:p w14:paraId="4D4F757E" w14:textId="77777777" w:rsidR="001537EB" w:rsidRDefault="003B3654" w:rsidP="00DA17EA">
      <w:pPr>
        <w:widowControl w:val="0"/>
        <w:spacing w:after="0" w:line="240" w:lineRule="auto"/>
        <w:ind w:left="567" w:right="990"/>
        <w:jc w:val="both"/>
        <w:rPr>
          <w:rFonts w:ascii="Palatino Linotype" w:eastAsia="Palatino Linotype" w:hAnsi="Palatino Linotype" w:cs="Palatino Linotype"/>
          <w:i/>
        </w:rPr>
      </w:pPr>
      <w:r w:rsidRPr="00DA17EA">
        <w:rPr>
          <w:rFonts w:ascii="Palatino Linotype" w:eastAsia="Palatino Linotype" w:hAnsi="Palatino Linotype" w:cs="Palatino Linotype"/>
          <w:i/>
          <w:sz w:val="20"/>
        </w:rPr>
        <w:t>“</w:t>
      </w:r>
      <w:r w:rsidRPr="00DA17EA">
        <w:rPr>
          <w:rFonts w:ascii="Palatino Linotype" w:eastAsia="Palatino Linotype" w:hAnsi="Palatino Linotype" w:cs="Palatino Linotype"/>
          <w:b/>
          <w:i/>
          <w:sz w:val="20"/>
        </w:rPr>
        <w:t>1.</w:t>
      </w:r>
      <w:r w:rsidRPr="00DA17EA">
        <w:rPr>
          <w:rFonts w:ascii="Palatino Linotype" w:eastAsia="Palatino Linotype" w:hAnsi="Palatino Linotype" w:cs="Palatino Linotype"/>
          <w:i/>
          <w:sz w:val="20"/>
        </w:rPr>
        <w:t xml:space="preserve"> Asegurar, afirmar, dar por cierto algo. </w:t>
      </w:r>
      <w:r w:rsidRPr="00DA17EA">
        <w:rPr>
          <w:rFonts w:ascii="Palatino Linotype" w:eastAsia="Palatino Linotype" w:hAnsi="Palatino Linotype" w:cs="Palatino Linotype"/>
          <w:b/>
          <w:i/>
          <w:sz w:val="20"/>
        </w:rPr>
        <w:t>2.</w:t>
      </w:r>
      <w:r w:rsidRPr="00DA17EA">
        <w:rPr>
          <w:rFonts w:ascii="Palatino Linotype" w:eastAsia="Palatino Linotype" w:hAnsi="Palatino Linotype" w:cs="Palatino Linotype"/>
          <w:i/>
          <w:sz w:val="20"/>
        </w:rPr>
        <w:t xml:space="preserve"> Obtener, mediante pago, un certificado o resguardo por el cual el servicio de correos se obliga a hacer llegar a su destino una carta o un paquete que se ha de remitir por esa vía. </w:t>
      </w:r>
      <w:r w:rsidRPr="00DA17EA">
        <w:rPr>
          <w:rFonts w:ascii="Palatino Linotype" w:eastAsia="Palatino Linotype" w:hAnsi="Palatino Linotype" w:cs="Palatino Linotype"/>
          <w:b/>
          <w:i/>
          <w:sz w:val="20"/>
        </w:rPr>
        <w:t>3.</w:t>
      </w:r>
      <w:r w:rsidRPr="00DA17EA">
        <w:rPr>
          <w:rFonts w:ascii="Palatino Linotype" w:eastAsia="Palatino Linotype" w:hAnsi="Palatino Linotype" w:cs="Palatino Linotype"/>
          <w:i/>
          <w:sz w:val="20"/>
        </w:rPr>
        <w:t xml:space="preserve"> Dicho de una autoridad competente: Hacer constar por escrito una realidad de hecho. </w:t>
      </w:r>
      <w:r w:rsidRPr="00DA17EA">
        <w:rPr>
          <w:rFonts w:ascii="Palatino Linotype" w:eastAsia="Palatino Linotype" w:hAnsi="Palatino Linotype" w:cs="Palatino Linotype"/>
          <w:b/>
          <w:i/>
          <w:sz w:val="20"/>
        </w:rPr>
        <w:t>4.</w:t>
      </w:r>
      <w:r w:rsidRPr="00DA17EA">
        <w:rPr>
          <w:rFonts w:ascii="Palatino Linotype" w:eastAsia="Palatino Linotype" w:hAnsi="Palatino Linotype" w:cs="Palatino Linotype"/>
          <w:i/>
          <w:sz w:val="20"/>
        </w:rPr>
        <w:t xml:space="preserve"> Fijar, señalar con certeza” [Sic]</w:t>
      </w:r>
    </w:p>
    <w:p w14:paraId="7C5B303F" w14:textId="77777777" w:rsidR="001537EB" w:rsidRDefault="003B3654" w:rsidP="006419CB">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forma complementaria, Rafael de Pina (2013), en su obra </w:t>
      </w:r>
      <w:r>
        <w:rPr>
          <w:rFonts w:ascii="Palatino Linotype" w:eastAsia="Palatino Linotype" w:hAnsi="Palatino Linotype" w:cs="Palatino Linotype"/>
          <w:i/>
        </w:rPr>
        <w:t xml:space="preserve">“Diccionario de Derecho” </w:t>
      </w:r>
      <w:r>
        <w:rPr>
          <w:rFonts w:ascii="Palatino Linotype" w:eastAsia="Palatino Linotype" w:hAnsi="Palatino Linotype" w:cs="Palatino Linotype"/>
        </w:rPr>
        <w:t xml:space="preserve">delimita las fronteras conceptuales del término </w:t>
      </w:r>
      <w:r>
        <w:rPr>
          <w:rFonts w:ascii="Palatino Linotype" w:eastAsia="Palatino Linotype" w:hAnsi="Palatino Linotype" w:cs="Palatino Linotype"/>
          <w:b/>
          <w:i/>
        </w:rPr>
        <w:t xml:space="preserve">certificación, </w:t>
      </w:r>
      <w:r>
        <w:rPr>
          <w:rFonts w:ascii="Palatino Linotype" w:eastAsia="Palatino Linotype" w:hAnsi="Palatino Linotype" w:cs="Palatino Linotype"/>
        </w:rPr>
        <w:t>el cual se concibe en los siguientes términos:</w:t>
      </w:r>
    </w:p>
    <w:p w14:paraId="66214F89" w14:textId="77777777" w:rsidR="006419CB" w:rsidRDefault="006419CB" w:rsidP="006419CB">
      <w:pPr>
        <w:widowControl w:val="0"/>
        <w:spacing w:after="0" w:line="360" w:lineRule="auto"/>
        <w:ind w:right="501"/>
        <w:jc w:val="both"/>
        <w:rPr>
          <w:rFonts w:ascii="Palatino Linotype" w:eastAsia="Palatino Linotype" w:hAnsi="Palatino Linotype" w:cs="Palatino Linotype"/>
        </w:rPr>
      </w:pPr>
    </w:p>
    <w:p w14:paraId="5156DA0C" w14:textId="77777777" w:rsidR="001537EB" w:rsidRPr="00DA17EA" w:rsidRDefault="003B3654" w:rsidP="00DA17EA">
      <w:pPr>
        <w:widowControl w:val="0"/>
        <w:spacing w:after="0" w:line="240" w:lineRule="auto"/>
        <w:ind w:left="567" w:right="990"/>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 xml:space="preserve">“Acto jurídico por medio del cual un funcionario público, en el ejercicio de su cargo, da fe de la existencia de un hecho, acto o calidad personal de alguien, que le consta de manera indubitable, por razón de su oficio” </w:t>
      </w:r>
    </w:p>
    <w:p w14:paraId="28A53CFC" w14:textId="77777777" w:rsidR="006419CB" w:rsidRDefault="006419CB" w:rsidP="006419CB">
      <w:pPr>
        <w:widowControl w:val="0"/>
        <w:spacing w:after="0" w:line="360" w:lineRule="auto"/>
        <w:ind w:right="557"/>
        <w:jc w:val="both"/>
        <w:rPr>
          <w:rFonts w:ascii="Palatino Linotype" w:eastAsia="Palatino Linotype" w:hAnsi="Palatino Linotype" w:cs="Palatino Linotype"/>
        </w:rPr>
      </w:pPr>
    </w:p>
    <w:p w14:paraId="10348D5F" w14:textId="77777777" w:rsidR="006419CB" w:rsidRDefault="003B3654" w:rsidP="006419CB">
      <w:pPr>
        <w:widowControl w:val="0"/>
        <w:spacing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De esta manera se arriba a la premisa de que la certificación de documentos es un acto materialmente administrativo, emitido por una autoridad competente, mediante el cual da fe respecto del lugar, tiempo y circunstancias derivadas de soportes documentales que obren en sus archivos.</w:t>
      </w:r>
    </w:p>
    <w:p w14:paraId="2BCB83D8" w14:textId="77777777" w:rsidR="006419CB" w:rsidRDefault="006419CB" w:rsidP="006419CB">
      <w:pPr>
        <w:widowControl w:val="0"/>
        <w:spacing w:after="0" w:line="360" w:lineRule="auto"/>
        <w:ind w:right="557"/>
        <w:jc w:val="both"/>
        <w:rPr>
          <w:rFonts w:ascii="Palatino Linotype" w:eastAsia="Palatino Linotype" w:hAnsi="Palatino Linotype" w:cs="Palatino Linotype"/>
        </w:rPr>
      </w:pPr>
    </w:p>
    <w:p w14:paraId="3C8A4115" w14:textId="4B2028D6" w:rsidR="001537EB" w:rsidRDefault="003B3654" w:rsidP="006419CB">
      <w:pPr>
        <w:widowControl w:val="0"/>
        <w:spacing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Una vez sentado lo anterior, resulta oportuno traer a colación el artículo 31, fracción IV, de la Constitución Política de los Estados Unidos Mexicanos cuyo contenido literal es el siguiente:</w:t>
      </w:r>
    </w:p>
    <w:p w14:paraId="1EEF8FE2" w14:textId="77777777" w:rsidR="001537EB" w:rsidRDefault="001537EB">
      <w:pPr>
        <w:widowControl w:val="0"/>
        <w:spacing w:after="0" w:line="240" w:lineRule="auto"/>
        <w:rPr>
          <w:rFonts w:ascii="Palatino Linotype" w:eastAsia="Palatino Linotype" w:hAnsi="Palatino Linotype" w:cs="Palatino Linotype"/>
          <w:sz w:val="24"/>
          <w:szCs w:val="24"/>
        </w:rPr>
      </w:pPr>
    </w:p>
    <w:p w14:paraId="676F8EFE" w14:textId="77777777" w:rsidR="001537EB" w:rsidRPr="00DA17EA" w:rsidRDefault="003B3654" w:rsidP="00DA17EA">
      <w:pPr>
        <w:widowControl w:val="0"/>
        <w:spacing w:after="0" w:line="240" w:lineRule="auto"/>
        <w:ind w:left="567" w:right="992"/>
        <w:contextualSpacing/>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w:t>
      </w:r>
      <w:r w:rsidRPr="00DA17EA">
        <w:rPr>
          <w:rFonts w:ascii="Palatino Linotype" w:eastAsia="Palatino Linotype" w:hAnsi="Palatino Linotype" w:cs="Palatino Linotype"/>
          <w:b/>
          <w:i/>
          <w:sz w:val="20"/>
        </w:rPr>
        <w:t xml:space="preserve">Artículo 31. </w:t>
      </w:r>
      <w:r w:rsidRPr="00DA17EA">
        <w:rPr>
          <w:rFonts w:ascii="Palatino Linotype" w:eastAsia="Palatino Linotype" w:hAnsi="Palatino Linotype" w:cs="Palatino Linotype"/>
          <w:i/>
          <w:sz w:val="20"/>
        </w:rPr>
        <w:t>Son obligaciones de los mexicanos:</w:t>
      </w:r>
    </w:p>
    <w:p w14:paraId="3DCD8176" w14:textId="77777777" w:rsidR="001537EB" w:rsidRPr="00DA17EA" w:rsidRDefault="003B3654" w:rsidP="00DA17EA">
      <w:pPr>
        <w:widowControl w:val="0"/>
        <w:spacing w:before="1" w:after="0" w:line="240" w:lineRule="auto"/>
        <w:ind w:left="567" w:right="992"/>
        <w:contextualSpacing/>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w:t>
      </w:r>
    </w:p>
    <w:p w14:paraId="0FEC67E2"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b/>
          <w:i/>
          <w:sz w:val="20"/>
        </w:rPr>
      </w:pPr>
      <w:r w:rsidRPr="00DA17EA">
        <w:rPr>
          <w:rFonts w:ascii="Palatino Linotype" w:eastAsia="Palatino Linotype" w:hAnsi="Palatino Linotype" w:cs="Palatino Linotype"/>
          <w:b/>
          <w:i/>
          <w:sz w:val="20"/>
          <w:u w:val="single"/>
        </w:rPr>
        <w:t>IV. Contribuir para los gastos públicos, así de la Federación, como de los</w:t>
      </w:r>
      <w:r w:rsidRPr="00DA17EA">
        <w:rPr>
          <w:rFonts w:ascii="Palatino Linotype" w:eastAsia="Palatino Linotype" w:hAnsi="Palatino Linotype" w:cs="Palatino Linotype"/>
          <w:b/>
          <w:i/>
          <w:sz w:val="20"/>
        </w:rPr>
        <w:t xml:space="preserve"> </w:t>
      </w:r>
      <w:r w:rsidRPr="00DA17EA">
        <w:rPr>
          <w:rFonts w:ascii="Palatino Linotype" w:eastAsia="Palatino Linotype" w:hAnsi="Palatino Linotype" w:cs="Palatino Linotype"/>
          <w:b/>
          <w:i/>
          <w:sz w:val="20"/>
          <w:u w:val="single"/>
        </w:rPr>
        <w:t>Estados, de la Ciudad de México y del Municipio en que residan, de la</w:t>
      </w:r>
      <w:r w:rsidRPr="00DA17EA">
        <w:rPr>
          <w:rFonts w:ascii="Palatino Linotype" w:eastAsia="Palatino Linotype" w:hAnsi="Palatino Linotype" w:cs="Palatino Linotype"/>
          <w:b/>
          <w:i/>
          <w:sz w:val="20"/>
        </w:rPr>
        <w:t xml:space="preserve"> </w:t>
      </w:r>
      <w:r w:rsidRPr="00DA17EA">
        <w:rPr>
          <w:rFonts w:ascii="Palatino Linotype" w:eastAsia="Palatino Linotype" w:hAnsi="Palatino Linotype" w:cs="Palatino Linotype"/>
          <w:b/>
          <w:i/>
          <w:sz w:val="20"/>
          <w:u w:val="single"/>
        </w:rPr>
        <w:t>manera proporcional y equitativa que dispongan las leyes</w:t>
      </w:r>
    </w:p>
    <w:p w14:paraId="7B59FEAC" w14:textId="77777777" w:rsidR="001537EB" w:rsidRPr="00DA17EA" w:rsidRDefault="003B3654" w:rsidP="00DA17EA">
      <w:pPr>
        <w:widowControl w:val="0"/>
        <w:spacing w:after="0" w:line="240" w:lineRule="auto"/>
        <w:ind w:left="567" w:right="992"/>
        <w:contextualSpacing/>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w:t>
      </w:r>
    </w:p>
    <w:p w14:paraId="468C07D1" w14:textId="77777777" w:rsidR="001537EB" w:rsidRPr="00DA17EA" w:rsidRDefault="003B3654" w:rsidP="00DA17EA">
      <w:pPr>
        <w:widowControl w:val="0"/>
        <w:spacing w:before="1" w:after="0" w:line="240" w:lineRule="auto"/>
        <w:ind w:left="567" w:right="992"/>
        <w:contextualSpacing/>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(Énfasis añadido)</w:t>
      </w:r>
    </w:p>
    <w:p w14:paraId="0514B62B" w14:textId="77777777" w:rsidR="001537EB" w:rsidRDefault="001537EB">
      <w:pPr>
        <w:widowControl w:val="0"/>
        <w:spacing w:before="24" w:after="0" w:line="360" w:lineRule="auto"/>
        <w:ind w:right="503"/>
        <w:jc w:val="both"/>
        <w:rPr>
          <w:rFonts w:ascii="Palatino Linotype" w:eastAsia="Palatino Linotype" w:hAnsi="Palatino Linotype" w:cs="Palatino Linotype"/>
          <w:i/>
          <w:sz w:val="24"/>
          <w:szCs w:val="24"/>
        </w:rPr>
      </w:pPr>
    </w:p>
    <w:p w14:paraId="069D4FEA" w14:textId="77777777" w:rsidR="001537EB" w:rsidRDefault="003B3654">
      <w:pPr>
        <w:widowControl w:val="0"/>
        <w:spacing w:before="24"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lo descrito, se vislumbra la existencia de una obligación </w:t>
      </w:r>
      <w:proofErr w:type="gramStart"/>
      <w:r>
        <w:rPr>
          <w:rFonts w:ascii="Palatino Linotype" w:eastAsia="Palatino Linotype" w:hAnsi="Palatino Linotype" w:cs="Palatino Linotype"/>
        </w:rPr>
        <w:t>impuesta  por</w:t>
      </w:r>
      <w:proofErr w:type="gramEnd"/>
      <w:r>
        <w:rPr>
          <w:rFonts w:ascii="Palatino Linotype" w:eastAsia="Palatino Linotype" w:hAnsi="Palatino Linotype" w:cs="Palatino Linotype"/>
        </w:rPr>
        <w:t xml:space="preserve"> nuestro texto constitucional a todo ciudadano mexicano para contribuir a los gastos públicos, lo anterior en atención a los principios de:</w:t>
      </w:r>
    </w:p>
    <w:p w14:paraId="57876BCE" w14:textId="77777777" w:rsidR="001537EB" w:rsidRDefault="003B3654">
      <w:pPr>
        <w:widowControl w:val="0"/>
        <w:numPr>
          <w:ilvl w:val="0"/>
          <w:numId w:val="1"/>
        </w:numPr>
        <w:tabs>
          <w:tab w:val="left" w:pos="1585"/>
        </w:tabs>
        <w:spacing w:before="163" w:after="0" w:line="360" w:lineRule="auto"/>
        <w:ind w:left="142" w:right="508" w:hanging="284"/>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Proporcionalidad: </w:t>
      </w:r>
      <w:r>
        <w:rPr>
          <w:rFonts w:ascii="Palatino Linotype" w:eastAsia="Palatino Linotype" w:hAnsi="Palatino Linotype" w:cs="Palatino Linotype"/>
        </w:rPr>
        <w:t>Que cada ciudadano tribute de acuerdo con su riqueza, ingresos o posibilidades económicas y que dicha aportación sea la mínima posible para no ahuyentar o empobrecer al contribuyente.</w:t>
      </w:r>
    </w:p>
    <w:p w14:paraId="013FA5C4" w14:textId="77777777" w:rsidR="001537EB" w:rsidRDefault="003B3654">
      <w:pPr>
        <w:widowControl w:val="0"/>
        <w:numPr>
          <w:ilvl w:val="0"/>
          <w:numId w:val="1"/>
        </w:numPr>
        <w:tabs>
          <w:tab w:val="left" w:pos="2006"/>
        </w:tabs>
        <w:spacing w:after="0" w:line="360" w:lineRule="auto"/>
        <w:ind w:left="142" w:right="501"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Equidad: </w:t>
      </w:r>
      <w:r>
        <w:rPr>
          <w:rFonts w:ascii="Palatino Linotype" w:eastAsia="Palatino Linotype" w:hAnsi="Palatino Linotype" w:cs="Palatino Linotype"/>
        </w:rPr>
        <w:t>Que el impacto del gravamen sea el mismo para todas las personas físicas o morales colocadas en la misma circunstancia contributiva, trato igual frente a sujetos iguales y desiguales entre desiguales.</w:t>
      </w:r>
    </w:p>
    <w:p w14:paraId="01C70136" w14:textId="77777777" w:rsidR="001537EB" w:rsidRDefault="003B3654">
      <w:pPr>
        <w:widowControl w:val="0"/>
        <w:numPr>
          <w:ilvl w:val="0"/>
          <w:numId w:val="1"/>
        </w:numPr>
        <w:tabs>
          <w:tab w:val="left" w:pos="1946"/>
        </w:tabs>
        <w:spacing w:after="0" w:line="324"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Destino: </w:t>
      </w:r>
      <w:r>
        <w:rPr>
          <w:rFonts w:ascii="Palatino Linotype" w:eastAsia="Palatino Linotype" w:hAnsi="Palatino Linotype" w:cs="Palatino Linotype"/>
        </w:rPr>
        <w:t>Para el sostenimiento de los gastos públicos.</w:t>
      </w:r>
    </w:p>
    <w:p w14:paraId="4A862027" w14:textId="77777777" w:rsidR="001537EB" w:rsidRDefault="003B3654">
      <w:pPr>
        <w:widowControl w:val="0"/>
        <w:numPr>
          <w:ilvl w:val="0"/>
          <w:numId w:val="1"/>
        </w:numPr>
        <w:tabs>
          <w:tab w:val="left" w:pos="1946"/>
        </w:tabs>
        <w:spacing w:before="164" w:after="0" w:line="240"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Legalidad: </w:t>
      </w:r>
      <w:r>
        <w:rPr>
          <w:rFonts w:ascii="Palatino Linotype" w:eastAsia="Palatino Linotype" w:hAnsi="Palatino Linotype" w:cs="Palatino Linotype"/>
        </w:rPr>
        <w:t>La contribución invariablemente debe de estar prevista en ley.</w:t>
      </w:r>
    </w:p>
    <w:p w14:paraId="168C4B9A" w14:textId="77777777" w:rsidR="001537EB" w:rsidRDefault="003B3654">
      <w:pPr>
        <w:widowControl w:val="0"/>
        <w:numPr>
          <w:ilvl w:val="0"/>
          <w:numId w:val="1"/>
        </w:numPr>
        <w:tabs>
          <w:tab w:val="left" w:pos="1946"/>
        </w:tabs>
        <w:spacing w:before="161" w:after="0" w:line="240"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Época de pago: </w:t>
      </w:r>
      <w:r>
        <w:rPr>
          <w:rFonts w:ascii="Palatino Linotype" w:eastAsia="Palatino Linotype" w:hAnsi="Palatino Linotype" w:cs="Palatino Linotype"/>
        </w:rPr>
        <w:t>Conforme a lo establecido en la normatividad aplicable.</w:t>
      </w:r>
    </w:p>
    <w:p w14:paraId="1F3D0C7E" w14:textId="77777777" w:rsidR="001537EB" w:rsidRDefault="001537EB">
      <w:pPr>
        <w:widowControl w:val="0"/>
        <w:spacing w:after="0" w:line="240" w:lineRule="auto"/>
        <w:rPr>
          <w:rFonts w:ascii="Palatino Linotype" w:eastAsia="Palatino Linotype" w:hAnsi="Palatino Linotype" w:cs="Palatino Linotype"/>
          <w:sz w:val="28"/>
          <w:szCs w:val="28"/>
        </w:rPr>
      </w:pPr>
    </w:p>
    <w:p w14:paraId="0415046F" w14:textId="77777777" w:rsidR="001537EB" w:rsidRDefault="003B3654" w:rsidP="006419CB">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En este tenor, es menester tomar en cuenta lo dispuesto por el Código Financiero del Estado de México y Municipios, el cual regula la actividad financiera estatal y municipal, entendiendo a dicha actividad la que comprende la obtención, administración y aplicación de los ingresos públicos, así como lo conducente a la transparencia y difusión de la información financiera relativa a la presupuestario, ejercicio, evaluación y rendición de cuentas, en apego a las disposiciones aplicables en la materia.</w:t>
      </w:r>
    </w:p>
    <w:p w14:paraId="148C18A6" w14:textId="77777777" w:rsidR="006419CB" w:rsidRDefault="006419CB" w:rsidP="006419CB">
      <w:pPr>
        <w:widowControl w:val="0"/>
        <w:spacing w:after="0" w:line="360" w:lineRule="auto"/>
        <w:ind w:right="505"/>
        <w:jc w:val="both"/>
        <w:rPr>
          <w:rFonts w:ascii="Palatino Linotype" w:eastAsia="Palatino Linotype" w:hAnsi="Palatino Linotype" w:cs="Palatino Linotype"/>
        </w:rPr>
      </w:pPr>
    </w:p>
    <w:p w14:paraId="3557D4D1" w14:textId="77777777" w:rsidR="001537EB" w:rsidRDefault="003B3654" w:rsidP="006419CB">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el artículo 7 del Código Financiero del Estado de México y Municipios establece que, para cubrir el gasto público y demás obligaciones a su cargo, el Estado y los Municipios percibirán en cada ejercicio fiscal </w:t>
      </w:r>
      <w:r>
        <w:rPr>
          <w:rFonts w:ascii="Palatino Linotype" w:eastAsia="Palatino Linotype" w:hAnsi="Palatino Linotype" w:cs="Palatino Linotype"/>
          <w:b/>
        </w:rPr>
        <w:t xml:space="preserve">los impuestos, derechos, aportaciones de mejoras, productos, aprovechamientos, ingresos derivados de la coordinación hacendaria, e ingresos provenientes de financiamientos, establecidos en la Ley de Ingresos. </w:t>
      </w:r>
    </w:p>
    <w:p w14:paraId="6B2025C2" w14:textId="77777777" w:rsidR="001537EB" w:rsidRDefault="003B3654">
      <w:pPr>
        <w:widowControl w:val="0"/>
        <w:spacing w:before="13"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14:paraId="4B556269" w14:textId="77777777" w:rsidR="001537EB" w:rsidRDefault="001537EB">
      <w:pPr>
        <w:widowControl w:val="0"/>
        <w:spacing w:before="13" w:after="0" w:line="360" w:lineRule="auto"/>
        <w:ind w:right="281"/>
        <w:jc w:val="both"/>
        <w:rPr>
          <w:rFonts w:ascii="Palatino Linotype" w:eastAsia="Palatino Linotype" w:hAnsi="Palatino Linotype" w:cs="Palatino Linotype"/>
        </w:rPr>
      </w:pPr>
    </w:p>
    <w:p w14:paraId="25AD3561" w14:textId="77777777" w:rsidR="001537EB" w:rsidRDefault="003B3654">
      <w:pPr>
        <w:widowControl w:val="0"/>
        <w:spacing w:before="24" w:after="0" w:line="360" w:lineRule="auto"/>
        <w:ind w:right="502"/>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advierte que, respecto de los costos de reproducción, como fue mencionado, el Código Financiero del Estado de México y Municipios establece </w:t>
      </w:r>
      <w:proofErr w:type="gramStart"/>
      <w:r>
        <w:rPr>
          <w:rFonts w:ascii="Palatino Linotype" w:eastAsia="Palatino Linotype" w:hAnsi="Palatino Linotype" w:cs="Palatino Linotype"/>
        </w:rPr>
        <w:t>que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pago de derechos corresponde a la recepción de un servicio </w:t>
      </w:r>
      <w:r>
        <w:rPr>
          <w:rFonts w:ascii="Palatino Linotype" w:eastAsia="Palatino Linotype" w:hAnsi="Palatino Linotype" w:cs="Palatino Linotype"/>
        </w:rPr>
        <w:t>que presta el Estado en sus funciones de derecho público, entre los que se encuentra la expedición de copias certificadas.</w:t>
      </w:r>
    </w:p>
    <w:p w14:paraId="00E59EE9" w14:textId="77777777" w:rsidR="001537EB" w:rsidRDefault="001537EB">
      <w:pPr>
        <w:widowControl w:val="0"/>
        <w:spacing w:before="13" w:after="0" w:line="240" w:lineRule="auto"/>
        <w:rPr>
          <w:rFonts w:ascii="Palatino Linotype" w:eastAsia="Palatino Linotype" w:hAnsi="Palatino Linotype" w:cs="Palatino Linotype"/>
          <w:sz w:val="32"/>
          <w:szCs w:val="32"/>
        </w:rPr>
      </w:pPr>
    </w:p>
    <w:p w14:paraId="040E0DDD" w14:textId="6381B06A" w:rsidR="001537EB" w:rsidRDefault="003B3654">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la modalidad seleccionada por </w:t>
      </w:r>
      <w:r w:rsidRPr="006419CB">
        <w:rPr>
          <w:rFonts w:ascii="Palatino Linotype" w:eastAsia="Palatino Linotype" w:hAnsi="Palatino Linotype" w:cs="Palatino Linotype"/>
        </w:rPr>
        <w:t>la parte</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se encuentra regulada por el Código Financiero del Estado de México y Municipios en su artículo</w:t>
      </w:r>
      <w:r w:rsidR="00667A8B">
        <w:rPr>
          <w:rFonts w:ascii="Palatino Linotype" w:eastAsia="Palatino Linotype" w:hAnsi="Palatino Linotype" w:cs="Palatino Linotype"/>
        </w:rPr>
        <w:t xml:space="preserve"> </w:t>
      </w:r>
      <w:r>
        <w:rPr>
          <w:rFonts w:ascii="Palatino Linotype" w:eastAsia="Palatino Linotype" w:hAnsi="Palatino Linotype" w:cs="Palatino Linotype"/>
        </w:rPr>
        <w:t>148 fracción II, porción normativa que dispone a la literalidad lo siguiente:</w:t>
      </w:r>
    </w:p>
    <w:p w14:paraId="2A369A20" w14:textId="77777777" w:rsidR="001537EB" w:rsidRDefault="003B3654">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w:lastRenderedPageBreak/>
        <w:drawing>
          <wp:inline distT="0" distB="0" distL="0" distR="0" wp14:anchorId="0D049DE4" wp14:editId="5183416C">
            <wp:extent cx="5366931" cy="3204375"/>
            <wp:effectExtent l="152400" t="152400" r="367665" b="35814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88517" cy="3217263"/>
                    </a:xfrm>
                    <a:prstGeom prst="rect">
                      <a:avLst/>
                    </a:prstGeom>
                    <a:ln>
                      <a:noFill/>
                    </a:ln>
                    <a:effectLst>
                      <a:outerShdw blurRad="292100" dist="139700" dir="2700000" algn="tl" rotWithShape="0">
                        <a:srgbClr val="333333">
                          <a:alpha val="65000"/>
                        </a:srgbClr>
                      </a:outerShdw>
                    </a:effectLst>
                  </pic:spPr>
                </pic:pic>
              </a:graphicData>
            </a:graphic>
          </wp:inline>
        </w:drawing>
      </w:r>
    </w:p>
    <w:p w14:paraId="65B250B5" w14:textId="3371AEFE" w:rsidR="001537EB" w:rsidRDefault="003B3654">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Así, se tiene que el cobro por copias certificadas es un derecho que cobran el Estado y sus organismos y su destino es cubrir el gasto público y demás obligaciones a su cargo, por lo cual, al eximir del pago a la particular, en el caso en concreto a la </w:t>
      </w:r>
      <w:r>
        <w:rPr>
          <w:rFonts w:ascii="Palatino Linotype" w:eastAsia="Palatino Linotype" w:hAnsi="Palatino Linotype" w:cs="Palatino Linotype"/>
          <w:b/>
        </w:rPr>
        <w:t>parte Recurrente</w:t>
      </w:r>
      <w:r>
        <w:rPr>
          <w:rFonts w:ascii="Palatino Linotype" w:eastAsia="Palatino Linotype" w:hAnsi="Palatino Linotype" w:cs="Palatino Linotype"/>
        </w:rPr>
        <w:t>, se ocasiona un perjuicio al ente público, pues se le está privando de la ganancia lícita que debiera haberse obtenido con el cumplimiento de la obligación del solicitante a realizar el pago establecido en el artículo 73, del multicitado Código Financiero.</w:t>
      </w:r>
    </w:p>
    <w:p w14:paraId="73EA6F1C" w14:textId="77777777" w:rsidR="00221F7A" w:rsidRDefault="00221F7A">
      <w:pPr>
        <w:widowControl w:val="0"/>
        <w:spacing w:after="0" w:line="360" w:lineRule="auto"/>
        <w:ind w:right="503"/>
        <w:jc w:val="both"/>
        <w:rPr>
          <w:rFonts w:ascii="Palatino Linotype" w:eastAsia="Palatino Linotype" w:hAnsi="Palatino Linotype" w:cs="Palatino Linotype"/>
        </w:rPr>
      </w:pPr>
    </w:p>
    <w:p w14:paraId="04CF109A" w14:textId="2B5314A6" w:rsidR="001537EB" w:rsidRDefault="003B3654">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De forma complementaria, resulta aplicable el artículo 50</w:t>
      </w:r>
      <w:r w:rsidR="006419CB">
        <w:rPr>
          <w:rFonts w:ascii="Palatino Linotype" w:eastAsia="Palatino Linotype" w:hAnsi="Palatino Linotype" w:cs="Palatino Linotype"/>
        </w:rPr>
        <w:t>,</w:t>
      </w:r>
      <w:r>
        <w:rPr>
          <w:rFonts w:ascii="Palatino Linotype" w:eastAsia="Palatino Linotype" w:hAnsi="Palatino Linotype" w:cs="Palatino Linotype"/>
        </w:rPr>
        <w:t xml:space="preserve"> de la Ley General de Protección de Datos Personales en Posesión de Sujetos Obligados, así como su diverso, </w:t>
      </w:r>
      <w:r>
        <w:rPr>
          <w:rFonts w:ascii="Palatino Linotype" w:eastAsia="Palatino Linotype" w:hAnsi="Palatino Linotype" w:cs="Palatino Linotype"/>
        </w:rPr>
        <w:lastRenderedPageBreak/>
        <w:t xml:space="preserve">el artículo 107 de la Ley de Protección de Datos Personales en Posesión de Sujetos Obligados del Estado de México y Municipio, los cuales en su contenido establecen lo siguiente: </w:t>
      </w:r>
    </w:p>
    <w:p w14:paraId="16BCA1D7" w14:textId="77777777" w:rsidR="001537EB" w:rsidRDefault="001537EB">
      <w:pPr>
        <w:widowControl w:val="0"/>
        <w:spacing w:after="0" w:line="360" w:lineRule="auto"/>
        <w:ind w:right="503"/>
        <w:jc w:val="both"/>
        <w:rPr>
          <w:rFonts w:ascii="Palatino Linotype" w:eastAsia="Palatino Linotype" w:hAnsi="Palatino Linotype" w:cs="Palatino Linotype"/>
          <w:sz w:val="24"/>
          <w:szCs w:val="24"/>
        </w:rPr>
      </w:pPr>
      <w:bookmarkStart w:id="0" w:name="_heading=h.gjdgxs" w:colFirst="0" w:colLast="0"/>
      <w:bookmarkEnd w:id="0"/>
    </w:p>
    <w:p w14:paraId="5D9969EE"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b/>
          <w:i/>
          <w:sz w:val="20"/>
        </w:rPr>
      </w:pPr>
      <w:r w:rsidRPr="00DA17EA">
        <w:rPr>
          <w:rFonts w:ascii="Palatino Linotype" w:eastAsia="Palatino Linotype" w:hAnsi="Palatino Linotype" w:cs="Palatino Linotype"/>
          <w:i/>
          <w:sz w:val="20"/>
        </w:rPr>
        <w:t>“</w:t>
      </w:r>
      <w:r w:rsidRPr="00DA17EA">
        <w:rPr>
          <w:rFonts w:ascii="Palatino Linotype" w:eastAsia="Palatino Linotype" w:hAnsi="Palatino Linotype" w:cs="Palatino Linotype"/>
          <w:b/>
          <w:i/>
          <w:sz w:val="20"/>
        </w:rPr>
        <w:t>Artículo 50.</w:t>
      </w:r>
      <w:r w:rsidRPr="00DA17EA">
        <w:rPr>
          <w:rFonts w:ascii="Palatino Linotype" w:eastAsia="Palatino Linotype" w:hAnsi="Palatino Linotype" w:cs="Palatino Linotype"/>
          <w:i/>
          <w:sz w:val="20"/>
        </w:rPr>
        <w:t xml:space="preserve"> El ejercicio de los derechos </w:t>
      </w:r>
      <w:r w:rsidRPr="00DA17EA">
        <w:rPr>
          <w:rFonts w:ascii="Palatino Linotype" w:eastAsia="Palatino Linotype" w:hAnsi="Palatino Linotype" w:cs="Palatino Linotype"/>
          <w:b/>
          <w:i/>
          <w:sz w:val="20"/>
        </w:rPr>
        <w:t>ARCO</w:t>
      </w:r>
      <w:r w:rsidRPr="00DA17EA">
        <w:rPr>
          <w:rFonts w:ascii="Palatino Linotype" w:eastAsia="Palatino Linotype" w:hAnsi="Palatino Linotype" w:cs="Palatino Linotype"/>
          <w:i/>
          <w:sz w:val="20"/>
        </w:rPr>
        <w:t xml:space="preserve"> deberá ser gratuito. </w:t>
      </w:r>
      <w:r w:rsidRPr="00DA17EA">
        <w:rPr>
          <w:rFonts w:ascii="Palatino Linotype" w:eastAsia="Palatino Linotype" w:hAnsi="Palatino Linotype" w:cs="Palatino Linotype"/>
          <w:b/>
          <w:i/>
          <w:sz w:val="20"/>
        </w:rPr>
        <w:t xml:space="preserve">Sólo podrán realizarse cobros para recuperar los costos de reproducción, certificación o envío, conforme a la normatividad que resulte aplicable. </w:t>
      </w:r>
    </w:p>
    <w:p w14:paraId="6181AB79"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 xml:space="preserve">(…) </w:t>
      </w:r>
    </w:p>
    <w:p w14:paraId="469C1CE5"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La información deberá ser entregada sin costo, cuando implique la entrega de no más de veinte hojas simples. Las unidades de transparencia podrán exceptuar el pago de reproducción y envío atendiendo a las circunstancias socioeconómicas del titular.;</w:t>
      </w:r>
    </w:p>
    <w:p w14:paraId="6E0D5228"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 xml:space="preserve">(…) </w:t>
      </w:r>
    </w:p>
    <w:p w14:paraId="1015C7FD"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b/>
          <w:i/>
          <w:sz w:val="20"/>
        </w:rPr>
      </w:pPr>
      <w:r w:rsidRPr="00DA17EA">
        <w:rPr>
          <w:rFonts w:ascii="Palatino Linotype" w:eastAsia="Palatino Linotype" w:hAnsi="Palatino Linotype" w:cs="Palatino Linotype"/>
          <w:b/>
          <w:i/>
          <w:sz w:val="20"/>
        </w:rPr>
        <w:t xml:space="preserve">Gratuidad en el Ejercicio de los Derechos ARCO </w:t>
      </w:r>
    </w:p>
    <w:p w14:paraId="2EA5E757"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b/>
          <w:i/>
          <w:sz w:val="20"/>
        </w:rPr>
      </w:pPr>
      <w:r w:rsidRPr="00DA17EA">
        <w:rPr>
          <w:rFonts w:ascii="Palatino Linotype" w:eastAsia="Palatino Linotype" w:hAnsi="Palatino Linotype" w:cs="Palatino Linotype"/>
          <w:i/>
          <w:sz w:val="20"/>
        </w:rPr>
        <w:t xml:space="preserve">Artículo 107. El ejercicio de los derechos ARCO deberá ser gratuito. </w:t>
      </w:r>
      <w:r w:rsidRPr="00DA17EA">
        <w:rPr>
          <w:rFonts w:ascii="Palatino Linotype" w:eastAsia="Palatino Linotype" w:hAnsi="Palatino Linotype" w:cs="Palatino Linotype"/>
          <w:b/>
          <w:i/>
          <w:sz w:val="20"/>
        </w:rPr>
        <w:t xml:space="preserve">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 </w:t>
      </w:r>
    </w:p>
    <w:p w14:paraId="2DA8B173"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 xml:space="preserve">(…) </w:t>
      </w:r>
    </w:p>
    <w:p w14:paraId="3BAC4F23" w14:textId="77777777" w:rsidR="001537EB" w:rsidRPr="00DA17EA" w:rsidRDefault="003B3654" w:rsidP="00DA17EA">
      <w:pPr>
        <w:widowControl w:val="0"/>
        <w:spacing w:after="0" w:line="240" w:lineRule="auto"/>
        <w:ind w:left="567" w:right="992"/>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b/>
          <w:i/>
          <w:sz w:val="20"/>
        </w:rPr>
        <w:t>La información deberá ser entregada sin costo, cuando implique la entrega de no más de veinte hojas simples</w:t>
      </w:r>
      <w:r w:rsidRPr="00DA17EA">
        <w:rPr>
          <w:rFonts w:ascii="Palatino Linotype" w:eastAsia="Palatino Linotype" w:hAnsi="Palatino Linotype" w:cs="Palatino Linotype"/>
          <w:i/>
          <w:sz w:val="20"/>
        </w:rPr>
        <w:t>. Las unidades de transparencia podrán exceptuar el pago de reproducción y envío atendiendo a las circunstancias socioeconómicas del titular.”</w:t>
      </w:r>
      <w:r w:rsidRPr="00DA17EA">
        <w:rPr>
          <w:rFonts w:ascii="Palatino Linotype" w:eastAsia="Palatino Linotype" w:hAnsi="Palatino Linotype" w:cs="Palatino Linotype"/>
          <w:szCs w:val="24"/>
        </w:rPr>
        <w:t xml:space="preserve"> </w:t>
      </w:r>
      <w:r w:rsidRPr="00DA17EA">
        <w:rPr>
          <w:rFonts w:ascii="Palatino Linotype" w:eastAsia="Palatino Linotype" w:hAnsi="Palatino Linotype" w:cs="Palatino Linotype"/>
          <w:i/>
          <w:sz w:val="20"/>
        </w:rPr>
        <w:t>(Énfasis añadido)</w:t>
      </w:r>
    </w:p>
    <w:p w14:paraId="5C64BAB2" w14:textId="77777777" w:rsidR="001537EB" w:rsidRDefault="001537EB">
      <w:pPr>
        <w:widowControl w:val="0"/>
        <w:spacing w:after="0" w:line="360" w:lineRule="auto"/>
        <w:ind w:right="503"/>
        <w:jc w:val="both"/>
        <w:rPr>
          <w:rFonts w:ascii="Palatino Linotype" w:eastAsia="Palatino Linotype" w:hAnsi="Palatino Linotype" w:cs="Palatino Linotype"/>
          <w:sz w:val="24"/>
          <w:szCs w:val="24"/>
        </w:rPr>
      </w:pPr>
    </w:p>
    <w:p w14:paraId="2CB8A330" w14:textId="77777777" w:rsidR="006419CB" w:rsidRDefault="003B3654" w:rsidP="006419CB">
      <w:pPr>
        <w:widowControl w:val="0"/>
        <w:spacing w:after="0" w:line="360" w:lineRule="auto"/>
        <w:ind w:right="503"/>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virtud de lo anterior, resulta inconcuso que la certificación de documentos configura un servicio que presta el Estado en sus funciones de derecho público, de ahí que resulte necesario la recuperación de tales gastos, en el caso en particular, mediante el pago de un derecho establecido en la normatividad aplicable, </w:t>
      </w:r>
      <w:r>
        <w:rPr>
          <w:rFonts w:ascii="Palatino Linotype" w:eastAsia="Palatino Linotype" w:hAnsi="Palatino Linotype" w:cs="Palatino Linotype"/>
          <w:b/>
          <w:u w:val="single"/>
        </w:rPr>
        <w:t xml:space="preserve">el cual invariablemente no podrá ser desestimado, condonado o inaplicado, pues conforme a la normatividad previamente referida se reconoce la imposición de un gravamen incluso con independencia del número de fojas, por cuanto hace a la expedición de copias </w:t>
      </w:r>
      <w:r>
        <w:rPr>
          <w:rFonts w:ascii="Palatino Linotype" w:eastAsia="Palatino Linotype" w:hAnsi="Palatino Linotype" w:cs="Palatino Linotype"/>
          <w:b/>
          <w:u w:val="single"/>
        </w:rPr>
        <w:lastRenderedPageBreak/>
        <w:t>certificadas, ya que del precepto en cita, solo se afirma la gratuidad cuando implique la entrega de no más de veinte hojas para el supuesto de la expedición de copias simples.</w:t>
      </w:r>
    </w:p>
    <w:p w14:paraId="749877BD" w14:textId="77777777" w:rsidR="006419CB" w:rsidRDefault="006419CB" w:rsidP="006419CB">
      <w:pPr>
        <w:widowControl w:val="0"/>
        <w:spacing w:after="0" w:line="360" w:lineRule="auto"/>
        <w:ind w:right="503"/>
        <w:jc w:val="both"/>
        <w:rPr>
          <w:rFonts w:ascii="Palatino Linotype" w:eastAsia="Palatino Linotype" w:hAnsi="Palatino Linotype" w:cs="Palatino Linotype"/>
          <w:b/>
          <w:u w:val="single"/>
        </w:rPr>
      </w:pPr>
    </w:p>
    <w:p w14:paraId="044F23F9" w14:textId="42593D7B" w:rsidR="001537EB" w:rsidRDefault="003B3654" w:rsidP="006419CB">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Por ello, conviene señalar lo estipulado por el Poder Judicial de la Federación a través de la tesis aislada con número de registro </w:t>
      </w:r>
      <w:r>
        <w:rPr>
          <w:rFonts w:ascii="Palatino Linotype" w:eastAsia="Palatino Linotype" w:hAnsi="Palatino Linotype" w:cs="Palatino Linotype"/>
          <w:b/>
        </w:rPr>
        <w:t xml:space="preserve">2007573 </w:t>
      </w:r>
      <w:r>
        <w:rPr>
          <w:rFonts w:ascii="Palatino Linotype" w:eastAsia="Palatino Linotype" w:hAnsi="Palatino Linotype" w:cs="Palatino Linotype"/>
        </w:rPr>
        <w:t>de la Décima Época, sustentada por la Segunda Sala de la Suprema Corte de Justicia de la Nación, órgano colegiado que se ha pronunciado en cuanto al control constitucional concentrado o difuso en los términos siguientes:</w:t>
      </w:r>
    </w:p>
    <w:p w14:paraId="1836889F" w14:textId="77777777" w:rsidR="006419CB" w:rsidRPr="006419CB" w:rsidRDefault="006419CB" w:rsidP="006419CB">
      <w:pPr>
        <w:widowControl w:val="0"/>
        <w:spacing w:after="0" w:line="360" w:lineRule="auto"/>
        <w:ind w:right="503"/>
        <w:jc w:val="both"/>
        <w:rPr>
          <w:rFonts w:ascii="Palatino Linotype" w:eastAsia="Palatino Linotype" w:hAnsi="Palatino Linotype" w:cs="Palatino Linotype"/>
          <w:b/>
          <w:u w:val="single"/>
        </w:rPr>
      </w:pPr>
    </w:p>
    <w:p w14:paraId="6B23A7C0" w14:textId="77777777" w:rsidR="001537EB" w:rsidRPr="00DA17EA" w:rsidRDefault="003B3654" w:rsidP="00DA17EA">
      <w:pPr>
        <w:widowControl w:val="0"/>
        <w:spacing w:after="0" w:line="240" w:lineRule="auto"/>
        <w:ind w:left="567" w:right="1354"/>
        <w:contextualSpacing/>
        <w:jc w:val="both"/>
        <w:rPr>
          <w:rFonts w:ascii="Palatino Linotype" w:eastAsia="Palatino Linotype" w:hAnsi="Palatino Linotype" w:cs="Palatino Linotype"/>
          <w:b/>
          <w:i/>
          <w:sz w:val="20"/>
        </w:rPr>
      </w:pPr>
      <w:r w:rsidRPr="00DA17EA">
        <w:rPr>
          <w:rFonts w:ascii="Palatino Linotype" w:eastAsia="Palatino Linotype" w:hAnsi="Palatino Linotype" w:cs="Palatino Linotype"/>
          <w:b/>
          <w:i/>
          <w:sz w:val="20"/>
        </w:rPr>
        <w:t>“CONTROL CONSTITUCIONAL CONCENTRADO O DIFUSO. LAS AUTORIDADES ADMINISTRATIVAS NO ESTÁN FACULTADAS PARA REALIZARLO.</w:t>
      </w:r>
    </w:p>
    <w:p w14:paraId="51E7559A" w14:textId="77777777" w:rsidR="001537EB" w:rsidRPr="00DA17EA" w:rsidRDefault="001537EB" w:rsidP="00DA17EA">
      <w:pPr>
        <w:widowControl w:val="0"/>
        <w:spacing w:before="1" w:after="0" w:line="240" w:lineRule="auto"/>
        <w:contextualSpacing/>
        <w:rPr>
          <w:rFonts w:ascii="Palatino Linotype" w:eastAsia="Palatino Linotype" w:hAnsi="Palatino Linotype" w:cs="Palatino Linotype"/>
          <w:b/>
          <w:i/>
          <w:sz w:val="20"/>
        </w:rPr>
      </w:pPr>
    </w:p>
    <w:p w14:paraId="32CBE1AB" w14:textId="77777777" w:rsidR="001537EB" w:rsidRPr="00DA17EA" w:rsidRDefault="003B3654" w:rsidP="00DA17EA">
      <w:pPr>
        <w:widowControl w:val="0"/>
        <w:spacing w:after="0" w:line="240" w:lineRule="auto"/>
        <w:ind w:left="567" w:right="1352"/>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 xml:space="preserve">El artículo </w:t>
      </w:r>
      <w:r w:rsidRPr="00DA17EA">
        <w:rPr>
          <w:rFonts w:ascii="Palatino Linotype" w:eastAsia="Palatino Linotype" w:hAnsi="Palatino Linotype" w:cs="Palatino Linotype"/>
          <w:i/>
          <w:color w:val="007AFF"/>
          <w:sz w:val="20"/>
          <w:u w:val="single"/>
        </w:rPr>
        <w:t>1o. de la Constitución Política de los Estados Unidos Mexicanos</w:t>
      </w:r>
      <w:r w:rsidRPr="00DA17EA">
        <w:rPr>
          <w:rFonts w:ascii="Palatino Linotype" w:eastAsia="Palatino Linotype" w:hAnsi="Palatino Linotype" w:cs="Palatino Linotype"/>
          <w:i/>
          <w:color w:val="007AFF"/>
          <w:sz w:val="20"/>
        </w:rPr>
        <w:t xml:space="preserve"> </w:t>
      </w:r>
      <w:r w:rsidRPr="00DA17EA">
        <w:rPr>
          <w:rFonts w:ascii="Palatino Linotype" w:eastAsia="Palatino Linotype" w:hAnsi="Palatino Linotype" w:cs="Palatino Linotype"/>
          <w:i/>
          <w:sz w:val="20"/>
        </w:rPr>
        <w:t xml:space="preserve">establece que todas las autoridades, en el ámbito de sus competencias, deben cumplir con una serie de obligaciones en materia de derechos humanos. Sin embargo, en términos de la tesis </w:t>
      </w:r>
      <w:hyperlink r:id="rId9">
        <w:r w:rsidRPr="00DA17EA">
          <w:rPr>
            <w:rFonts w:ascii="Palatino Linotype" w:eastAsia="Palatino Linotype" w:hAnsi="Palatino Linotype" w:cs="Palatino Linotype"/>
            <w:i/>
            <w:color w:val="007AFF"/>
            <w:sz w:val="20"/>
            <w:u w:val="single"/>
          </w:rPr>
          <w:t xml:space="preserve">P. LXIX/2011 (9a.) </w:t>
        </w:r>
      </w:hyperlink>
      <w:r w:rsidRPr="00DA17EA">
        <w:rPr>
          <w:rFonts w:ascii="Palatino Linotype" w:eastAsia="Palatino Linotype" w:hAnsi="Palatino Linotype" w:cs="Palatino Linotype"/>
          <w:i/>
          <w:sz w:val="20"/>
        </w:rPr>
        <w:t xml:space="preserve">(*), del Tribunal Pleno de la Suprema Corte de Justicia de la Nación, </w:t>
      </w:r>
      <w:r w:rsidRPr="00DA17EA">
        <w:rPr>
          <w:rFonts w:ascii="Palatino Linotype" w:eastAsia="Palatino Linotype" w:hAnsi="Palatino Linotype" w:cs="Palatino Linotype"/>
          <w:b/>
          <w:i/>
          <w:sz w:val="20"/>
          <w:u w:val="single"/>
        </w:rPr>
        <w:t>las autoridades administrativas no</w:t>
      </w:r>
      <w:r w:rsidRPr="00DA17EA">
        <w:rPr>
          <w:rFonts w:ascii="Palatino Linotype" w:eastAsia="Palatino Linotype" w:hAnsi="Palatino Linotype" w:cs="Palatino Linotype"/>
          <w:b/>
          <w:i/>
          <w:sz w:val="20"/>
        </w:rPr>
        <w:t xml:space="preserve"> </w:t>
      </w:r>
      <w:r w:rsidRPr="00DA17EA">
        <w:rPr>
          <w:rFonts w:ascii="Palatino Linotype" w:eastAsia="Palatino Linotype" w:hAnsi="Palatino Linotype" w:cs="Palatino Linotype"/>
          <w:b/>
          <w:i/>
          <w:sz w:val="20"/>
          <w:u w:val="single"/>
        </w:rPr>
        <w:t>están facultadas para realizar algún tipo de control constitucional, sea</w:t>
      </w:r>
      <w:r w:rsidRPr="00DA17EA">
        <w:rPr>
          <w:rFonts w:ascii="Palatino Linotype" w:eastAsia="Palatino Linotype" w:hAnsi="Palatino Linotype" w:cs="Palatino Linotype"/>
          <w:b/>
          <w:i/>
          <w:sz w:val="20"/>
        </w:rPr>
        <w:t xml:space="preserve"> </w:t>
      </w:r>
      <w:r w:rsidRPr="00DA17EA">
        <w:rPr>
          <w:rFonts w:ascii="Palatino Linotype" w:eastAsia="Palatino Linotype" w:hAnsi="Palatino Linotype" w:cs="Palatino Linotype"/>
          <w:b/>
          <w:i/>
          <w:sz w:val="20"/>
          <w:u w:val="single"/>
        </w:rPr>
        <w:t>concentrado o difuso; es decir, no pueden declarar la invalidez de un</w:t>
      </w:r>
      <w:r w:rsidRPr="00DA17EA">
        <w:rPr>
          <w:rFonts w:ascii="Palatino Linotype" w:eastAsia="Palatino Linotype" w:hAnsi="Palatino Linotype" w:cs="Palatino Linotype"/>
          <w:b/>
          <w:i/>
          <w:sz w:val="20"/>
        </w:rPr>
        <w:t xml:space="preserve"> </w:t>
      </w:r>
      <w:r w:rsidRPr="00DA17EA">
        <w:rPr>
          <w:rFonts w:ascii="Palatino Linotype" w:eastAsia="Palatino Linotype" w:hAnsi="Palatino Linotype" w:cs="Palatino Linotype"/>
          <w:b/>
          <w:i/>
          <w:sz w:val="20"/>
          <w:u w:val="single"/>
        </w:rPr>
        <w:t xml:space="preserve">determinado precepto e </w:t>
      </w:r>
      <w:proofErr w:type="spellStart"/>
      <w:r w:rsidRPr="00DA17EA">
        <w:rPr>
          <w:rFonts w:ascii="Palatino Linotype" w:eastAsia="Palatino Linotype" w:hAnsi="Palatino Linotype" w:cs="Palatino Linotype"/>
          <w:b/>
          <w:i/>
          <w:sz w:val="20"/>
          <w:u w:val="single"/>
        </w:rPr>
        <w:t>inaplicarlo</w:t>
      </w:r>
      <w:proofErr w:type="spellEnd"/>
      <w:r w:rsidRPr="00DA17EA">
        <w:rPr>
          <w:rFonts w:ascii="Palatino Linotype" w:eastAsia="Palatino Linotype" w:hAnsi="Palatino Linotype" w:cs="Palatino Linotype"/>
          <w:b/>
          <w:i/>
          <w:sz w:val="20"/>
          <w:u w:val="single"/>
        </w:rPr>
        <w:t>, ni siquiera bajo el argumento de una</w:t>
      </w:r>
      <w:r w:rsidRPr="00DA17EA">
        <w:rPr>
          <w:rFonts w:ascii="Palatino Linotype" w:eastAsia="Palatino Linotype" w:hAnsi="Palatino Linotype" w:cs="Palatino Linotype"/>
          <w:b/>
          <w:i/>
          <w:sz w:val="20"/>
        </w:rPr>
        <w:t xml:space="preserve"> </w:t>
      </w:r>
      <w:r w:rsidRPr="00DA17EA">
        <w:rPr>
          <w:rFonts w:ascii="Palatino Linotype" w:eastAsia="Palatino Linotype" w:hAnsi="Palatino Linotype" w:cs="Palatino Linotype"/>
          <w:b/>
          <w:i/>
          <w:sz w:val="20"/>
          <w:u w:val="single"/>
        </w:rPr>
        <w:t>reparación de derechos humanos,</w:t>
      </w:r>
      <w:r w:rsidRPr="00DA17EA">
        <w:rPr>
          <w:rFonts w:ascii="Palatino Linotype" w:eastAsia="Palatino Linotype" w:hAnsi="Palatino Linotype" w:cs="Palatino Linotype"/>
          <w:b/>
          <w:i/>
          <w:sz w:val="20"/>
        </w:rPr>
        <w:t xml:space="preserve"> </w:t>
      </w:r>
      <w:r w:rsidRPr="00DA17EA">
        <w:rPr>
          <w:rFonts w:ascii="Palatino Linotype" w:eastAsia="Palatino Linotype" w:hAnsi="Palatino Linotype" w:cs="Palatino Linotype"/>
          <w:i/>
          <w:sz w:val="20"/>
        </w:rPr>
        <w:t xml:space="preserve">ya que ello implicaría desatender los requisitos de procedencia señalados por las leyes para interponer un medio de defensa, y que deben cumplirse de manera previa a un pronunciamiento de fondo del asunto. En todo caso, han de interpretar las disposiciones jurídicas en el sentido más favorable a las personas, pero sin que ello llegue a descuidar las facultades y funciones que deben desempeñar en atención a sus ámbitos competenciales. Aceptar lo contrario, generaría incertidumbre jurídica en franca contravención a </w:t>
      </w:r>
      <w:proofErr w:type="gramStart"/>
      <w:r w:rsidRPr="00DA17EA">
        <w:rPr>
          <w:rFonts w:ascii="Palatino Linotype" w:eastAsia="Palatino Linotype" w:hAnsi="Palatino Linotype" w:cs="Palatino Linotype"/>
          <w:i/>
          <w:sz w:val="20"/>
        </w:rPr>
        <w:t>otros  derechos</w:t>
      </w:r>
      <w:proofErr w:type="gramEnd"/>
      <w:r w:rsidRPr="00DA17EA">
        <w:rPr>
          <w:rFonts w:ascii="Palatino Linotype" w:eastAsia="Palatino Linotype" w:hAnsi="Palatino Linotype" w:cs="Palatino Linotype"/>
          <w:i/>
          <w:sz w:val="20"/>
        </w:rPr>
        <w:t xml:space="preserve"> humanos como los de legalidad, debido proceso y seguridad jurídica, previstos en los artículos </w:t>
      </w:r>
      <w:r w:rsidRPr="00DA17EA">
        <w:rPr>
          <w:rFonts w:ascii="Palatino Linotype" w:eastAsia="Palatino Linotype" w:hAnsi="Palatino Linotype" w:cs="Palatino Linotype"/>
          <w:i/>
          <w:color w:val="007AFF"/>
          <w:sz w:val="20"/>
          <w:u w:val="single"/>
        </w:rPr>
        <w:t>14 y 16 constitucionales</w:t>
      </w:r>
      <w:r w:rsidRPr="00DA17EA">
        <w:rPr>
          <w:rFonts w:ascii="Palatino Linotype" w:eastAsia="Palatino Linotype" w:hAnsi="Palatino Linotype" w:cs="Palatino Linotype"/>
          <w:i/>
          <w:sz w:val="20"/>
        </w:rPr>
        <w:t>.</w:t>
      </w:r>
    </w:p>
    <w:p w14:paraId="529D261A" w14:textId="77777777" w:rsidR="001537EB" w:rsidRPr="00DA17EA" w:rsidRDefault="001537EB" w:rsidP="00DA17EA">
      <w:pPr>
        <w:widowControl w:val="0"/>
        <w:spacing w:after="0" w:line="240" w:lineRule="auto"/>
        <w:ind w:left="567" w:right="1352"/>
        <w:contextualSpacing/>
        <w:jc w:val="both"/>
        <w:rPr>
          <w:rFonts w:ascii="Palatino Linotype" w:eastAsia="Palatino Linotype" w:hAnsi="Palatino Linotype" w:cs="Palatino Linotype"/>
          <w:i/>
          <w:sz w:val="20"/>
        </w:rPr>
      </w:pPr>
    </w:p>
    <w:p w14:paraId="71CB8A22" w14:textId="77777777" w:rsidR="001537EB" w:rsidRPr="00DA17EA" w:rsidRDefault="003B3654" w:rsidP="00DA17EA">
      <w:pPr>
        <w:widowControl w:val="0"/>
        <w:spacing w:after="0" w:line="240" w:lineRule="auto"/>
        <w:ind w:left="567" w:right="1352"/>
        <w:contextualSpacing/>
        <w:jc w:val="both"/>
        <w:rPr>
          <w:rFonts w:ascii="Palatino Linotype" w:eastAsia="Palatino Linotype" w:hAnsi="Palatino Linotype" w:cs="Palatino Linotype"/>
          <w:i/>
          <w:sz w:val="20"/>
        </w:rPr>
      </w:pPr>
      <w:r w:rsidRPr="00DA17EA">
        <w:rPr>
          <w:rFonts w:ascii="Palatino Linotype" w:eastAsia="Palatino Linotype" w:hAnsi="Palatino Linotype" w:cs="Palatino Linotype"/>
          <w:i/>
          <w:sz w:val="20"/>
        </w:rPr>
        <w:t xml:space="preserve">Amparo directo en revisión 1640/2014. Ramón Enrique Luque Félix. 13 de agosto de 2014. Unanimidad de cuatro votos de los </w:t>
      </w:r>
      <w:proofErr w:type="gramStart"/>
      <w:r w:rsidRPr="00DA17EA">
        <w:rPr>
          <w:rFonts w:ascii="Palatino Linotype" w:eastAsia="Palatino Linotype" w:hAnsi="Palatino Linotype" w:cs="Palatino Linotype"/>
          <w:i/>
          <w:sz w:val="20"/>
        </w:rPr>
        <w:t>Ministros</w:t>
      </w:r>
      <w:proofErr w:type="gramEnd"/>
      <w:r w:rsidRPr="00DA17EA">
        <w:rPr>
          <w:rFonts w:ascii="Palatino Linotype" w:eastAsia="Palatino Linotype" w:hAnsi="Palatino Linotype" w:cs="Palatino Linotype"/>
          <w:i/>
          <w:sz w:val="20"/>
        </w:rPr>
        <w:t xml:space="preserve"> Alberto Pérez Dayán, José Fernando </w:t>
      </w:r>
      <w:r w:rsidRPr="00DA17EA">
        <w:rPr>
          <w:rFonts w:ascii="Palatino Linotype" w:eastAsia="Palatino Linotype" w:hAnsi="Palatino Linotype" w:cs="Palatino Linotype"/>
          <w:i/>
          <w:sz w:val="20"/>
        </w:rPr>
        <w:lastRenderedPageBreak/>
        <w:t>Franco González Salas, Margarita Beatriz Luna Ramos y Luis María Aguilar Morales. Ausente: Sergio A. Valls Hernández. Ponente: José Fernando Franco González Salas. Secretarios: Maura Angélica Sanabria Martínez y Everardo Maya Arias.”</w:t>
      </w:r>
    </w:p>
    <w:p w14:paraId="287F40A0" w14:textId="77777777" w:rsidR="001537EB" w:rsidRPr="00221F7A" w:rsidRDefault="003B3654">
      <w:pPr>
        <w:widowControl w:val="0"/>
        <w:spacing w:after="0" w:line="240" w:lineRule="auto"/>
        <w:ind w:right="1354"/>
        <w:rPr>
          <w:rFonts w:ascii="Palatino Linotype" w:eastAsia="Palatino Linotype" w:hAnsi="Palatino Linotype" w:cs="Palatino Linotype"/>
          <w:i/>
          <w:sz w:val="24"/>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 </w:t>
      </w:r>
    </w:p>
    <w:p w14:paraId="34DF00C9" w14:textId="77777777" w:rsidR="001537EB" w:rsidRDefault="003B3654">
      <w:pPr>
        <w:widowControl w:val="0"/>
        <w:spacing w:before="190" w:after="0" w:line="360" w:lineRule="auto"/>
        <w:ind w:right="498"/>
        <w:jc w:val="both"/>
        <w:rPr>
          <w:rFonts w:ascii="Palatino Linotype" w:eastAsia="Palatino Linotype" w:hAnsi="Palatino Linotype" w:cs="Palatino Linotype"/>
        </w:rPr>
      </w:pPr>
      <w:r>
        <w:rPr>
          <w:rFonts w:ascii="Palatino Linotype" w:eastAsia="Palatino Linotype" w:hAnsi="Palatino Linotype" w:cs="Palatino Linotype"/>
        </w:rPr>
        <w:t xml:space="preserve">Con base en lo anteriormente expuesto, a consideración de quienes suscriben, en la resolución emitida se debió haber considerado que, si bien es cierto, se afectó al particular con los términos de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esto no debió ser motivo suficiente para exceptuar del pago correspondiente a la expedición de las copias certificadas solicitadas por la particular, toda vez que este mismo así lo pidió en su solicitud de acceso a datos personales, además de que es una  obligación establecida por el Código Financiero, Ley de Protección de Datos Personales en Posesión de Sujetos Obligados del Estado de México y Municipios y demás normatividad aplicable; lo cual, de no cumplirse, genera un perjuicio al municipio, pues representa una fuente de ingreso con la que se pretende cubrir su gasto público y demás obligaciones.</w:t>
      </w:r>
    </w:p>
    <w:p w14:paraId="6A2DDD82" w14:textId="77777777" w:rsidR="001537EB" w:rsidRDefault="001537EB">
      <w:pPr>
        <w:widowControl w:val="0"/>
        <w:spacing w:after="0" w:line="360" w:lineRule="auto"/>
        <w:ind w:right="498"/>
        <w:jc w:val="both"/>
        <w:rPr>
          <w:rFonts w:ascii="Palatino Linotype" w:eastAsia="Palatino Linotype" w:hAnsi="Palatino Linotype" w:cs="Palatino Linotype"/>
        </w:rPr>
      </w:pPr>
    </w:p>
    <w:p w14:paraId="7C97B0CB" w14:textId="1BEC2286" w:rsidR="001537EB" w:rsidRDefault="003B3654">
      <w:pPr>
        <w:widowControl w:val="0"/>
        <w:spacing w:after="0" w:line="360" w:lineRule="auto"/>
        <w:ind w:right="498"/>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este voto particular se emite con la intención de que se tome en cuenta                          que exceptuar a los particulares del pago de los derechos en favor de los Sujetos Obligados establecidos en la normatividad aplicable, tiene como consecuencia un menoscabo en el ingreso de éstos últimos, pues no solo se produce un perjuicio a los  sujetos obligados, sino que se les obliga a cubrir con sus propios recursos los costos generados por los servicios que se le solicitó, en el caso en concreto, la expedición de copias certificadas, generando en consecuencia, </w:t>
      </w:r>
      <w:r w:rsidR="006419CB">
        <w:rPr>
          <w:rFonts w:ascii="Palatino Linotype" w:eastAsia="Palatino Linotype" w:hAnsi="Palatino Linotype" w:cs="Palatino Linotype"/>
        </w:rPr>
        <w:t>un detrimento al erario público.</w:t>
      </w:r>
    </w:p>
    <w:p w14:paraId="1DE3CB6D" w14:textId="77777777" w:rsidR="006419CB" w:rsidRDefault="006419CB">
      <w:pPr>
        <w:widowControl w:val="0"/>
        <w:spacing w:after="0" w:line="360" w:lineRule="auto"/>
        <w:ind w:right="498"/>
        <w:jc w:val="both"/>
        <w:rPr>
          <w:rFonts w:ascii="Palatino Linotype" w:eastAsia="Palatino Linotype" w:hAnsi="Palatino Linotype" w:cs="Palatino Linotype"/>
        </w:rPr>
      </w:pPr>
    </w:p>
    <w:p w14:paraId="46FFE033" w14:textId="77777777" w:rsidR="006419CB" w:rsidRDefault="006419CB">
      <w:pPr>
        <w:widowControl w:val="0"/>
        <w:spacing w:after="0" w:line="360" w:lineRule="auto"/>
        <w:ind w:right="498"/>
        <w:jc w:val="both"/>
        <w:rPr>
          <w:rFonts w:ascii="Palatino Linotype" w:eastAsia="Palatino Linotype" w:hAnsi="Palatino Linotype" w:cs="Palatino Linotype"/>
        </w:rPr>
      </w:pPr>
    </w:p>
    <w:p w14:paraId="3AC67F6A" w14:textId="77777777" w:rsidR="006419CB" w:rsidRDefault="006419CB">
      <w:pPr>
        <w:widowControl w:val="0"/>
        <w:spacing w:after="0" w:line="360" w:lineRule="auto"/>
        <w:ind w:right="498"/>
        <w:jc w:val="both"/>
        <w:rPr>
          <w:rFonts w:ascii="Palatino Linotype" w:eastAsia="Palatino Linotype" w:hAnsi="Palatino Linotype" w:cs="Palatino Linotype"/>
        </w:rPr>
        <w:sectPr w:rsidR="006419CB">
          <w:headerReference w:type="even" r:id="rId10"/>
          <w:headerReference w:type="default" r:id="rId11"/>
          <w:footerReference w:type="default" r:id="rId12"/>
          <w:pgSz w:w="12240" w:h="15840"/>
          <w:pgMar w:top="1871" w:right="1327" w:bottom="2836" w:left="1985" w:header="709" w:footer="586" w:gutter="0"/>
          <w:pgNumType w:start="1"/>
          <w:cols w:space="720"/>
        </w:sectPr>
      </w:pPr>
    </w:p>
    <w:p w14:paraId="62666384" w14:textId="77777777" w:rsidR="001537EB" w:rsidRDefault="001537EB">
      <w:pPr>
        <w:spacing w:before="240" w:after="240" w:line="360" w:lineRule="auto"/>
        <w:ind w:right="423"/>
        <w:jc w:val="both"/>
        <w:rPr>
          <w:rFonts w:ascii="Palatino Linotype" w:eastAsia="Palatino Linotype" w:hAnsi="Palatino Linotype" w:cs="Palatino Linotype"/>
          <w:sz w:val="24"/>
          <w:szCs w:val="24"/>
        </w:rPr>
      </w:pPr>
    </w:p>
    <w:sectPr w:rsidR="001537EB">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8386A" w14:textId="77777777" w:rsidR="00343118" w:rsidRDefault="00343118">
      <w:pPr>
        <w:spacing w:after="0" w:line="240" w:lineRule="auto"/>
      </w:pPr>
      <w:r>
        <w:separator/>
      </w:r>
    </w:p>
  </w:endnote>
  <w:endnote w:type="continuationSeparator" w:id="0">
    <w:p w14:paraId="23B16B29" w14:textId="77777777" w:rsidR="00343118" w:rsidRDefault="0034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36A9" w14:textId="77777777" w:rsidR="001537EB" w:rsidRDefault="003B365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12ADA">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12ADA">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14:paraId="0409D1C2" w14:textId="091892F1" w:rsidR="001537EB" w:rsidRDefault="001537EB">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5806" w14:textId="77777777" w:rsidR="00343118" w:rsidRDefault="00343118">
      <w:pPr>
        <w:spacing w:after="0" w:line="240" w:lineRule="auto"/>
      </w:pPr>
      <w:r>
        <w:separator/>
      </w:r>
    </w:p>
  </w:footnote>
  <w:footnote w:type="continuationSeparator" w:id="0">
    <w:p w14:paraId="00373FFF" w14:textId="77777777" w:rsidR="00343118" w:rsidRDefault="00343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91CC" w14:textId="77777777" w:rsidR="001537EB" w:rsidRDefault="003B365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s">
          <w:drawing>
            <wp:anchor distT="0" distB="0" distL="0" distR="0" simplePos="0" relativeHeight="251659264" behindDoc="1" locked="0" layoutInCell="1" hidden="0" allowOverlap="1" wp14:anchorId="2D8D4A01" wp14:editId="205CDCA9">
              <wp:simplePos x="0" y="0"/>
              <wp:positionH relativeFrom="margin">
                <wp:align>center</wp:align>
              </wp:positionH>
              <wp:positionV relativeFrom="margin">
                <wp:align>center</wp:align>
              </wp:positionV>
              <wp:extent cx="6614295" cy="6614295"/>
              <wp:effectExtent l="0" t="0" r="0" b="0"/>
              <wp:wrapNone/>
              <wp:docPr id="16" name="Rectángulo 16"/>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14:paraId="7583179C" w14:textId="77777777" w:rsidR="001537EB" w:rsidRDefault="003B3654">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w14:anchorId="2D8D4A01" id="Rectángulo 16" o:spid="_x0000_s1026" style="position:absolute;margin-left:0;margin-top:0;width:520.8pt;height:520.8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" filled="f" stroked="f">
              <v:textbox inset="2.53958mm,2.53958mm,2.53958mm,2.53958mm">
                <w:txbxContent>
                  <w:p w14:paraId="7583179C" w14:textId="77777777" w:rsidR="001537EB" w:rsidRDefault="003B3654">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E891" w14:textId="77777777" w:rsidR="001537EB" w:rsidRDefault="003B365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258A0022" wp14:editId="5A6CF489">
          <wp:simplePos x="0" y="0"/>
          <wp:positionH relativeFrom="column">
            <wp:posOffset>-638810</wp:posOffset>
          </wp:positionH>
          <wp:positionV relativeFrom="paragraph">
            <wp:posOffset>-434340</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14:paraId="0C76F10C" w14:textId="77777777" w:rsidR="001537EB" w:rsidRDefault="001537E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4A0A2244" w14:textId="77777777" w:rsidR="001537EB" w:rsidRDefault="001537E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01D15A6E" w14:textId="77777777" w:rsidR="001537EB" w:rsidRDefault="003B365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14:paraId="5786EBA0" w14:textId="4FA8725A" w:rsidR="001537EB" w:rsidRPr="00D36CB7" w:rsidRDefault="003B3654" w:rsidP="00D36CB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w:t>
    </w:r>
    <w:r w:rsidR="00D36CB7">
      <w:rPr>
        <w:rFonts w:ascii="Palatino Linotype" w:eastAsia="Palatino Linotype" w:hAnsi="Palatino Linotype" w:cs="Palatino Linotype"/>
        <w:b/>
        <w:color w:val="000000"/>
        <w:sz w:val="20"/>
        <w:szCs w:val="20"/>
      </w:rPr>
      <w:t>EVISIÓN 05639</w:t>
    </w:r>
    <w:r w:rsidR="006419CB">
      <w:rPr>
        <w:rFonts w:ascii="Palatino Linotype" w:eastAsia="Palatino Linotype" w:hAnsi="Palatino Linotype" w:cs="Palatino Linotype"/>
        <w:b/>
        <w:color w:val="000000"/>
        <w:sz w:val="20"/>
        <w:szCs w:val="20"/>
      </w:rPr>
      <w:t>/INFOEM/AD/RR/2024</w:t>
    </w:r>
  </w:p>
  <w:p w14:paraId="6E0A45C5" w14:textId="77777777" w:rsidR="001537EB" w:rsidRDefault="001537E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677A" w14:textId="0EC9EB84" w:rsidR="001537EB" w:rsidRDefault="006419C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61312" behindDoc="1" locked="0" layoutInCell="1" hidden="0" allowOverlap="1" wp14:anchorId="220EC249" wp14:editId="246458D5">
          <wp:simplePos x="0" y="0"/>
          <wp:positionH relativeFrom="column">
            <wp:posOffset>-1232453</wp:posOffset>
          </wp:positionH>
          <wp:positionV relativeFrom="paragraph">
            <wp:posOffset>-422054</wp:posOffset>
          </wp:positionV>
          <wp:extent cx="7521053" cy="9897494"/>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14:paraId="0288556B" w14:textId="77777777" w:rsidR="001537EB" w:rsidRDefault="001537E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43418FC9" w14:textId="77777777" w:rsidR="001537EB" w:rsidRDefault="001537E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14FAB6AD" w14:textId="77777777" w:rsidR="006419CB" w:rsidRDefault="006419CB" w:rsidP="006419C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14:paraId="4535E86A" w14:textId="713EC6A3" w:rsidR="001537EB" w:rsidRDefault="006419CB" w:rsidP="006419C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RECURSO DE REVISIÓN 04035/INFOEM/AD/RR/2024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F6E31"/>
    <w:multiLevelType w:val="multilevel"/>
    <w:tmpl w:val="4790D64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5C5A06"/>
    <w:multiLevelType w:val="multilevel"/>
    <w:tmpl w:val="B232B152"/>
    <w:lvl w:ilvl="0">
      <w:numFmt w:val="bullet"/>
      <w:lvlText w:val="●"/>
      <w:lvlJc w:val="left"/>
      <w:pPr>
        <w:ind w:left="1945" w:hanging="360"/>
      </w:pPr>
      <w:rPr>
        <w:rFonts w:ascii="Noto Sans Symbols" w:eastAsia="Noto Sans Symbols" w:hAnsi="Noto Sans Symbols" w:cs="Noto Sans Symbols"/>
        <w:sz w:val="24"/>
        <w:szCs w:val="24"/>
      </w:rPr>
    </w:lvl>
    <w:lvl w:ilvl="1">
      <w:numFmt w:val="bullet"/>
      <w:lvlText w:val="•"/>
      <w:lvlJc w:val="left"/>
      <w:pPr>
        <w:ind w:left="2806" w:hanging="360"/>
      </w:pPr>
    </w:lvl>
    <w:lvl w:ilvl="2">
      <w:numFmt w:val="bullet"/>
      <w:lvlText w:val="•"/>
      <w:lvlJc w:val="left"/>
      <w:pPr>
        <w:ind w:left="3672" w:hanging="360"/>
      </w:pPr>
    </w:lvl>
    <w:lvl w:ilvl="3">
      <w:numFmt w:val="bullet"/>
      <w:lvlText w:val="•"/>
      <w:lvlJc w:val="left"/>
      <w:pPr>
        <w:ind w:left="4538" w:hanging="360"/>
      </w:pPr>
    </w:lvl>
    <w:lvl w:ilvl="4">
      <w:numFmt w:val="bullet"/>
      <w:lvlText w:val="•"/>
      <w:lvlJc w:val="left"/>
      <w:pPr>
        <w:ind w:left="5404" w:hanging="360"/>
      </w:pPr>
    </w:lvl>
    <w:lvl w:ilvl="5">
      <w:numFmt w:val="bullet"/>
      <w:lvlText w:val="•"/>
      <w:lvlJc w:val="left"/>
      <w:pPr>
        <w:ind w:left="6270" w:hanging="360"/>
      </w:pPr>
    </w:lvl>
    <w:lvl w:ilvl="6">
      <w:numFmt w:val="bullet"/>
      <w:lvlText w:val="•"/>
      <w:lvlJc w:val="left"/>
      <w:pPr>
        <w:ind w:left="7136" w:hanging="360"/>
      </w:pPr>
    </w:lvl>
    <w:lvl w:ilvl="7">
      <w:numFmt w:val="bullet"/>
      <w:lvlText w:val="•"/>
      <w:lvlJc w:val="left"/>
      <w:pPr>
        <w:ind w:left="8002" w:hanging="360"/>
      </w:pPr>
    </w:lvl>
    <w:lvl w:ilvl="8">
      <w:numFmt w:val="bullet"/>
      <w:lvlText w:val="•"/>
      <w:lvlJc w:val="left"/>
      <w:pPr>
        <w:ind w:left="8868" w:hanging="360"/>
      </w:pPr>
    </w:lvl>
  </w:abstractNum>
  <w:num w:numId="1" w16cid:durableId="1963421038">
    <w:abstractNumId w:val="1"/>
  </w:num>
  <w:num w:numId="2" w16cid:durableId="166697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EB"/>
    <w:rsid w:val="00097111"/>
    <w:rsid w:val="001537EB"/>
    <w:rsid w:val="001E1D42"/>
    <w:rsid w:val="00221F7A"/>
    <w:rsid w:val="002F0EFE"/>
    <w:rsid w:val="00343118"/>
    <w:rsid w:val="003B3654"/>
    <w:rsid w:val="006419CB"/>
    <w:rsid w:val="00667A8B"/>
    <w:rsid w:val="00712ADA"/>
    <w:rsid w:val="007A1C58"/>
    <w:rsid w:val="00AC6420"/>
    <w:rsid w:val="00C322F9"/>
    <w:rsid w:val="00CF2290"/>
    <w:rsid w:val="00D36CB7"/>
    <w:rsid w:val="00DA17EA"/>
    <w:rsid w:val="00DD53A8"/>
    <w:rsid w:val="00E5001D"/>
    <w:rsid w:val="00F337D5"/>
    <w:rsid w:val="00FD1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3540"/>
  <w15:docId w15:val="{F3D3FE50-9136-4ACC-ADEF-AA9E6005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link w:val="Ttulo1Car"/>
    <w:uiPriority w:val="9"/>
    <w:qFormat/>
    <w:rsid w:val="00BE6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Textoindependiente">
    <w:name w:val="Body Text"/>
    <w:basedOn w:val="Normal"/>
    <w:link w:val="TextoindependienteCar"/>
    <w:uiPriority w:val="99"/>
    <w:semiHidden/>
    <w:unhideWhenUsed/>
    <w:rsid w:val="003B447D"/>
    <w:pPr>
      <w:spacing w:after="120"/>
    </w:pPr>
  </w:style>
  <w:style w:type="character" w:customStyle="1" w:styleId="TextoindependienteCar">
    <w:name w:val="Texto independiente Car"/>
    <w:basedOn w:val="Fuentedeprrafopredeter"/>
    <w:link w:val="Textoindependiente"/>
    <w:uiPriority w:val="99"/>
    <w:semiHidden/>
    <w:rsid w:val="003B447D"/>
  </w:style>
  <w:style w:type="character" w:customStyle="1" w:styleId="Ttulo1Car">
    <w:name w:val="Título 1 Car"/>
    <w:basedOn w:val="Fuentedeprrafopredeter"/>
    <w:link w:val="Ttulo1"/>
    <w:uiPriority w:val="9"/>
    <w:rsid w:val="00BE6ADF"/>
    <w:rPr>
      <w:rFonts w:asciiTheme="majorHAnsi" w:eastAsiaTheme="majorEastAsia" w:hAnsiTheme="majorHAnsi" w:cstheme="majorBidi"/>
      <w:color w:val="2E74B5" w:themeColor="accent1" w:themeShade="BF"/>
      <w:sz w:val="32"/>
      <w:szCs w:val="32"/>
    </w:rPr>
  </w:style>
  <w:style w:type="paragraph" w:styleId="Listaconvietas3">
    <w:name w:val="List Bullet 3"/>
    <w:basedOn w:val="Normal"/>
    <w:uiPriority w:val="99"/>
    <w:unhideWhenUsed/>
    <w:rsid w:val="00997AD6"/>
    <w:pPr>
      <w:numPr>
        <w:numId w:val="2"/>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f2.scjn.gob.mx/detalle/tesis/16052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SOh3mS0dg8g8IFXwSV8CqpG5g==">CgMxLjAyCGguZ2pkZ3hzOAByITFWNG9OLUtTY1M1QVBRUmROcVRIRDhtUUdBM3VFdkZoaQ==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2427</Words>
  <Characters>13352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Jorge Alberto Sánchez Martínez</cp:lastModifiedBy>
  <cp:revision>11</cp:revision>
  <cp:lastPrinted>2024-11-19T16:50:00Z</cp:lastPrinted>
  <dcterms:created xsi:type="dcterms:W3CDTF">2024-08-26T14:49:00Z</dcterms:created>
  <dcterms:modified xsi:type="dcterms:W3CDTF">2024-11-19T16:50:00Z</dcterms:modified>
</cp:coreProperties>
</file>